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环江毛南族自治县第一幼儿园</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环江毛南族自治县第一幼儿园</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环江毛南族自治县第一幼儿园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环江毛南族自治县第一幼儿园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环江毛南族自治县第一幼儿园</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二）编制本园教育事业发展规划并检查实施情况，向自治县人民政府和上级教育部门作出报告。（三）督促检查全园贯彻执行教育方针、政策、法令、法规和上级的各项规定；评估指导全园教育教学工作。（四）负责推进学前教育均衡发展和促进教育公平。（五）负责全园人才队伍和教师队伍建设，包括园长岗位培训、后备干部队伍建设、教师学历教育、继续教育等。（六）负责组织学籍管理工作。（七）按照中央关于全面推进素质教育要求，负责教育教学管理、教育教学改革及教育教学科学研究工作，检查指导全园实施素质教育工作，并组织推广先进的教育教学经验。（八）检查指导幼儿园教育教学设备的装备、管理和使用工作。（九）检查指导全园开展电化教育和信息化教学工作。（十）负责全园教师初级专业技术职务资格的评审，中、高级专业技术职务资格的申报工作。按照管理权限对教师进行考核、聘任、奖惩、晋升等工作。（十一）负责指导全园学生资助管理工作及安全管理工作。（十二）负责语言文字和指导推广普通话工作。（十三）完成上级部门交办的其他工作。</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本部门无下属机构，有五个内设机构，分别为：行政办公室、保教室、财务室、安全办、资助办。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（一）行政办公室负责幼儿园日常运转工作，负责信息、督查、安全保密、来信来访及答复、政务公开、人事编制等工作。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保教室指导教师掌握新课程标准，帮助教师理解教材，改进教学方法，更新教学手段，不断创新，全面提高课堂教学效益；组织开展形式多样的教研活动，总结推广先进教学经验，表彰教学研究和教学改革中的先进单位和个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（三）财务室负责国有资产、预决算、财务管理、内部审计、政府采购、承担教育基本信息统计、分析、发布工作。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（四）安全办负责幼儿园的安全稳定、安全教育工作，指导幼儿园的安全监督管理和事故防范、突发公共安全事件的应急管理工作；会同有关部门做好校园及周边治安综合治理及安全保卫工作。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（五）资助办负责学生的资助工作、核实在校生人数，按有关规定开展免除保教费申报、评审、认定、公示和发放工作；加强免保教费补助资金的管理，加强幼儿园学生资助其他方面工作的指导和管理。</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环江毛南族自治县第一幼儿园</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515.06</w:t>
      </w:r>
      <w:r>
        <w:rPr>
          <w:rFonts w:hint="eastAsia"/>
          <w:b w:val="0"/>
          <w:bCs w:val="0"/>
          <w:sz w:val="28"/>
          <w:szCs w:val="28"/>
        </w:rPr>
        <w:t xml:space="preserve">万元，总支出</w:t>
      </w:r>
      <w:r>
        <w:rPr>
          <w:rFonts w:hint="eastAsia"/>
          <w:sz w:val="28"/>
          <w:szCs w:val="28"/>
          <w:lang w:val="en-US" w:eastAsia="zh-CN"/>
        </w:rPr>
        <w:t xml:space="preserve">515.06</w:t>
      </w:r>
      <w:r>
        <w:rPr>
          <w:rFonts w:hint="eastAsia"/>
          <w:b w:val="0"/>
          <w:bCs w:val="0"/>
          <w:sz w:val="28"/>
          <w:szCs w:val="28"/>
        </w:rPr>
        <w:t xml:space="preserve">万元。总收入较2023年度预算数</w:t>
      </w:r>
      <w:r>
        <w:rPr>
          <w:rFonts w:hint="eastAsia"/>
          <w:sz w:val="28"/>
          <w:szCs w:val="28"/>
          <w:lang w:val="en-US" w:eastAsia="zh-CN"/>
        </w:rPr>
        <w:t xml:space="preserve">490.40</w:t>
      </w:r>
      <w:r>
        <w:rPr>
          <w:rFonts w:hint="eastAsia"/>
          <w:b w:val="0"/>
          <w:bCs w:val="0"/>
          <w:sz w:val="28"/>
          <w:szCs w:val="28"/>
        </w:rPr>
        <w:t xml:space="preserve">万元，</w:t>
      </w:r>
      <w:r>
        <w:rPr>
          <w:rFonts w:hint="eastAsia"/>
          <w:sz w:val="28"/>
          <w:szCs w:val="28"/>
        </w:rPr>
        <w:t xml:space="preserve">增加24.66</w:t>
      </w:r>
      <w:r>
        <w:rPr>
          <w:rFonts w:hint="eastAsia"/>
          <w:b w:val="0"/>
          <w:bCs w:val="0"/>
          <w:sz w:val="28"/>
          <w:szCs w:val="28"/>
        </w:rPr>
        <w:t xml:space="preserve">万元，</w:t>
      </w:r>
      <w:r>
        <w:rPr>
          <w:rFonts w:hint="eastAsia"/>
          <w:sz w:val="28"/>
          <w:szCs w:val="28"/>
        </w:rPr>
        <w:t xml:space="preserve">增长5.03%</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b w:val="0"/>
          <w:bCs w:val="0"/>
          <w:sz w:val="28"/>
          <w:szCs w:val="28"/>
        </w:rPr>
        <w:t xml:space="preserve">。总支出较2023年度预算数</w:t>
      </w:r>
      <w:r>
        <w:rPr>
          <w:rFonts w:hint="eastAsia"/>
          <w:sz w:val="28"/>
          <w:szCs w:val="28"/>
          <w:lang w:val="en-US" w:eastAsia="zh-CN"/>
        </w:rPr>
        <w:t xml:space="preserve">490.40</w:t>
      </w:r>
      <w:r>
        <w:rPr>
          <w:rFonts w:hint="eastAsia"/>
          <w:b w:val="0"/>
          <w:bCs w:val="0"/>
          <w:sz w:val="28"/>
          <w:szCs w:val="28"/>
        </w:rPr>
        <w:t xml:space="preserve">万元，</w:t>
      </w:r>
      <w:r>
        <w:rPr>
          <w:rFonts w:hint="eastAsia"/>
          <w:sz w:val="28"/>
          <w:szCs w:val="28"/>
        </w:rPr>
        <w:t xml:space="preserve">增加24.66</w:t>
      </w:r>
      <w:r>
        <w:rPr>
          <w:rFonts w:hint="eastAsia"/>
          <w:b w:val="0"/>
          <w:bCs w:val="0"/>
          <w:sz w:val="28"/>
          <w:szCs w:val="28"/>
        </w:rPr>
        <w:t xml:space="preserve">万元，</w:t>
      </w:r>
      <w:r>
        <w:rPr>
          <w:rFonts w:hint="eastAsia"/>
          <w:sz w:val="28"/>
          <w:szCs w:val="28"/>
        </w:rPr>
        <w:t xml:space="preserve">增长5.03%</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45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515.06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490.40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增加24.66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增长5.03%</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45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515.06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490.40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增加24.66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增长5.03%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1一般公共服务支出；2.教育支出；3.社会保障和就业支出；4.住房保障支出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445.35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86.47%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增长26.83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增长6.41%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35.12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6.82%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减少8.59%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此项支出只有在职在编24人，其他教师控制数编人员2人都按教育支出预算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减少0.86%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工会经费计算基数比上年低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5.82%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增长4.09%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公积金基数提高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350.98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68.14%</w:t>
      </w:r>
      <w:r>
        <w:rPr>
          <w:rFonts w:ascii="宋体" w:eastAsia="宋体" w:hAnsi="宋体" w:cs="宋体"/>
          <w:sz w:val="28"/>
          <w:u w:color="auto"/>
        </w:rPr>
        <w:t xml:space="preserve">,比上年</w:t>
      </w:r>
      <w:r>
        <w:rPr>
          <w:rFonts w:ascii="宋体" w:eastAsia="宋体" w:hAnsi="宋体" w:cs="宋体"/>
          <w:sz w:val="28"/>
          <w:u w:color="auto"/>
        </w:rPr>
        <w:t xml:space="preserve">增长43.27</w:t>
      </w:r>
      <w:r>
        <w:rPr>
          <w:rFonts w:ascii="宋体" w:eastAsia="宋体" w:hAnsi="宋体" w:cs="宋体"/>
          <w:sz w:val="28"/>
          <w:u w:color="auto"/>
        </w:rPr>
        <w:t xml:space="preserve">万元，</w:t>
      </w:r>
      <w:r>
        <w:rPr>
          <w:rFonts w:ascii="宋体" w:eastAsia="宋体" w:hAnsi="宋体" w:cs="宋体"/>
          <w:sz w:val="28"/>
          <w:u w:color="auto"/>
        </w:rPr>
        <w:t xml:space="preserve">增长14.06%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310.86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88.57%</w:t>
      </w:r>
      <w:r>
        <w:rPr>
          <w:rFonts w:ascii="宋体" w:eastAsia="宋体" w:hAnsi="宋体" w:cs="宋体" w:hint="eastAsia"/>
          <w:sz w:val="28"/>
          <w:szCs w:val="28"/>
        </w:rPr>
        <w:t xml:space="preserve">,比上年</w:t>
      </w:r>
      <w:r>
        <w:rPr>
          <w:rFonts w:ascii="宋体" w:eastAsia="宋体" w:hAnsi="宋体" w:cs="宋体"/>
          <w:sz w:val="28"/>
          <w:u w:color="auto"/>
        </w:rPr>
        <w:t xml:space="preserve">增长29.07</w:t>
      </w:r>
      <w:r>
        <w:rPr>
          <w:rFonts w:ascii="宋体" w:eastAsia="宋体" w:hAnsi="宋体" w:cs="宋体"/>
          <w:sz w:val="28"/>
          <w:u w:color="auto"/>
        </w:rPr>
        <w:t xml:space="preserve">万元，</w:t>
      </w:r>
      <w:r>
        <w:rPr>
          <w:rFonts w:ascii="宋体" w:eastAsia="宋体" w:hAnsi="宋体" w:cs="宋体"/>
          <w:sz w:val="28"/>
          <w:u w:color="auto"/>
        </w:rPr>
        <w:t xml:space="preserve">增长10.32%</w:t>
      </w:r>
      <w:r>
        <w:rPr>
          <w:rFonts w:ascii="宋体" w:eastAsia="宋体" w:hAnsi="宋体" w:cs="宋体"/>
          <w:sz w:val="28"/>
          <w:u w:color="auto"/>
        </w:rPr>
        <w:t xml:space="preserve">,主要原因是：1.工资标准比2023年有所提高;2.部分教师社会保障费及住房公积金缴纳基数提高;3.教育系统干部职工基础性绩效工资增量基数增加;4.人员增加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35.52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10.12%</w:t>
      </w:r>
      <w:r>
        <w:rPr>
          <w:rFonts w:ascii="宋体" w:eastAsia="宋体" w:hAnsi="宋体" w:cs="宋体" w:hint="eastAsia"/>
          <w:sz w:val="28"/>
          <w:szCs w:val="28"/>
        </w:rPr>
        <w:t xml:space="preserve">,比上年</w:t>
      </w:r>
      <w:r>
        <w:rPr>
          <w:rFonts w:ascii="宋体" w:eastAsia="宋体" w:hAnsi="宋体" w:cs="宋体"/>
          <w:sz w:val="28"/>
          <w:u w:color="auto"/>
        </w:rPr>
        <w:t xml:space="preserve">增长14.24</w:t>
      </w:r>
      <w:r>
        <w:rPr>
          <w:rFonts w:ascii="宋体" w:eastAsia="宋体" w:hAnsi="宋体" w:cs="宋体"/>
          <w:sz w:val="28"/>
          <w:u w:color="auto"/>
        </w:rPr>
        <w:t xml:space="preserve">万元，</w:t>
      </w:r>
      <w:r>
        <w:rPr>
          <w:rFonts w:ascii="宋体" w:eastAsia="宋体" w:hAnsi="宋体" w:cs="宋体"/>
          <w:sz w:val="28"/>
          <w:u w:color="auto"/>
        </w:rPr>
        <w:t xml:space="preserve">增长66.92%</w:t>
      </w:r>
      <w:r>
        <w:rPr>
          <w:rFonts w:ascii="宋体" w:eastAsia="宋体" w:hAnsi="宋体" w:cs="宋体"/>
          <w:sz w:val="28"/>
          <w:u w:color="auto"/>
        </w:rPr>
        <w:t xml:space="preserve">,主要原因是：1.人员增加。2.对个人和家庭的补助发放标准提高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1.31%</w:t>
      </w:r>
      <w:r>
        <w:rPr>
          <w:rFonts w:ascii="宋体" w:eastAsia="宋体" w:hAnsi="宋体" w:cs="宋体" w:hint="eastAsia"/>
          <w:sz w:val="28"/>
          <w:szCs w:val="28"/>
        </w:rPr>
        <w:t xml:space="preserve">,比上年</w:t>
      </w:r>
      <w:r>
        <w:rPr>
          <w:rFonts w:ascii="宋体" w:eastAsia="宋体" w:hAnsi="宋体" w:cs="宋体"/>
          <w:sz w:val="28"/>
          <w:u w:color="auto"/>
        </w:rPr>
        <w:t xml:space="preserve">减少0.04</w:t>
      </w:r>
      <w:r>
        <w:rPr>
          <w:rFonts w:ascii="宋体" w:eastAsia="宋体" w:hAnsi="宋体" w:cs="宋体"/>
          <w:sz w:val="28"/>
          <w:u w:color="auto"/>
        </w:rPr>
        <w:t xml:space="preserve">万元，</w:t>
      </w:r>
      <w:r>
        <w:rPr>
          <w:rFonts w:ascii="宋体" w:eastAsia="宋体" w:hAnsi="宋体" w:cs="宋体"/>
          <w:sz w:val="28"/>
          <w:u w:color="auto"/>
        </w:rPr>
        <w:t xml:space="preserve">减少0.86%</w:t>
      </w:r>
      <w:r>
        <w:rPr>
          <w:rFonts w:ascii="宋体" w:eastAsia="宋体" w:hAnsi="宋体" w:cs="宋体"/>
          <w:sz w:val="28"/>
          <w:u w:color="auto"/>
        </w:rPr>
        <w:t xml:space="preserve">,主要原因是：基本支出预算中商品和服务支出减少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164.08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31.86%</w:t>
      </w:r>
      <w:r>
        <w:rPr>
          <w:rFonts w:ascii="宋体" w:eastAsia="宋体" w:hAnsi="宋体" w:cs="宋体" w:hint="eastAsia"/>
          <w:sz w:val="28"/>
          <w:szCs w:val="28"/>
        </w:rPr>
        <w:t xml:space="preserve">,比上年</w:t>
      </w:r>
      <w:r>
        <w:rPr>
          <w:rFonts w:ascii="宋体" w:eastAsia="宋体" w:hAnsi="宋体" w:cs="宋体"/>
          <w:sz w:val="28"/>
          <w:u w:color="auto"/>
        </w:rPr>
        <w:t xml:space="preserve">减少18.61</w:t>
      </w:r>
      <w:r>
        <w:rPr>
          <w:rFonts w:ascii="宋体" w:eastAsia="宋体" w:hAnsi="宋体" w:cs="宋体" w:hint="eastAsia"/>
          <w:sz w:val="28"/>
          <w:szCs w:val="28"/>
        </w:rPr>
        <w:t xml:space="preserve">万元，</w:t>
      </w:r>
      <w:r>
        <w:rPr>
          <w:rFonts w:ascii="宋体" w:eastAsia="宋体" w:hAnsi="宋体" w:cs="宋体"/>
          <w:sz w:val="28"/>
          <w:u w:color="auto"/>
        </w:rPr>
        <w:t xml:space="preserve">减少10.19%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84.20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51.32%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增长24.51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增长41.06%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项目支出预算中商品和服务支出增加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5.00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3.05%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增长66.67%</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增加办公设备购置</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74.88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45.64%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减少45.12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减少37.60%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单位聘用人员减少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45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515.06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515.06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490.40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增长5.03%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490.40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增长5.03%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45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515.06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490.40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增加24.66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增长5.03%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4.60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4.64</w:t>
      </w:r>
      <w:r>
        <w:rPr>
          <w:rFonts w:ascii="宋体" w:eastAsia="宋体" w:hAnsi="宋体" w:cs="宋体" w:hint="eastAsia"/>
          <w:sz w:val="28"/>
          <w:szCs w:val="28"/>
        </w:rPr>
        <w:t xml:space="preserve">万元，</w:t>
      </w:r>
      <w:r>
        <w:rPr>
          <w:rFonts w:ascii="宋体" w:eastAsia="宋体" w:hAnsi="宋体" w:cs="宋体"/>
          <w:sz w:val="28"/>
          <w:u w:color="auto"/>
        </w:rPr>
        <w:t xml:space="preserve">减少0.04</w:t>
      </w:r>
      <w:r>
        <w:rPr>
          <w:rFonts w:ascii="宋体" w:eastAsia="宋体" w:hAnsi="宋体" w:cs="宋体" w:hint="eastAsia"/>
          <w:sz w:val="28"/>
          <w:szCs w:val="28"/>
        </w:rPr>
        <w:t xml:space="preserve">万元，</w:t>
      </w:r>
      <w:r>
        <w:rPr>
          <w:rFonts w:ascii="宋体" w:eastAsia="宋体" w:hAnsi="宋体" w:cs="宋体"/>
          <w:sz w:val="28"/>
          <w:u w:color="auto"/>
        </w:rPr>
        <w:t xml:space="preserve">减少0.86%</w:t>
      </w:r>
      <w:r>
        <w:rPr>
          <w:rFonts w:ascii="宋体" w:eastAsia="宋体" w:hAnsi="宋体" w:cs="宋体" w:hint="eastAsia"/>
          <w:sz w:val="28"/>
          <w:szCs w:val="28"/>
        </w:rPr>
        <w:t xml:space="preserve">，主要原因是：</w:t>
      </w:r>
      <w:r>
        <w:rPr>
          <w:rFonts w:hint="eastAsia"/>
          <w:highlight w:val="none"/>
        </w:rPr>
        <w:t xml:space="preserve">工会经费计算基数比上年低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5.82%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28.82</w:t>
      </w:r>
      <w:r>
        <w:rPr>
          <w:rFonts w:ascii="宋体" w:eastAsia="宋体" w:hAnsi="宋体" w:cs="宋体" w:hint="eastAsia"/>
          <w:sz w:val="28"/>
          <w:szCs w:val="28"/>
        </w:rPr>
        <w:t xml:space="preserve">万元，</w:t>
      </w:r>
      <w:r>
        <w:rPr>
          <w:rFonts w:ascii="宋体" w:eastAsia="宋体" w:hAnsi="宋体" w:cs="宋体"/>
          <w:sz w:val="28"/>
          <w:u w:color="auto"/>
        </w:rPr>
        <w:t xml:space="preserve">增长1.18</w:t>
      </w:r>
      <w:r>
        <w:rPr>
          <w:rFonts w:ascii="宋体" w:eastAsia="宋体" w:hAnsi="宋体" w:cs="宋体" w:hint="eastAsia"/>
          <w:sz w:val="28"/>
          <w:szCs w:val="28"/>
        </w:rPr>
        <w:t xml:space="preserve">万元，</w:t>
      </w:r>
      <w:r>
        <w:rPr>
          <w:rFonts w:ascii="宋体" w:eastAsia="宋体" w:hAnsi="宋体" w:cs="宋体"/>
          <w:sz w:val="28"/>
          <w:u w:color="auto"/>
        </w:rPr>
        <w:t xml:space="preserve">增长4.09%</w:t>
      </w:r>
      <w:r>
        <w:rPr>
          <w:rFonts w:ascii="宋体" w:eastAsia="宋体" w:hAnsi="宋体" w:cs="宋体" w:hint="eastAsia"/>
          <w:sz w:val="28"/>
          <w:szCs w:val="28"/>
        </w:rPr>
        <w:t xml:space="preserve">，主要原因是：</w:t>
      </w:r>
      <w:r>
        <w:rPr>
          <w:rFonts w:hint="eastAsia"/>
          <w:highlight w:val="none"/>
        </w:rPr>
        <w:t xml:space="preserve">公积金基数提高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445.35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86.47%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418.52</w:t>
      </w:r>
      <w:r>
        <w:rPr>
          <w:rFonts w:ascii="宋体" w:eastAsia="宋体" w:hAnsi="宋体" w:cs="宋体" w:hint="eastAsia"/>
          <w:sz w:val="28"/>
          <w:szCs w:val="28"/>
        </w:rPr>
        <w:t xml:space="preserve">万元，</w:t>
      </w:r>
      <w:r>
        <w:rPr>
          <w:rFonts w:ascii="宋体" w:eastAsia="宋体" w:hAnsi="宋体" w:cs="宋体"/>
          <w:sz w:val="28"/>
          <w:u w:color="auto"/>
        </w:rPr>
        <w:t xml:space="preserve">增长26.83</w:t>
      </w:r>
      <w:r>
        <w:rPr>
          <w:rFonts w:ascii="宋体" w:eastAsia="宋体" w:hAnsi="宋体" w:cs="宋体" w:hint="eastAsia"/>
          <w:sz w:val="28"/>
          <w:szCs w:val="28"/>
        </w:rPr>
        <w:t xml:space="preserve">万元，</w:t>
      </w:r>
      <w:r>
        <w:rPr>
          <w:rFonts w:ascii="宋体" w:eastAsia="宋体" w:hAnsi="宋体" w:cs="宋体"/>
          <w:sz w:val="28"/>
          <w:u w:color="auto"/>
        </w:rPr>
        <w:t xml:space="preserve">增长6.41%</w:t>
      </w:r>
      <w:r>
        <w:rPr>
          <w:rFonts w:ascii="宋体" w:eastAsia="宋体" w:hAnsi="宋体" w:cs="宋体" w:hint="eastAsia"/>
          <w:sz w:val="28"/>
          <w:szCs w:val="28"/>
        </w:rPr>
        <w:t xml:space="preserve">，主要原因是：</w:t>
      </w:r>
      <w:r>
        <w:rPr>
          <w:rFonts w:hint="eastAsia"/>
          <w:highlight w:val="none"/>
        </w:rPr>
        <w:t xml:space="preserve">1.工资标准比2023年有所提高;2.部分教师社会保障费及住房公积金缴纳基数提高;3.教育系统干部职工基础性绩效工资增量基数增加;4.人员增加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35.12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6.82%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38.42</w:t>
      </w:r>
      <w:r>
        <w:rPr>
          <w:rFonts w:ascii="宋体" w:eastAsia="宋体" w:hAnsi="宋体" w:cs="宋体" w:hint="eastAsia"/>
          <w:sz w:val="28"/>
          <w:szCs w:val="28"/>
        </w:rPr>
        <w:t xml:space="preserve">万元，</w:t>
      </w:r>
      <w:r>
        <w:rPr>
          <w:rFonts w:ascii="宋体" w:eastAsia="宋体" w:hAnsi="宋体" w:cs="宋体"/>
          <w:sz w:val="28"/>
          <w:u w:color="auto"/>
        </w:rPr>
        <w:t xml:space="preserve">减少3.30</w:t>
      </w:r>
      <w:r>
        <w:rPr>
          <w:rFonts w:ascii="宋体" w:eastAsia="宋体" w:hAnsi="宋体" w:cs="宋体" w:hint="eastAsia"/>
          <w:sz w:val="28"/>
          <w:szCs w:val="28"/>
        </w:rPr>
        <w:t xml:space="preserve">万元，</w:t>
      </w:r>
      <w:r>
        <w:rPr>
          <w:rFonts w:ascii="宋体" w:eastAsia="宋体" w:hAnsi="宋体" w:cs="宋体"/>
          <w:sz w:val="28"/>
          <w:u w:color="auto"/>
        </w:rPr>
        <w:t xml:space="preserve">减少8.59%</w:t>
      </w:r>
      <w:r>
        <w:rPr>
          <w:rFonts w:ascii="宋体" w:eastAsia="宋体" w:hAnsi="宋体" w:cs="宋体" w:hint="eastAsia"/>
          <w:sz w:val="28"/>
          <w:szCs w:val="28"/>
        </w:rPr>
        <w:t xml:space="preserve">，主要原因是：</w:t>
      </w:r>
      <w:r>
        <w:rPr>
          <w:rFonts w:hint="eastAsia"/>
          <w:highlight w:val="none"/>
        </w:rPr>
        <w:t xml:space="preserve">此项支出只有在职在编24人，其他教师控制数编人员2人都按教育支出预算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5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350.98</w:t>
      </w:r>
      <w:r>
        <w:rPr>
          <w:rFonts w:hint="eastAsia"/>
        </w:rPr>
        <w:t xml:space="preserve">万元，较2023年度预算数</w:t>
      </w:r>
      <w:r>
        <w:rPr>
          <w:rFonts w:hint="eastAsia"/>
          <w:lang w:val="en-US" w:eastAsia="zh-CN"/>
        </w:rPr>
        <w:t xml:space="preserve">307.71</w:t>
      </w:r>
      <w:r>
        <w:rPr>
          <w:rFonts w:hint="eastAsia"/>
        </w:rPr>
        <w:t xml:space="preserve">万元</w:t>
      </w:r>
      <w:r>
        <w:rPr>
          <w:rFonts w:hint="eastAsia"/>
          <w:lang w:val="en-US" w:eastAsia="zh-CN"/>
        </w:rPr>
        <w:t xml:space="preserve">,</w:t>
      </w:r>
      <w:r>
        <w:rPr>
          <w:u w:color="auto"/>
        </w:rPr>
        <w:t xml:space="preserve">增加43.27</w:t>
      </w:r>
      <w:r>
        <w:rPr>
          <w:rFonts w:hint="eastAsia"/>
        </w:rPr>
        <w:t xml:space="preserve">万元，</w:t>
      </w:r>
      <w:r>
        <w:rPr>
          <w:rFonts w:hint="eastAsia"/>
          <w:lang w:val="en-US" w:eastAsia="zh-CN"/>
        </w:rPr>
        <w:t xml:space="preserve">增长14.06%</w:t>
      </w:r>
      <w:r>
        <w:rPr>
          <w:rFonts w:hint="eastAsia"/>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1.工资标准比2023年有所提高;2.部分教师社会保障费及住房公积金缴纳基数提高;3.教育系统干部职工基础性绩效工资增量基数增加;4.人员增加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310.86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88.57%</w:t>
      </w:r>
      <w:r>
        <w:rPr>
          <w:rFonts w:hint="eastAsia"/>
        </w:rPr>
        <w:t xml:space="preserve">，较2023年度预算数</w:t>
      </w:r>
      <w:r>
        <w:rPr>
          <w:rFonts w:hint="eastAsia"/>
          <w:lang w:val="en-US" w:eastAsia="zh-CN"/>
        </w:rPr>
        <w:t xml:space="preserve">281.79</w:t>
      </w:r>
      <w:r>
        <w:rPr>
          <w:rFonts w:hint="eastAsia"/>
        </w:rPr>
        <w:t xml:space="preserve">万元，</w:t>
      </w:r>
      <w:r>
        <w:rPr>
          <w:rFonts w:hint="eastAsia"/>
          <w:lang w:val="en-US" w:eastAsia="zh-CN"/>
        </w:rPr>
        <w:t xml:space="preserve">增长29.07</w:t>
      </w:r>
      <w:r>
        <w:rPr>
          <w:rFonts w:hint="eastAsia"/>
        </w:rPr>
        <w:t xml:space="preserve">万元，</w:t>
      </w:r>
      <w:r>
        <w:rPr>
          <w:rFonts w:hint="eastAsia"/>
          <w:lang w:val="en-US" w:eastAsia="zh-CN"/>
        </w:rPr>
        <w:t xml:space="preserve">增长10.32%</w:t>
      </w:r>
      <w:r>
        <w:rPr>
          <w:rFonts w:hint="eastAsia"/>
        </w:rPr>
        <w:t xml:space="preserve">，主要原因是：</w:t>
      </w:r>
      <w:r>
        <w:rPr>
          <w:rFonts w:hint="eastAsia"/>
          <w:highlight w:val="none"/>
        </w:rPr>
        <w:t xml:space="preserve">1.工资标准比2023年有所提高;2.教育系统干部职工基础性绩效工资增量基数增加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35.52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10.12%</w:t>
      </w:r>
      <w:r>
        <w:rPr>
          <w:rFonts w:hint="eastAsia"/>
        </w:rPr>
        <w:t xml:space="preserve">，较2023年度预算数</w:t>
      </w:r>
      <w:r>
        <w:rPr>
          <w:rFonts w:hint="eastAsia"/>
          <w:lang w:val="en-US" w:eastAsia="zh-CN"/>
        </w:rPr>
        <w:t xml:space="preserve">21.28</w:t>
      </w:r>
      <w:r>
        <w:rPr>
          <w:rFonts w:hint="eastAsia"/>
        </w:rPr>
        <w:t xml:space="preserve">万元，</w:t>
      </w:r>
      <w:r>
        <w:rPr>
          <w:rFonts w:hint="eastAsia"/>
          <w:lang w:val="en-US" w:eastAsia="zh-CN"/>
        </w:rPr>
        <w:t xml:space="preserve">增长14.24</w:t>
      </w:r>
      <w:r>
        <w:rPr>
          <w:rFonts w:hint="eastAsia"/>
        </w:rPr>
        <w:t xml:space="preserve">万元，</w:t>
      </w:r>
      <w:r>
        <w:rPr>
          <w:rFonts w:hint="eastAsia"/>
          <w:lang w:val="en-US" w:eastAsia="zh-CN"/>
        </w:rPr>
        <w:t xml:space="preserve">增长66.92%</w:t>
      </w:r>
      <w:r>
        <w:rPr>
          <w:rFonts w:hint="eastAsia"/>
        </w:rPr>
        <w:t xml:space="preserve">，主要原因是：</w:t>
      </w:r>
      <w:r>
        <w:rPr>
          <w:rFonts w:hint="eastAsia"/>
          <w:highlight w:val="none"/>
        </w:rPr>
        <w:t xml:space="preserve">1.人员增加。2.对个人和家庭的补助发放标准提高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4.60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1.31%</w:t>
      </w:r>
      <w:r>
        <w:rPr>
          <w:rFonts w:hint="eastAsia"/>
        </w:rPr>
        <w:t xml:space="preserve">，较2023年度预算数</w:t>
      </w:r>
      <w:r>
        <w:rPr>
          <w:rFonts w:hint="eastAsia"/>
          <w:lang w:val="en-US" w:eastAsia="zh-CN"/>
        </w:rPr>
        <w:t xml:space="preserve">4.64</w:t>
      </w:r>
      <w:r>
        <w:rPr>
          <w:rFonts w:hint="eastAsia"/>
        </w:rPr>
        <w:t xml:space="preserve">万元，</w:t>
      </w:r>
      <w:r>
        <w:rPr>
          <w:rFonts w:hint="eastAsia"/>
          <w:lang w:val="en-US" w:eastAsia="zh-CN"/>
        </w:rPr>
        <w:t xml:space="preserve">减少0.04</w:t>
      </w:r>
      <w:r>
        <w:rPr>
          <w:rFonts w:hint="eastAsia"/>
        </w:rPr>
        <w:t xml:space="preserve">万元，</w:t>
      </w:r>
      <w:r>
        <w:rPr>
          <w:rFonts w:hint="eastAsia"/>
          <w:lang w:val="en-US" w:eastAsia="zh-CN"/>
        </w:rPr>
        <w:t xml:space="preserve">减少0.86%</w:t>
      </w:r>
      <w:r>
        <w:rPr>
          <w:rFonts w:hint="eastAsia"/>
        </w:rPr>
        <w:t xml:space="preserve">，主要原因是：</w:t>
      </w:r>
      <w:r>
        <w:rPr>
          <w:rFonts w:hint="eastAsia"/>
          <w:highlight w:val="none"/>
        </w:rPr>
        <w:t xml:space="preserve">基本支出预算中商品和服务支出减少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5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4.60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减少0.04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下降0.86%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工会经费计算基数比上年低</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7个</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164.08万元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环江毛南族自治县第一幼儿园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环江毛南族自治县第一幼儿园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494.62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494.62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445.35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35.12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494.62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515.06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515.06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515.06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环江毛南族自治县第一幼儿园</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201002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515.06</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494.62</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494.62</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20.44</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20.44</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环江毛南族自治县第一幼儿园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515.06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164.08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515.06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164.08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445.35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281.27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164.08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环江毛南族自治县第一幼儿园</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494.62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494.62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445.35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35.12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494.62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515.06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515.06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515.06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环江毛南族自治县第一幼儿园</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201002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515.06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350.98</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346.38</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164.08</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4.60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445.35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281.27</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281.27</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164.08</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35.12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35.12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35.12</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环江毛南族自治县第一幼儿园</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350.98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346.38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310.86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310.86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95.96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95.96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8.84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59.37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59.37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53.31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53.31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35.12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14.05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32.15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32.15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10.51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10.51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35.52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35.23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35.23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环江毛南族自治县第一幼儿园</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201002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环江毛南族自治县第一幼儿园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环江毛南族自治县第一幼儿园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环江毛南族自治县第一幼儿园</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学前教育免除保教费自治区补助资金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过项目的实施，减轻原学前教育建档立卡贫困户家庭的就学负担，使原学前教育建档立卡贫困户幼儿顺利入园。对在读的学前原建档立卡贫困家庭儿童，以及家庭经济困难残疾学生、农村低保家庭学生、农村特困救助供养等四类家庭经济困难在园幼儿进行资助。</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0.89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对家庭经济困难儿童、孤儿和残疾儿童入园给以资助，维护教育公平，全面提升学前教育的整体水平。落实资助资金，确保资助政策落实到位。加大力度宣传学前教育资助政策体系，使这项惠民政策家喻户晓、深入人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学前教育质量提升资金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12.65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环江毛南族自治县教育局关于下达2022年支持学前教育发展中央和自治区资金的通知（环教通〔2022〕34号）文件精神，我园享受支持学前教育发展中央和自治区资金。资金用于集团化办园的运作管理、教育科研、文化重构和特色打造；用于龙头园园长和骨干教师指导集团内幼儿园的旅差费用等；用于开展集团内或集团外教师研修﹑培训学习活动、交流学习活动等。</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普惠性民办幼儿园奖补中央补助资金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环教通【2022】34号文关于下达2022年支持学前教育发展中央和自治区资金的通知》的文件通知，积极支持普惠性民办幼儿园发展试点工作，小太阳幼儿园等2所幼儿园获得普惠幼儿园奖补中央补助资金159400元。通过普惠幼儿园奖补资金保障各项工作正常运转，改善办学条件。</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环江毛南族自治县第一幼儿园年初预算经费保教费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131.48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该项资金要用于支付幼儿园聘用人员工资、五险、日常办公、资本性支出、水电费支出、差旅费等。每年上半年完成30％，下半年完成达100％。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普惠性民办幼儿园专职保安员配备自治区补助经费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通过普惠性民办幼儿园专职保安配备补助资金提升保安员待遇、安心工作，有效保障学校安全。</w:t>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环江毛南族自治县第一幼儿园年初预算经费保教费（三保）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实现师资力量和办园条件达到社会认可的学前教育。该项目用于邮电费、教师外出培训学习培训差旅费等支出，每年上半年完成30％，下半年完成达100％。</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89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46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89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46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89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46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89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46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89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90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6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9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6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9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c12cPh8rEc6nHzQWKjIoMg==" w:hash="kn3cyygDaSOS+b5ILAu4pi5SY6/ea9TWvURb3OgEBfuvIzSfQub41+Ni0aV0sUUgh6WvY1u8e/DDq+q7/cj/Y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515.06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4.6</c:v>
                </c:pt>
                <c:pt idx="1">
                  <c:v>424.91</c:v>
                </c:pt>
                <c:pt idx="2">
                  <c:v>35.12</c:v>
                </c:pt>
                <c:pt idx="3">
                  <c:v>30.0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490.4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515.06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350.98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143.64</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346.38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346.38</c:v>
                </c:pt>
                <c:pt idx="1">
                  <c:v>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2024-03-03T06:14:00Z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