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环江毛南族自治县水源镇中心幼儿园</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0"/>
      <w:bookmarkStart w:id="1" w:name="bookmark2"/>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环江毛南族自治县水源镇中心幼儿园单位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环江毛南族自治县水源镇中心幼儿园2024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环江毛南族自治县水源镇中心幼儿园2024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第一部分</w:t>
      </w:r>
      <w:r>
        <w:rPr>
          <w:rFonts w:hint="eastAsia"/>
          <w:b/>
          <w:bCs/>
          <w:sz w:val="40"/>
          <w:szCs w:val="40"/>
          <w:lang w:eastAsia="zh-CN"/>
        </w:rPr>
        <w:t>：</w:t>
      </w:r>
      <w:r>
        <w:rPr>
          <w:b/>
          <w:sz w:val="40"/>
          <w:u w:color="auto"/>
        </w:rPr>
        <w:t>环江毛南族自治县水源镇中心幼儿园</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（一）认真贯彻《中华人民共和国教育法》、《幼儿园管理条例》、《幼儿园教育指导纲要和幼儿园工作规程》，规范幼儿园各项工作。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（二）全面贯彻党和国家的教育工作方针，执行上级主管部门的有关指示和下达的各项工作任务,努力完成“育人、服务”两大任务。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（三）为学龄前儿童提供保育和教育服务，促进幼儿体、智、德、美、劳和谐发展，同时为家长参加工作、学习提供便利条件。</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（四）研究制订本园发展规划及年度计划，并指导、协调、组织规划和计划实施。完善本园保教、后勤工作相关制度，并负责实施。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本园教师工资、职称评审上报及人事管理、年度考核、事业统计年报工作，统筹规划教师队伍，强化师德师风建设，做好学校党建、党风廉政建设及清廉学校建设工作。向主管部门提交保教经费预算方案，配合县有关部门对县级下达的保教经费及其他款项教育经费的使用情况的审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（六）指导本园思想政治工作，精神文明建设工作、德育工作、教育教学工作、卫生保健工作，安全教育工作和爱国教育等工作。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内设机构情况：幼儿园实行园长负责制，园长是幼儿园的法人代表。园长在县教育局领导下，主持幼儿园工作，对幼儿园的保教工作全面负责。幼儿园党支部对幼儿园行政工作起保证监督作用，并领导群团工作。幼儿园下设办公室、园务处、保卫科、总务处、财务室、保健室等。</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（二）下属机构情况水源镇中心幼儿园下属机构有4个，其中有以下附属幼儿园：河钢幼儿园、三美小学附属幼儿园、三才小学附属幼儿园、温平小学附属幼儿园。</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（三）人员构成情况人员编制总数为16人，其中在编人数3人；教师控制数13人。教师聘用人46人。实有财政供养人数16人，其中事业在职3人，教师控制数13人，编外实有人数46。</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7"/>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环江毛南族自治县水源镇中心幼儿园</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299.59</w:t>
      </w:r>
      <w:r>
        <w:rPr>
          <w:rFonts w:hint="eastAsia"/>
          <w:b w:val="0"/>
          <w:bCs w:val="0"/>
          <w:sz w:val="28"/>
          <w:szCs w:val="28"/>
        </w:rPr>
        <w:t>万元，总支出</w:t>
      </w:r>
      <w:r>
        <w:rPr>
          <w:rFonts w:hint="eastAsia"/>
          <w:sz w:val="28"/>
          <w:szCs w:val="28"/>
          <w:lang w:val="en-US" w:eastAsia="zh-CN"/>
        </w:rPr>
        <w:t>299.59</w:t>
      </w:r>
      <w:r>
        <w:rPr>
          <w:rFonts w:hint="eastAsia"/>
          <w:b w:val="0"/>
          <w:bCs w:val="0"/>
          <w:sz w:val="28"/>
          <w:szCs w:val="28"/>
        </w:rPr>
        <w:t>万元。总收入较2023年度预算数</w:t>
      </w:r>
      <w:r>
        <w:rPr>
          <w:rFonts w:hint="eastAsia"/>
          <w:sz w:val="28"/>
          <w:szCs w:val="28"/>
          <w:lang w:val="en-US" w:eastAsia="zh-CN"/>
        </w:rPr>
        <w:t>295.93</w:t>
      </w:r>
      <w:r>
        <w:rPr>
          <w:rFonts w:hint="eastAsia"/>
          <w:b w:val="0"/>
          <w:bCs w:val="0"/>
          <w:sz w:val="28"/>
          <w:szCs w:val="28"/>
        </w:rPr>
        <w:t>万元，</w:t>
      </w:r>
      <w:r>
        <w:rPr>
          <w:rFonts w:hint="eastAsia"/>
          <w:sz w:val="28"/>
          <w:szCs w:val="28"/>
        </w:rPr>
        <w:t>增加3.66</w:t>
      </w:r>
      <w:r>
        <w:rPr>
          <w:rFonts w:hint="eastAsia"/>
          <w:b w:val="0"/>
          <w:bCs w:val="0"/>
          <w:sz w:val="28"/>
          <w:szCs w:val="28"/>
        </w:rPr>
        <w:t>万元，</w:t>
      </w:r>
      <w:r>
        <w:rPr>
          <w:rFonts w:hint="eastAsia"/>
          <w:sz w:val="28"/>
          <w:szCs w:val="28"/>
        </w:rPr>
        <w:t>增长1.24%</w:t>
      </w:r>
      <w:r>
        <w:rPr>
          <w:rFonts w:hint="eastAsia"/>
          <w:b w:val="0"/>
          <w:bCs w:val="0"/>
          <w:sz w:val="28"/>
          <w:szCs w:val="28"/>
        </w:rPr>
        <w:t>，主要原因是</w:t>
      </w:r>
      <w:r>
        <w:rPr>
          <w:rFonts w:hint="eastAsia"/>
          <w:highlight w:val="none"/>
          <w:lang w:val="en-US" w:eastAsia="zh-CN"/>
        </w:rPr>
        <w:t>1、幼儿园就读幼儿人数不断增加，以此保育教育费也不断增加；2、2024年公招教师人数增加，以此教师工资福利支出增长，社会福利和住房保障支出增长</w:t>
      </w:r>
      <w:r>
        <w:rPr>
          <w:rFonts w:hint="eastAsia"/>
          <w:b w:val="0"/>
          <w:bCs w:val="0"/>
          <w:sz w:val="28"/>
          <w:szCs w:val="28"/>
        </w:rPr>
        <w:t>。总支出较2023年度预算数</w:t>
      </w:r>
      <w:r>
        <w:rPr>
          <w:rFonts w:hint="eastAsia"/>
          <w:sz w:val="28"/>
          <w:szCs w:val="28"/>
          <w:lang w:val="en-US" w:eastAsia="zh-CN"/>
        </w:rPr>
        <w:t>295.93</w:t>
      </w:r>
      <w:r>
        <w:rPr>
          <w:rFonts w:hint="eastAsia"/>
          <w:b w:val="0"/>
          <w:bCs w:val="0"/>
          <w:sz w:val="28"/>
          <w:szCs w:val="28"/>
        </w:rPr>
        <w:t>万元，</w:t>
      </w:r>
      <w:r>
        <w:rPr>
          <w:rFonts w:hint="eastAsia"/>
          <w:sz w:val="28"/>
          <w:szCs w:val="28"/>
        </w:rPr>
        <w:t>增加3.66</w:t>
      </w:r>
      <w:r>
        <w:rPr>
          <w:rFonts w:hint="eastAsia"/>
          <w:b w:val="0"/>
          <w:bCs w:val="0"/>
          <w:sz w:val="28"/>
          <w:szCs w:val="28"/>
        </w:rPr>
        <w:t>万元，</w:t>
      </w:r>
      <w:r>
        <w:rPr>
          <w:rFonts w:hint="eastAsia"/>
          <w:sz w:val="28"/>
          <w:szCs w:val="28"/>
        </w:rPr>
        <w:t>增长1.24%</w:t>
      </w:r>
      <w:r>
        <w:rPr>
          <w:rFonts w:hint="eastAsia"/>
          <w:b w:val="0"/>
          <w:bCs w:val="0"/>
          <w:sz w:val="28"/>
          <w:szCs w:val="28"/>
        </w:rPr>
        <w:t>，主要原因是</w:t>
      </w:r>
      <w:r>
        <w:rPr>
          <w:rFonts w:hint="eastAsia"/>
          <w:highlight w:val="none"/>
          <w:lang w:val="en-US" w:eastAsia="zh-CN"/>
        </w:rPr>
        <w:t>1、2024年教师招聘人数增加，教师工资福利也增长；2、教师五险缴存基数及住房公积金缴存基数也有所提高；3、幼儿园增加教学设施设备，进行大型修缮，改善教学环境</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43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299.59</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295.93</w:t>
      </w:r>
      <w:r>
        <w:rPr>
          <w:rFonts w:hint="eastAsia" w:ascii="宋体" w:hAnsi="宋体" w:eastAsia="宋体" w:cs="宋体"/>
          <w:sz w:val="28"/>
          <w:szCs w:val="28"/>
          <w:u w:color="auto"/>
        </w:rPr>
        <w:t>万元，</w:t>
      </w:r>
      <w:r>
        <w:rPr>
          <w:rFonts w:hint="eastAsia" w:ascii="宋体" w:hAnsi="宋体" w:eastAsia="宋体" w:cs="宋体"/>
          <w:sz w:val="28"/>
          <w:szCs w:val="28"/>
        </w:rPr>
        <w:t>增加3.66</w:t>
      </w:r>
      <w:r>
        <w:rPr>
          <w:rFonts w:hint="eastAsia" w:ascii="宋体" w:hAnsi="宋体" w:eastAsia="宋体" w:cs="宋体"/>
          <w:sz w:val="28"/>
          <w:szCs w:val="28"/>
          <w:u w:color="auto"/>
        </w:rPr>
        <w:t>万元，</w:t>
      </w:r>
      <w:r>
        <w:rPr>
          <w:rFonts w:hint="eastAsia" w:ascii="宋体" w:hAnsi="宋体" w:eastAsia="宋体" w:cs="宋体"/>
          <w:sz w:val="28"/>
          <w:szCs w:val="28"/>
        </w:rPr>
        <w:t>增长1.24%</w:t>
      </w:r>
      <w:r>
        <w:rPr>
          <w:rFonts w:hint="eastAsia" w:ascii="宋体" w:hAnsi="宋体" w:eastAsia="宋体" w:cs="宋体"/>
          <w:sz w:val="28"/>
          <w:szCs w:val="28"/>
          <w:u w:color="auto"/>
        </w:rPr>
        <w:t>，主要原因是</w:t>
      </w:r>
      <w:r>
        <w:rPr>
          <w:rFonts w:hint="eastAsia"/>
          <w:highlight w:val="none"/>
          <w:lang w:val="en-US" w:eastAsia="zh-CN"/>
        </w:rPr>
        <w:t>1、2023年度教师招聘人数增加，教师工资福利也增长；2、教师五险缴存基数及住房公积金缴存基数也有所提高；3、幼儿园就读幼儿人数不断增加，以此保育教育费也不断增加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43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299.59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295.93</w:t>
      </w:r>
      <w:r>
        <w:rPr>
          <w:rFonts w:hint="eastAsia" w:ascii="宋体" w:hAnsi="宋体" w:eastAsia="宋体" w:cs="宋体"/>
          <w:sz w:val="28"/>
          <w:szCs w:val="28"/>
          <w:lang w:eastAsia="zh-CN"/>
        </w:rPr>
        <w:t>万元，</w:t>
      </w:r>
      <w:r>
        <w:rPr>
          <w:rFonts w:hint="eastAsia" w:ascii="宋体" w:hAnsi="宋体" w:eastAsia="宋体" w:cs="宋体"/>
          <w:sz w:val="28"/>
          <w:szCs w:val="28"/>
        </w:rPr>
        <w:t>增加3.66</w:t>
      </w:r>
      <w:r>
        <w:rPr>
          <w:rFonts w:hint="eastAsia" w:ascii="宋体" w:hAnsi="宋体" w:eastAsia="宋体" w:cs="宋体"/>
          <w:sz w:val="28"/>
          <w:szCs w:val="28"/>
          <w:lang w:eastAsia="zh-CN"/>
        </w:rPr>
        <w:t>万元，</w:t>
      </w:r>
      <w:r>
        <w:rPr>
          <w:rFonts w:hint="eastAsia" w:ascii="宋体" w:hAnsi="宋体" w:eastAsia="宋体" w:cs="宋体"/>
          <w:sz w:val="28"/>
          <w:szCs w:val="28"/>
        </w:rPr>
        <w:t>增长1.24%</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1、教师招聘人数增加，教师工资福利支出也不断增长；2、幼儿园设施不断完善，专用设备支出不断增加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1、2023年度教师招聘人数增加，教师工资福利也增长；2、教师五险缴存基数及住房公积金缴存基数也有所提高；3、幼儿园就读幼儿人数不断增加，以此保育教育费也不断增加</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1)教育支出</w:t>
      </w:r>
      <w:r>
        <w:rPr>
          <w:rFonts w:hint="eastAsia" w:ascii="宋体" w:hAnsi="宋体" w:eastAsia="宋体" w:cs="宋体"/>
          <w:sz w:val="28"/>
          <w:szCs w:val="28"/>
          <w:lang w:val="en-US" w:eastAsia="zh-CN"/>
        </w:rPr>
        <w:t>289.65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96.68%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增长21.83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增长8.15%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确保学校正常运转的办公费、印刷费、水电费、培训费、差旅费、会议费等日常公用经费支出，工会经费支出，聘请人员支出</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4.29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1.43%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减少10.74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减少71.46%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在职人员五险基数较低，社会保障就业支出减少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3.65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1.22%</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减少7.62</w:t>
      </w:r>
      <w:r>
        <w:rPr>
          <w:rFonts w:hint="eastAsia" w:ascii="宋体" w:hAnsi="宋体" w:eastAsia="宋体" w:cs="宋体"/>
          <w:sz w:val="28"/>
          <w:szCs w:val="28"/>
        </w:rPr>
        <w:t>万元，</w:t>
      </w:r>
      <w:r>
        <w:rPr>
          <w:rFonts w:hint="eastAsia" w:ascii="宋体" w:hAnsi="宋体" w:eastAsia="宋体" w:cs="宋体"/>
          <w:sz w:val="28"/>
          <w:szCs w:val="28"/>
          <w:lang w:val="en-US" w:eastAsia="zh-CN"/>
        </w:rPr>
        <w:t>减少67.61%</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在职人员住房公积金基数较低，住房保障支出减少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2.00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0.67%</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增长0.18</w:t>
      </w:r>
      <w:r>
        <w:rPr>
          <w:rFonts w:hint="eastAsia" w:ascii="宋体" w:hAnsi="宋体" w:eastAsia="宋体" w:cs="宋体"/>
          <w:sz w:val="28"/>
          <w:szCs w:val="28"/>
        </w:rPr>
        <w:t>万元，</w:t>
      </w:r>
      <w:r>
        <w:rPr>
          <w:rFonts w:hint="eastAsia" w:ascii="宋体" w:hAnsi="宋体" w:eastAsia="宋体" w:cs="宋体"/>
          <w:sz w:val="28"/>
          <w:szCs w:val="28"/>
          <w:lang w:val="en-US" w:eastAsia="zh-CN"/>
        </w:rPr>
        <w:t>增长9.89%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主要确保学校团体事业顺利发展，开展各种团体活动，促进教育事业的有效进行</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174.74</w:t>
      </w:r>
      <w:r>
        <w:rPr>
          <w:rFonts w:hint="eastAsia" w:ascii="宋体" w:hAnsi="宋体" w:eastAsia="宋体" w:cs="宋体"/>
          <w:sz w:val="28"/>
          <w:szCs w:val="28"/>
        </w:rPr>
        <w:t>万元，占支出预算</w:t>
      </w:r>
      <w:r>
        <w:rPr>
          <w:rFonts w:ascii="宋体" w:hAnsi="宋体" w:eastAsia="宋体" w:cs="宋体"/>
          <w:sz w:val="28"/>
          <w:u w:color="auto"/>
        </w:rPr>
        <w:t>58.33%,比上年增长58.85万元，增长50.78%</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172.74</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98.86%</w:t>
      </w:r>
      <w:r>
        <w:rPr>
          <w:rFonts w:hint="eastAsia" w:ascii="宋体" w:hAnsi="宋体" w:eastAsia="宋体" w:cs="宋体"/>
          <w:sz w:val="28"/>
          <w:szCs w:val="28"/>
        </w:rPr>
        <w:t>,比上年</w:t>
      </w:r>
      <w:r>
        <w:rPr>
          <w:rFonts w:ascii="宋体" w:hAnsi="宋体" w:eastAsia="宋体" w:cs="宋体"/>
          <w:sz w:val="28"/>
          <w:u w:color="auto"/>
        </w:rPr>
        <w:t>增长58.67万元，增长51.43%,主要原因是：1、教师招聘人数增加，教师工资福利支出也不断增长；确保幼儿园顺利开展，不断完善各种设施设备，保证教学顺利进行</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2.00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1.14%</w:t>
      </w:r>
      <w:r>
        <w:rPr>
          <w:rFonts w:hint="eastAsia" w:ascii="宋体" w:hAnsi="宋体" w:eastAsia="宋体" w:cs="宋体"/>
          <w:sz w:val="28"/>
          <w:szCs w:val="28"/>
        </w:rPr>
        <w:t>,比上年</w:t>
      </w:r>
      <w:r>
        <w:rPr>
          <w:rFonts w:ascii="宋体" w:hAnsi="宋体" w:eastAsia="宋体" w:cs="宋体"/>
          <w:sz w:val="28"/>
          <w:u w:color="auto"/>
        </w:rPr>
        <w:t>增长0.18万元，增长9.89%,主要原因是：确保学校正常运转的办公费、印刷费、水电费、培训费、差旅费、会议费等日常公用经费支出</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124.86</w:t>
      </w:r>
      <w:r>
        <w:rPr>
          <w:rFonts w:hint="eastAsia" w:ascii="宋体" w:hAnsi="宋体" w:eastAsia="宋体" w:cs="宋体"/>
          <w:sz w:val="28"/>
          <w:szCs w:val="28"/>
        </w:rPr>
        <w:t>万元，占支出预算</w:t>
      </w:r>
      <w:r>
        <w:rPr>
          <w:rFonts w:ascii="宋体" w:hAnsi="宋体" w:eastAsia="宋体" w:cs="宋体"/>
          <w:sz w:val="28"/>
          <w:u w:color="auto"/>
        </w:rPr>
        <w:t>41.68%</w:t>
      </w:r>
      <w:r>
        <w:rPr>
          <w:rFonts w:hint="eastAsia" w:ascii="宋体" w:hAnsi="宋体" w:eastAsia="宋体" w:cs="宋体"/>
          <w:sz w:val="28"/>
          <w:szCs w:val="28"/>
        </w:rPr>
        <w:t>,比上年</w:t>
      </w:r>
      <w:r>
        <w:rPr>
          <w:rFonts w:ascii="宋体" w:hAnsi="宋体" w:eastAsia="宋体" w:cs="宋体"/>
          <w:sz w:val="28"/>
          <w:u w:color="auto"/>
        </w:rPr>
        <w:t>减少55.18</w:t>
      </w:r>
      <w:r>
        <w:rPr>
          <w:rFonts w:hint="eastAsia" w:ascii="宋体" w:hAnsi="宋体" w:eastAsia="宋体" w:cs="宋体"/>
          <w:sz w:val="28"/>
          <w:szCs w:val="28"/>
        </w:rPr>
        <w:t>万元，</w:t>
      </w:r>
      <w:r>
        <w:rPr>
          <w:rFonts w:ascii="宋体" w:hAnsi="宋体" w:eastAsia="宋体" w:cs="宋体"/>
          <w:sz w:val="28"/>
          <w:u w:color="auto"/>
        </w:rPr>
        <w:t>减少30.65%</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1)资本性支出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减少7.50万元，减少100.00%,主要原因是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确保幼儿园顺利开展，不断完善各种设施设备，保证教学顺利进行</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28.86</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23.11%</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减少13.52万元，减少31.90%,主要原因是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确保学校正常运转的办公费、印刷费、水电费、培训费、差旅费、会议费等日常公用经费支出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3)工资福利支出</w:t>
      </w:r>
      <w:r>
        <w:rPr>
          <w:rFonts w:hint="eastAsia" w:ascii="宋体" w:hAnsi="宋体" w:eastAsia="宋体" w:cs="宋体"/>
          <w:sz w:val="28"/>
          <w:szCs w:val="28"/>
          <w:lang w:val="en-US" w:eastAsia="zh-CN"/>
        </w:rPr>
        <w:t>96.00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76.89%</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减少34.16万元，减少26.24%,主要原因是</w:t>
      </w:r>
      <w:r>
        <w:rPr>
          <w:rFonts w:hint="eastAsia" w:ascii="宋体" w:hAnsi="宋体" w:eastAsia="宋体" w:cs="宋体"/>
          <w:color w:val="000000"/>
          <w:sz w:val="28"/>
          <w:szCs w:val="28"/>
          <w:lang w:val="zh-TW" w:eastAsia="zh-TW" w:bidi="zh-TW"/>
        </w:rPr>
        <w:t>：</w:t>
      </w:r>
      <w:r>
        <w:rPr>
          <w:rFonts w:hint="eastAsia" w:ascii="宋体" w:hAnsi="宋体" w:eastAsia="宋体" w:cs="宋体"/>
          <w:color w:val="000000"/>
          <w:sz w:val="28"/>
          <w:szCs w:val="28"/>
          <w:lang w:val="en-US" w:eastAsia="zh-CN" w:bidi="zh-TW"/>
        </w:rPr>
        <w:t xml:space="preserve">  </w:t>
      </w:r>
      <w:r>
        <w:rPr>
          <w:rFonts w:hint="eastAsia" w:ascii="宋体" w:hAnsi="宋体" w:eastAsia="宋体" w:cs="宋体"/>
          <w:color w:val="000000"/>
          <w:sz w:val="28"/>
          <w:szCs w:val="28"/>
          <w:lang w:val="zh-TW" w:eastAsia="zh-TW" w:bidi="zh-TW"/>
        </w:rPr>
        <w:t>2024年聘用教师人数减少，工资福利支出也逐渐减少</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43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299.59</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299.59</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295.93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增长1.24%</w:t>
      </w:r>
      <w:r>
        <w:rPr>
          <w:rFonts w:hint="eastAsia" w:ascii="宋体" w:hAnsi="宋体" w:eastAsia="宋体" w:cs="宋体"/>
          <w:sz w:val="28"/>
          <w:szCs w:val="28"/>
        </w:rPr>
        <w:t>，主要原因是</w:t>
      </w:r>
      <w:r>
        <w:rPr>
          <w:rFonts w:hint="eastAsia"/>
          <w:highlight w:val="none"/>
          <w:lang w:val="en-US" w:eastAsia="zh-CN"/>
        </w:rPr>
        <w:t>主要确保学校正常运转的办公费、印刷费、水电费、培训费、差旅费、会议费等日常公用经费支出，工会经费支出，聘请人员支出</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295.93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增长1.24%</w:t>
      </w:r>
      <w:r>
        <w:rPr>
          <w:rFonts w:hint="eastAsia" w:ascii="宋体" w:hAnsi="宋体" w:eastAsia="宋体" w:cs="宋体"/>
          <w:sz w:val="28"/>
          <w:szCs w:val="28"/>
        </w:rPr>
        <w:t>，主要原因是</w:t>
      </w:r>
      <w:r>
        <w:rPr>
          <w:rFonts w:hint="eastAsia"/>
          <w:highlight w:val="none"/>
          <w:lang w:val="en-US" w:eastAsia="zh-CN"/>
        </w:rPr>
        <w:t>主要确保学校正常运转的办公费、印刷费、水电费、培训费、差旅费、会议费等日常公用经费支出，工会经费支出，聘请人员支出</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243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299.59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295.93</w:t>
      </w:r>
      <w:r>
        <w:rPr>
          <w:rFonts w:hint="eastAsia" w:ascii="宋体" w:hAnsi="宋体" w:eastAsia="宋体" w:cs="宋体"/>
          <w:sz w:val="28"/>
          <w:szCs w:val="28"/>
        </w:rPr>
        <w:t>万元，</w:t>
      </w:r>
      <w:r>
        <w:rPr>
          <w:rFonts w:hint="eastAsia" w:ascii="宋体" w:hAnsi="宋体" w:eastAsia="宋体" w:cs="宋体"/>
          <w:sz w:val="28"/>
          <w:szCs w:val="28"/>
          <w:lang w:val="en-US" w:eastAsia="zh-CN"/>
        </w:rPr>
        <w:t>增加3.66</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增长1.24%</w:t>
      </w:r>
      <w:r>
        <w:rPr>
          <w:rFonts w:hint="eastAsia" w:ascii="宋体" w:hAnsi="宋体" w:eastAsia="宋体" w:cs="宋体"/>
          <w:sz w:val="28"/>
          <w:szCs w:val="28"/>
        </w:rPr>
        <w:t>，主要原因是</w:t>
      </w:r>
      <w:r>
        <w:rPr>
          <w:rFonts w:hint="eastAsia"/>
          <w:highlight w:val="none"/>
          <w:lang w:val="en-US" w:eastAsia="zh-CN"/>
        </w:rPr>
        <w:t>主要确保学校正常运转的办公费、印刷费、水电费、培训费、差旅费、会议费等日常公用经费支出，工会经费支出，聘请人员支出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2.00</w:t>
      </w:r>
      <w:r>
        <w:rPr>
          <w:rFonts w:hint="eastAsia" w:ascii="宋体" w:hAnsi="宋体" w:eastAsia="宋体" w:cs="宋体"/>
          <w:sz w:val="28"/>
          <w:szCs w:val="28"/>
        </w:rPr>
        <w:t>万元，占支出总预算的</w:t>
      </w:r>
      <w:r>
        <w:rPr>
          <w:rFonts w:ascii="宋体" w:hAnsi="宋体" w:eastAsia="宋体" w:cs="宋体"/>
          <w:sz w:val="28"/>
          <w:u w:color="auto"/>
        </w:rPr>
        <w:t>0.67%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1.82</w:t>
      </w:r>
      <w:r>
        <w:rPr>
          <w:rFonts w:hint="eastAsia" w:ascii="宋体" w:hAnsi="宋体" w:eastAsia="宋体" w:cs="宋体"/>
          <w:sz w:val="28"/>
          <w:szCs w:val="28"/>
        </w:rPr>
        <w:t>万元，</w:t>
      </w:r>
      <w:r>
        <w:rPr>
          <w:rFonts w:ascii="宋体" w:hAnsi="宋体" w:eastAsia="宋体" w:cs="宋体"/>
          <w:sz w:val="28"/>
          <w:u w:color="auto"/>
        </w:rPr>
        <w:t>增长0.18</w:t>
      </w:r>
      <w:r>
        <w:rPr>
          <w:rFonts w:hint="eastAsia" w:ascii="宋体" w:hAnsi="宋体" w:eastAsia="宋体" w:cs="宋体"/>
          <w:sz w:val="28"/>
          <w:szCs w:val="28"/>
        </w:rPr>
        <w:t>万元，</w:t>
      </w:r>
      <w:r>
        <w:rPr>
          <w:rFonts w:ascii="宋体" w:hAnsi="宋体" w:eastAsia="宋体" w:cs="宋体"/>
          <w:sz w:val="28"/>
          <w:u w:color="auto"/>
        </w:rPr>
        <w:t>增长9.89%</w:t>
      </w:r>
      <w:r>
        <w:rPr>
          <w:rFonts w:hint="eastAsia" w:ascii="宋体" w:hAnsi="宋体" w:eastAsia="宋体" w:cs="宋体"/>
          <w:sz w:val="28"/>
          <w:szCs w:val="28"/>
        </w:rPr>
        <w:t>，主要原因是：</w:t>
      </w:r>
      <w:r>
        <w:rPr>
          <w:rFonts w:hint="eastAsia"/>
          <w:highlight w:val="none"/>
        </w:rPr>
        <w:t>主要确保学校团体事业顺利发展，开展各种团体活动，促进教育事业的有效进行</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3.65</w:t>
      </w:r>
      <w:r>
        <w:rPr>
          <w:rFonts w:hint="eastAsia" w:ascii="宋体" w:hAnsi="宋体" w:eastAsia="宋体" w:cs="宋体"/>
          <w:sz w:val="28"/>
          <w:szCs w:val="28"/>
        </w:rPr>
        <w:t>万元，占支出总预算的</w:t>
      </w:r>
      <w:r>
        <w:rPr>
          <w:rFonts w:ascii="宋体" w:hAnsi="宋体" w:eastAsia="宋体" w:cs="宋体"/>
          <w:sz w:val="28"/>
          <w:u w:color="auto"/>
        </w:rPr>
        <w:t>1.22%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11.27</w:t>
      </w:r>
      <w:r>
        <w:rPr>
          <w:rFonts w:hint="eastAsia" w:ascii="宋体" w:hAnsi="宋体" w:eastAsia="宋体" w:cs="宋体"/>
          <w:sz w:val="28"/>
          <w:szCs w:val="28"/>
        </w:rPr>
        <w:t>万元，</w:t>
      </w:r>
      <w:r>
        <w:rPr>
          <w:rFonts w:ascii="宋体" w:hAnsi="宋体" w:eastAsia="宋体" w:cs="宋体"/>
          <w:sz w:val="28"/>
          <w:u w:color="auto"/>
        </w:rPr>
        <w:t>减少7.62</w:t>
      </w:r>
      <w:r>
        <w:rPr>
          <w:rFonts w:hint="eastAsia" w:ascii="宋体" w:hAnsi="宋体" w:eastAsia="宋体" w:cs="宋体"/>
          <w:sz w:val="28"/>
          <w:szCs w:val="28"/>
        </w:rPr>
        <w:t>万元，</w:t>
      </w:r>
      <w:r>
        <w:rPr>
          <w:rFonts w:ascii="宋体" w:hAnsi="宋体" w:eastAsia="宋体" w:cs="宋体"/>
          <w:sz w:val="28"/>
          <w:u w:color="auto"/>
        </w:rPr>
        <w:t>减少67.61%</w:t>
      </w:r>
      <w:r>
        <w:rPr>
          <w:rFonts w:hint="eastAsia" w:ascii="宋体" w:hAnsi="宋体" w:eastAsia="宋体" w:cs="宋体"/>
          <w:sz w:val="28"/>
          <w:szCs w:val="28"/>
        </w:rPr>
        <w:t>，主要原因是：</w:t>
      </w:r>
      <w:r>
        <w:rPr>
          <w:rFonts w:hint="eastAsia"/>
          <w:highlight w:val="none"/>
        </w:rPr>
        <w:t>在职人员住房公积金基数较低，住房保障支出减少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289.65</w:t>
      </w:r>
      <w:r>
        <w:rPr>
          <w:rFonts w:hint="eastAsia" w:ascii="宋体" w:hAnsi="宋体" w:eastAsia="宋体" w:cs="宋体"/>
          <w:sz w:val="28"/>
          <w:szCs w:val="28"/>
        </w:rPr>
        <w:t>万元，占支出总预算的</w:t>
      </w:r>
      <w:r>
        <w:rPr>
          <w:rFonts w:ascii="宋体" w:hAnsi="宋体" w:eastAsia="宋体" w:cs="宋体"/>
          <w:sz w:val="28"/>
          <w:u w:color="auto"/>
        </w:rPr>
        <w:t>96.68%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267.82</w:t>
      </w:r>
      <w:r>
        <w:rPr>
          <w:rFonts w:hint="eastAsia" w:ascii="宋体" w:hAnsi="宋体" w:eastAsia="宋体" w:cs="宋体"/>
          <w:sz w:val="28"/>
          <w:szCs w:val="28"/>
        </w:rPr>
        <w:t>万元，</w:t>
      </w:r>
      <w:r>
        <w:rPr>
          <w:rFonts w:ascii="宋体" w:hAnsi="宋体" w:eastAsia="宋体" w:cs="宋体"/>
          <w:sz w:val="28"/>
          <w:u w:color="auto"/>
        </w:rPr>
        <w:t>增长21.83</w:t>
      </w:r>
      <w:r>
        <w:rPr>
          <w:rFonts w:hint="eastAsia" w:ascii="宋体" w:hAnsi="宋体" w:eastAsia="宋体" w:cs="宋体"/>
          <w:sz w:val="28"/>
          <w:szCs w:val="28"/>
        </w:rPr>
        <w:t>万元，</w:t>
      </w:r>
      <w:r>
        <w:rPr>
          <w:rFonts w:ascii="宋体" w:hAnsi="宋体" w:eastAsia="宋体" w:cs="宋体"/>
          <w:sz w:val="28"/>
          <w:u w:color="auto"/>
        </w:rPr>
        <w:t>增长8.15%</w:t>
      </w:r>
      <w:r>
        <w:rPr>
          <w:rFonts w:hint="eastAsia" w:ascii="宋体" w:hAnsi="宋体" w:eastAsia="宋体" w:cs="宋体"/>
          <w:sz w:val="28"/>
          <w:szCs w:val="28"/>
        </w:rPr>
        <w:t>，主要原因是：</w:t>
      </w:r>
      <w:r>
        <w:rPr>
          <w:rFonts w:hint="eastAsia"/>
          <w:highlight w:val="none"/>
        </w:rPr>
        <w:t>1、2023年度教师招聘人数增加，教师工资福利也增长；2、幼儿园就读幼儿人数不断增加，以此保育教育费也不断增加；3、提高教有质量的教学环境，学校不断增加教学设备，完善学校设施，改进教育教学环境</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4.29</w:t>
      </w:r>
      <w:r>
        <w:rPr>
          <w:rFonts w:hint="eastAsia" w:ascii="宋体" w:hAnsi="宋体" w:eastAsia="宋体" w:cs="宋体"/>
          <w:sz w:val="28"/>
          <w:szCs w:val="28"/>
        </w:rPr>
        <w:t>万元，占支出总预算的</w:t>
      </w:r>
      <w:r>
        <w:rPr>
          <w:rFonts w:ascii="宋体" w:hAnsi="宋体" w:eastAsia="宋体" w:cs="宋体"/>
          <w:sz w:val="28"/>
          <w:u w:color="auto"/>
        </w:rPr>
        <w:t>1.43%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15.03</w:t>
      </w:r>
      <w:r>
        <w:rPr>
          <w:rFonts w:hint="eastAsia" w:ascii="宋体" w:hAnsi="宋体" w:eastAsia="宋体" w:cs="宋体"/>
          <w:sz w:val="28"/>
          <w:szCs w:val="28"/>
        </w:rPr>
        <w:t>万元，</w:t>
      </w:r>
      <w:r>
        <w:rPr>
          <w:rFonts w:ascii="宋体" w:hAnsi="宋体" w:eastAsia="宋体" w:cs="宋体"/>
          <w:sz w:val="28"/>
          <w:u w:color="auto"/>
        </w:rPr>
        <w:t>减少10.74</w:t>
      </w:r>
      <w:r>
        <w:rPr>
          <w:rFonts w:hint="eastAsia" w:ascii="宋体" w:hAnsi="宋体" w:eastAsia="宋体" w:cs="宋体"/>
          <w:sz w:val="28"/>
          <w:szCs w:val="28"/>
        </w:rPr>
        <w:t>万元，</w:t>
      </w:r>
      <w:r>
        <w:rPr>
          <w:rFonts w:ascii="宋体" w:hAnsi="宋体" w:eastAsia="宋体" w:cs="宋体"/>
          <w:sz w:val="28"/>
          <w:u w:color="auto"/>
        </w:rPr>
        <w:t>减少71.46%</w:t>
      </w:r>
      <w:r>
        <w:rPr>
          <w:rFonts w:hint="eastAsia" w:ascii="宋体" w:hAnsi="宋体" w:eastAsia="宋体" w:cs="宋体"/>
          <w:sz w:val="28"/>
          <w:szCs w:val="28"/>
        </w:rPr>
        <w:t>，主要原因是：</w:t>
      </w:r>
      <w:r>
        <w:rPr>
          <w:rFonts w:hint="eastAsia"/>
          <w:highlight w:val="none"/>
        </w:rPr>
        <w:t>在职人员五险基数较低，社会保障就业支出减少</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43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174.74</w:t>
      </w:r>
      <w:r>
        <w:rPr>
          <w:rFonts w:hint="eastAsia"/>
        </w:rPr>
        <w:t>万元，较2023年度预算数</w:t>
      </w:r>
      <w:r>
        <w:rPr>
          <w:rFonts w:hint="eastAsia"/>
          <w:lang w:val="en-US" w:eastAsia="zh-CN"/>
        </w:rPr>
        <w:t>115.89</w:t>
      </w:r>
      <w:r>
        <w:rPr>
          <w:rFonts w:hint="eastAsia"/>
        </w:rPr>
        <w:t>万元</w:t>
      </w:r>
      <w:r>
        <w:rPr>
          <w:rFonts w:hint="eastAsia"/>
          <w:lang w:val="en-US" w:eastAsia="zh-CN"/>
        </w:rPr>
        <w:t>,</w:t>
      </w:r>
      <w:r>
        <w:rPr>
          <w:u w:color="auto"/>
        </w:rPr>
        <w:t>增加58.85</w:t>
      </w:r>
      <w:r>
        <w:rPr>
          <w:rFonts w:hint="eastAsia"/>
        </w:rPr>
        <w:t>万元，</w:t>
      </w:r>
      <w:r>
        <w:rPr>
          <w:rFonts w:hint="eastAsia"/>
          <w:lang w:val="en-US" w:eastAsia="zh-CN"/>
        </w:rPr>
        <w:t>增长50.78%</w:t>
      </w:r>
      <w:r>
        <w:rPr>
          <w:rFonts w:hint="eastAsia"/>
        </w:rPr>
        <w:t>，主要原因是</w:t>
      </w:r>
      <w:r>
        <w:rPr>
          <w:rFonts w:hint="eastAsia"/>
          <w:highlight w:val="none"/>
          <w:lang w:val="en-US" w:eastAsia="zh-CN"/>
        </w:rPr>
        <w:t>主要确保学校正常运转的办公费、印刷费、水电费、培训费、差旅费、会议费等日常公用经费支出，工会经费支出，聘请人员支出。</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172.74</w:t>
      </w:r>
      <w:r>
        <w:t>万元</w:t>
      </w:r>
      <w:r>
        <w:rPr>
          <w:rFonts w:hint="eastAsia"/>
          <w:lang w:eastAsia="zh-CN"/>
        </w:rPr>
        <w:t>，</w:t>
      </w:r>
      <w:r>
        <w:rPr>
          <w:rFonts w:hint="eastAsia"/>
        </w:rPr>
        <w:t>占基本支出预算的</w:t>
      </w:r>
      <w:r>
        <w:rPr>
          <w:rFonts w:hint="eastAsia"/>
          <w:lang w:val="en-US" w:eastAsia="zh-CN"/>
        </w:rPr>
        <w:t>98.86%</w:t>
      </w:r>
      <w:r>
        <w:rPr>
          <w:rFonts w:hint="eastAsia"/>
        </w:rPr>
        <w:t>，较2023年度预算数</w:t>
      </w:r>
      <w:r>
        <w:rPr>
          <w:rFonts w:hint="eastAsia"/>
          <w:lang w:val="en-US" w:eastAsia="zh-CN"/>
        </w:rPr>
        <w:t>114.07</w:t>
      </w:r>
      <w:r>
        <w:rPr>
          <w:rFonts w:hint="eastAsia"/>
        </w:rPr>
        <w:t>万元，</w:t>
      </w:r>
      <w:r>
        <w:rPr>
          <w:rFonts w:hint="eastAsia"/>
          <w:lang w:val="en-US" w:eastAsia="zh-CN"/>
        </w:rPr>
        <w:t>增长58.67</w:t>
      </w:r>
      <w:r>
        <w:rPr>
          <w:rFonts w:hint="eastAsia"/>
        </w:rPr>
        <w:t>万元，</w:t>
      </w:r>
      <w:r>
        <w:rPr>
          <w:rFonts w:hint="eastAsia"/>
          <w:lang w:val="en-US" w:eastAsia="zh-CN"/>
        </w:rPr>
        <w:t>增长51.43%</w:t>
      </w:r>
      <w:r>
        <w:rPr>
          <w:rFonts w:hint="eastAsia"/>
        </w:rPr>
        <w:t>，主要原因是：</w:t>
      </w:r>
      <w:r>
        <w:rPr>
          <w:rFonts w:hint="eastAsia"/>
          <w:highlight w:val="none"/>
        </w:rPr>
        <w:t>1、教师招聘人数增加，教师工资福利支出也不断增长。</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2.00</w:t>
      </w:r>
      <w:r>
        <w:t>万元</w:t>
      </w:r>
      <w:r>
        <w:rPr>
          <w:rFonts w:hint="eastAsia"/>
          <w:lang w:eastAsia="zh-CN"/>
        </w:rPr>
        <w:t>，</w:t>
      </w:r>
      <w:r>
        <w:rPr>
          <w:rFonts w:hint="eastAsia"/>
        </w:rPr>
        <w:t>占基本支出预算的</w:t>
      </w:r>
      <w:r>
        <w:rPr>
          <w:rFonts w:hint="eastAsia"/>
          <w:lang w:val="en-US" w:eastAsia="zh-CN"/>
        </w:rPr>
        <w:t>1.14%</w:t>
      </w:r>
      <w:r>
        <w:rPr>
          <w:rFonts w:hint="eastAsia"/>
        </w:rPr>
        <w:t>，较2023年度预算数</w:t>
      </w:r>
      <w:r>
        <w:rPr>
          <w:rFonts w:hint="eastAsia"/>
          <w:lang w:val="en-US" w:eastAsia="zh-CN"/>
        </w:rPr>
        <w:t>1.82</w:t>
      </w:r>
      <w:r>
        <w:rPr>
          <w:rFonts w:hint="eastAsia"/>
        </w:rPr>
        <w:t>万元，</w:t>
      </w:r>
      <w:r>
        <w:rPr>
          <w:rFonts w:hint="eastAsia"/>
          <w:lang w:val="en-US" w:eastAsia="zh-CN"/>
        </w:rPr>
        <w:t>增长0.18</w:t>
      </w:r>
      <w:r>
        <w:rPr>
          <w:rFonts w:hint="eastAsia"/>
        </w:rPr>
        <w:t>万元，</w:t>
      </w:r>
      <w:r>
        <w:rPr>
          <w:rFonts w:hint="eastAsia"/>
          <w:lang w:val="en-US" w:eastAsia="zh-CN"/>
        </w:rPr>
        <w:t>增长9.89%</w:t>
      </w:r>
      <w:r>
        <w:rPr>
          <w:rFonts w:hint="eastAsia"/>
        </w:rPr>
        <w:t>，主要原因是：</w:t>
      </w:r>
      <w:r>
        <w:rPr>
          <w:rFonts w:hint="eastAsia"/>
          <w:highlight w:val="none"/>
        </w:rPr>
        <w:t>确保幼儿园顺利开展，不断完善各种设施设备，保证教学顺利进行。</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43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本单位无“三公”经费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本单位无公务接待费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本单位无公务用车购置及运行费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本单位无政府性基金预算支出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本单位无国有资本经营预算支出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1.82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增加0.18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增长9.89%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本单位无机关运行经费</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主要用于：购买办公设备：打印机、空调、触摸一体机。</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5</w:t>
      </w:r>
      <w:r>
        <w:rPr>
          <w:rFonts w:hint="eastAsia" w:ascii="宋体" w:hAnsi="宋体" w:eastAsia="宋体" w:cs="宋体"/>
          <w:sz w:val="28"/>
          <w:szCs w:val="28"/>
          <w:lang w:eastAsia="zh-CN"/>
        </w:rPr>
        <w:t>个，预算资金</w:t>
      </w:r>
      <w:r>
        <w:rPr>
          <w:rFonts w:hint="eastAsia"/>
          <w:sz w:val="28"/>
          <w:szCs w:val="28"/>
          <w:highlight w:val="none"/>
          <w:lang w:val="en-US" w:eastAsia="zh-CN"/>
        </w:rPr>
        <w:t>242.42</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重点项目一：重点名称：学前教育免除保教费中央补助资金，预算资金268500元，2024年绩效目标为：根据</w:t>
      </w:r>
      <w:r>
        <w:rPr>
          <w:rFonts w:hint="eastAsia"/>
          <w:sz w:val="28"/>
          <w:szCs w:val="28"/>
          <w:highlight w:val="none"/>
          <w:lang w:val="en-US" w:eastAsia="zh-CN"/>
        </w:rPr>
        <w:tab/>
      </w:r>
      <w:r>
        <w:rPr>
          <w:rFonts w:hint="eastAsia"/>
          <w:sz w:val="28"/>
          <w:szCs w:val="28"/>
          <w:highlight w:val="none"/>
          <w:lang w:val="en-US" w:eastAsia="zh-CN"/>
        </w:rPr>
        <w:t>环教通〔2023〕17号文环江毛南族自治县教育局关于下达2023年春季学期学前教育免除保教费补助资金的文件通知、环江毛南族自治县水源镇中心幼儿园以及辖区内11所幼儿免除保教费共83000元。通过项目的实施，减轻原学前教育建档立卡贫困户家庭的就学负担，使原学前教育建档立卡贫困户幼儿顺利入园。对在读的学前原建档立卡贫困家庭儿童，以及家庭经济困难残疾学生、农村低保家庭学生、农村特困救助供养等四类家庭经济困难在园幼儿进行资助。设1条数量指标：学前教育免除保教费中央补助资金的学生人数139人；设1条质量指标：补助发放合规率达100%；设1条时效指标：按春秋学期免除学前教育免除保教费中央补助资金;设1条成本指标：学前教育免除保教费中央补助资金≤83000；设1条可持续影响指标：提高学生入学的幸福感，促进教育发展；设1条满意度指标：学生家长及教师对免除保教费补助的满意度≥98%。</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环江毛南族自治县水源镇中心幼儿园</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环江毛南族自治县水源镇中心幼儿园</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296.24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296.24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289.65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4.29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296.24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299.59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3.36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299.59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299.59</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环江毛南族自治县水源镇中心幼儿园</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201017</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环江毛南族自治县水源镇中心幼儿园</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299.59</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296.24</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296.24</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3.36</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3.36</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环江毛南族自治县水源镇中心幼儿园</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299.59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174.74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124.86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201017</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299.59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174.74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124.86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学前教育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289.65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164.80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124.86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环江毛南族自治县水源镇中心幼儿园</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296.24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296.24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289.65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4.29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296.24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299.59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3.36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299.59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299.59</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8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环江毛南族自治县水源镇中心幼儿园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201017</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299.59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174.74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172.74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124.86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学前教育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289.65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164.80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164.80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124.86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4.29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3.65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环江毛南族自治县水源镇中心幼儿园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174.74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172.74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172.74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172.74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74.24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环江毛南族自治县水源镇中心幼儿园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201017</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环江毛南族自治县水源镇中心幼儿园</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学前教育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环江毛南族自治县水源镇中心幼儿园</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环江毛南族自治县水源镇中心幼儿园</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 环教通〔2023〕17号文环江毛南族自治县教育局关于下达2023年春季学期学前教育免除保教费补助资金的文件通知、环江毛南族自治县水源镇中心幼儿园以及辖区内11所幼儿免除保教费共83000元。通过项目的实施，减轻原学前教育建档立卡贫困户家庭的就学负担，使原学前教育建档立卡贫困户幼儿顺利入园。对在读的学前原建档立卡贫困家庭儿童，以及家庭经济困难残疾学生、农村低保家庭学生、农村特困救助供养等四类家庭经济困难在园幼儿进行资助。</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普惠性民办幼儿园奖补中央补助资金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年中调整</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环江县水源镇中心幼儿园年初预算经费（非三保）</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环发改价【2019】7号文件关于调整我县公办幼儿园保育教育费收费标准的通知依据相关资金管理办法，教育保育费收费标准为中心园1400元／人／学期，附属园收费标准为1250元／人／学期，总收入135万，支出135万，其中110万支付幼儿园聘用人员工资、五险费，25万支付办公经费，要达到保障幼儿园人员工资支出和幼儿园正常运转的目的，实现合理安排人员工资、付日常办公费支出、资本性支出，保障人员工资支出和正常运转,确保资金规范使用效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年中调整</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201017</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普惠性民办幼儿园奖补自治区补助资金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通过普惠幼儿园奖补县本级奖补资金保障各项工作正常运转，通过普惠幼儿园奖补县本级奖补资金提高幼儿教育质量</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5"/>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kp6fsDAgAADAQAAA4AAABkcnMvZTJvRG9jLnhtbK1TwY7TMBC9I/EP&#10;lu80bU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auXM86csNTz87ev5+8/&#10;zz++sHlyqPOhpMR7v8VxFwgmuX2DNn1JCOuzq6erq6qPTFJwtpgvFlMyXNLZZUM8xcPvHkN8p8Cy&#10;BCqO1LbspjjehjikXlLSbQ422hiKi9K4PwLEmSJFqnioMaHY7/qx8B3UJxKMMExC8HKj6c5bEeJW&#10;ILWe6qTHEe9oaQx0FYcRcdYCfv5XPOVTR+iUs45GqeKOXg5n5r2jTqWpuwC8gN0FuIN9CzSbZD1G&#10;kyH9IJwkuopHzg4e9b7N1Salwb85RJKfXUnaBkGjZBqS7Os40GkKf9/nrIdHv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kp6fs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439"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B9RLws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441"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NJfEHA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uQ7AEAgAADAQAAA4AAABkcnMvZTJvRG9jLnhtbK1TwY7TMBC9I/EP&#10;lu80bbVCJW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n19dzTlzwlLPH759ffj+&#10;8+HHF/Ym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p7kOw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3"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alP0FQ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4"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pc9/x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3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CIY3xj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4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EXGKn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U7zTqnxkvkP+61uqyhHBU8Iq5zf4+9Mv+U1fBD0IIw89gC4dA2+vvc9hxIch2qLPF1/FXtRHtu4cee3QoujRQ==" w:salt="I5PsYUdlNOrRbiFnN/nLX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Dg4ZmJkNDJhZjkyNzE5MzgyZjAyYmZiN2MwYTcifQ=="/>
  </w:docVars>
  <w:rsids>
    <w:rsidRoot w:val="00000000"/>
    <w:rsid w:val="0AE86D4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299.59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2</c:v>
                </c:pt>
                <c:pt idx="1">
                  <c:v>286.3</c:v>
                </c:pt>
                <c:pt idx="2">
                  <c:v>4.29</c:v>
                </c:pt>
                <c:pt idx="3">
                  <c:v>3.65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295.93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299.59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174.74</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121.5</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2</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172.74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172.74</c:v>
                </c:pt>
                <c:pt idx="1">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c87ed-e30a-41d3-bb65-8674f94069bf}">
  <ds:schemaRefs/>
</ds:datastoreItem>
</file>

<file path=customXml/itemProps3.xml><?xml version="1.0" encoding="utf-8"?>
<ds:datastoreItem xmlns:ds="http://schemas.openxmlformats.org/officeDocument/2006/customXml" ds:itemID="{dccc35d5-5ee9-4733-8fd4-75b0e9979ade}">
  <ds:schemaRefs/>
</ds:datastoreItem>
</file>

<file path=customXml/itemProps4.xml><?xml version="1.0" encoding="utf-8"?>
<ds:datastoreItem xmlns:ds="http://schemas.openxmlformats.org/officeDocument/2006/customXml" ds:itemID="{3ae92601-54f9-4863-b206-3bc1b6099c9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11</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韦玉</cp:lastModifiedBy>
  <dcterms:modified xsi:type="dcterms:W3CDTF">2024-03-06T06:59:45Z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98EBC45F6142449F8266975EBEECA76D_13</vt:lpwstr>
  </property>
</Properties>
</file>