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环江毛南族自治县第二小学</w:t>
      </w:r>
    </w:p>
    <w:p>
      <w:pPr>
        <w:pStyle w:val="Bodytext|5"/>
        <w:jc w:val="center"/>
        <w:rPr>
          <w:rFonts w:eastAsia="宋体" w:eastAsiaTheme="majorEastAsia" w:hint="eastAsia"/>
          <w:sz w:val="56"/>
          <w:szCs w:val="56"/>
          <w:lang w:val="en-US" w:eastAsia="zh-CN"/>
        </w:rPr>
        <w:sectPr>
          <w:headerReference w:type="default" r:id="rId5"/>
          <w:footerReference w:type="default" r:id="rId6"/>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r>
        <w:rPr>
          <w:rFonts w:ascii="宋体" w:eastAsia="宋体" w:hAnsi="宋体" w:asciiTheme="majorEastAsia" w:eastAsiaTheme="majorEastAsia" w:hAnsiTheme="majorEastAsia" w:cs="Times New Roman" w:cstheme="majorEastAsia" w:hint="eastAsia"/>
          <w:sz w:val="56"/>
          <w:szCs w:val="56"/>
          <w:lang w:val="en-US" w:eastAsia="zh-CN"/>
        </w:rPr>
        <w:t xml:space="preserve">公开</w:t>
      </w:r>
    </w:p>
    <w:p>
      <w:pPr>
        <w:pStyle w:val="Heading#1|1"/>
        <w:keepNext/>
        <w:keepLines/>
        <w:spacing w:after="240"/>
        <w:jc w:val="center"/>
      </w:pPr>
      <w:bookmarkStart w:id="0" w:name="bookmark1"/>
      <w:bookmarkStart w:id="1" w:name="bookmark2"/>
      <w:bookmarkStart w:id="2" w:name="bookmark0"/>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环江毛南族自治县第二小学</w:t>
      </w:r>
      <w:r>
        <w:rPr>
          <w:u w:color="auto"/>
        </w:rPr>
        <w:t xml:space="preserve">单位</w:t>
      </w:r>
      <w:r>
        <w:t xml:space="preserve">概况</w:t>
      </w:r>
    </w:p>
    <w:p>
      <w:pPr>
        <w:pStyle w:val="Bodytext|2"/>
        <w:jc w:val="left"/>
        <w:rPr>
          <w:rFonts w:hint="eastAsia"/>
          <w:b w:val="0"/>
          <w:bCs w:val="0"/>
          <w:lang w:val="en-US" w:eastAsia="zh-CN"/>
        </w:rPr>
      </w:pPr>
      <w:r>
        <w:rPr>
          <w:rFonts w:hint="eastAsia"/>
          <w:b w:val="0"/>
          <w:bCs w:val="0"/>
          <w:lang w:val="en-US" w:eastAsia="zh-CN"/>
        </w:rPr>
        <w:t xml:space="preserve">一、主要职责</w:t>
      </w:r>
    </w:p>
    <w:p>
      <w:pPr>
        <w:pStyle w:val="Bodytext|2"/>
        <w:jc w:val="left"/>
        <w:rPr>
          <w:rFonts w:hint="eastAsia"/>
          <w:b w:val="0"/>
          <w:bCs w:val="0"/>
        </w:rPr>
      </w:pPr>
      <w:r>
        <w:rPr>
          <w:rFonts w:hint="eastAsia"/>
          <w:b w:val="0"/>
          <w:bCs w:val="0"/>
          <w:lang w:val="en-US" w:eastAsia="zh-CN"/>
        </w:rPr>
        <w:t xml:space="preserve">二、</w:t>
      </w:r>
      <w:r>
        <w:rPr>
          <w:rFonts w:hint="eastAsia"/>
          <w:b w:val="0"/>
          <w:bCs w:val="0"/>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环江毛南族自治县第二小学</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bookmarkStart w:id="3" w:name="_GoBack"/>
      <w:bookmarkEnd w:id="3"/>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环江毛南族自治县第二小学</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七、一般公共预算“三公”经费支出情况表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7"/>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4" w:name="bookmark14"/>
      <w:bookmarkStart w:id="5" w:name="bookmark13"/>
      <w:bookmarkStart w:id="6" w:name="bookmark12"/>
      <w:r>
        <w:rPr>
          <w:b/>
          <w:bCs/>
          <w:sz w:val="40"/>
          <w:szCs w:val="40"/>
        </w:rPr>
        <w:t xml:space="preserve">第一部分</w:t>
      </w:r>
      <w:r>
        <w:rPr>
          <w:rFonts w:hint="eastAsia"/>
          <w:b/>
          <w:bCs/>
          <w:sz w:val="40"/>
          <w:szCs w:val="40"/>
          <w:lang w:eastAsia="zh-CN"/>
        </w:rPr>
        <w:t xml:space="preserve">：</w:t>
      </w:r>
      <w:r>
        <w:rPr>
          <w:b/>
          <w:sz w:val="40"/>
          <w:u w:color="auto"/>
        </w:rPr>
        <w:t xml:space="preserve">环江毛南族自治县第二小学</w:t>
      </w:r>
      <w:r>
        <w:rPr>
          <w:b/>
          <w:bCs/>
          <w:sz w:val="40"/>
          <w:szCs w:val="40"/>
        </w:rPr>
        <w:t xml:space="preserve">概况</w:t>
      </w:r>
      <w:bookmarkEnd w:id="4"/>
      <w:bookmarkEnd w:id="5"/>
      <w:bookmarkEnd w:id="6"/>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一、主要职能</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（一）负责贯彻党的教育方针，坚持社会主义办学方向，实行教育与生产劳动相结合，对学生进行德育、智育、体育、美育和劳动等方面的教育。</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（二）负责依法制定学校章程，并按照章程自主管理。</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（三）负责配合各级人民政府依法动员、组织适龄儿童、少年入学，严格控制学生辍学，依法保证适龄儿童、少年接受九年义务教育。</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（四）负责制定学校教育发展规划，并抓好组织实施和落实工作。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（五）负责按照教育主管部门发布的指导性教学计划、教学大纲，组织实施教育教学活动。</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（六）负责依据国家教育主管部门有关教学计划、课程设置等方面的规定，决定和实施本校的教学计划，组织教学评比、集体备课，对学生进行统考核、考试等。</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（七）负责学籍管理并对学生实施奖励或处分</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（八）负责依法制定本校教师及其他职工聘任办法并对教师及其他员工实施包括奖励、处分在内的具体管理活动，依法聘任、解聘有关教师和其他职工。</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（九）负责聘任、培训、考核教师，依法奖励或处分教师和其他职工</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（十）负责科学管理、合理使用学校的设施和经费并积极筹措资金，改善办学条件。</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（十一）负责维护学校、师生的合法权益，有权拒绝任何组织和个人对教育教学活动进行非法干</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（十二）依法接受各级教育行政部门的检查指导和人民群众的监督。</w:t>
      </w:r>
    </w:p>
    <w:p>
      <w:pPr>
        <w:pStyle w:val="Bodytext|2"/>
        <w:spacing w:after="0" w:line="619" w:lineRule="exact"/>
        <w:ind w:firstLine="620"/>
        <w:jc w:val="left"/>
        <w:rPr>
          <w:rFonts w:hint="eastAsia"/>
          <w:b/>
          <w:bCs/>
          <w:lang w:val="en-US" w:eastAsia="zh-CN"/>
        </w:rPr>
      </w:pPr>
      <w:bookmarkStart w:id="7" w:name="bookmark24"/>
      <w:r>
        <w:rPr>
          <w:rFonts w:hint="eastAsia"/>
          <w:b/>
          <w:bCs/>
          <w:lang w:val="en-US" w:eastAsia="zh-CN"/>
        </w:rPr>
        <w:t xml:space="preserve">二</w:t>
      </w:r>
      <w:bookmarkEnd w:id="7"/>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学校有七个内设机构，分别为：党工委办公室、行政办公室、工会室、安全办、政教处、教务处、总务处。</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2024年学校总编制人数94人，其中事业编制数90人，机关控制数4人；实有在职人数86人，其中事业在职86人，控制数4人；退休人员29人。</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8" w:name="bookmark69"/>
      <w:bookmarkStart w:id="9" w:name="bookmark70"/>
      <w:bookmarkStart w:id="10" w:name="bookmark68"/>
      <w:bookmarkStart w:id="11" w:name="bookmark28"/>
      <w:bookmarkStart w:id="12" w:name="bookmark27"/>
      <w:bookmarkStart w:id="13"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8"/>
      <w:bookmarkEnd w:id="9"/>
      <w:bookmarkEnd w:id="10"/>
      <w:r>
        <w:rPr>
          <w:rFonts w:hint="eastAsia"/>
          <w:b/>
          <w:bCs/>
          <w:sz w:val="40"/>
          <w:szCs w:val="40"/>
          <w:lang w:eastAsia="zh-CN"/>
        </w:rPr>
        <w:t xml:space="preserve">环江毛南族自治县第二小学</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4" w:name="bookmark71"/>
      <w:r>
        <w:rPr>
          <w:rFonts w:hint="eastAsia"/>
          <w:b/>
          <w:bCs/>
          <w:lang w:val="en-US" w:eastAsia="zh-CN"/>
        </w:rPr>
        <w:t xml:space="preserve">一</w:t>
      </w:r>
      <w:bookmarkEnd w:id="14"/>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1343.93</w:t>
      </w:r>
      <w:r>
        <w:rPr>
          <w:rFonts w:hint="eastAsia"/>
          <w:b w:val="0"/>
          <w:bCs w:val="0"/>
          <w:sz w:val="28"/>
          <w:szCs w:val="28"/>
        </w:rPr>
        <w:t xml:space="preserve">万元，总支出</w:t>
      </w:r>
      <w:r>
        <w:rPr>
          <w:rFonts w:hint="eastAsia"/>
          <w:sz w:val="28"/>
          <w:szCs w:val="28"/>
          <w:lang w:val="en-US" w:eastAsia="zh-CN"/>
        </w:rPr>
        <w:t xml:space="preserve">1343.93</w:t>
      </w:r>
      <w:r>
        <w:rPr>
          <w:rFonts w:hint="eastAsia"/>
          <w:b w:val="0"/>
          <w:bCs w:val="0"/>
          <w:sz w:val="28"/>
          <w:szCs w:val="28"/>
        </w:rPr>
        <w:t xml:space="preserve">万元。总收入较2023年度预算数</w:t>
      </w:r>
      <w:r>
        <w:rPr>
          <w:rFonts w:hint="eastAsia"/>
          <w:sz w:val="28"/>
          <w:szCs w:val="28"/>
          <w:lang w:val="en-US" w:eastAsia="zh-CN"/>
        </w:rPr>
        <w:t xml:space="preserve">1137.68</w:t>
      </w:r>
      <w:r>
        <w:rPr>
          <w:rFonts w:hint="eastAsia"/>
          <w:b w:val="0"/>
          <w:bCs w:val="0"/>
          <w:sz w:val="28"/>
          <w:szCs w:val="28"/>
        </w:rPr>
        <w:t xml:space="preserve">万元，</w:t>
      </w:r>
      <w:r>
        <w:rPr>
          <w:rFonts w:hint="eastAsia"/>
          <w:sz w:val="28"/>
          <w:szCs w:val="28"/>
        </w:rPr>
        <w:t xml:space="preserve">增加206.25</w:t>
      </w:r>
      <w:r>
        <w:rPr>
          <w:rFonts w:hint="eastAsia"/>
          <w:b w:val="0"/>
          <w:bCs w:val="0"/>
          <w:sz w:val="28"/>
          <w:szCs w:val="28"/>
        </w:rPr>
        <w:t xml:space="preserve">万元，</w:t>
      </w:r>
      <w:r>
        <w:rPr>
          <w:rFonts w:hint="eastAsia"/>
          <w:sz w:val="28"/>
          <w:szCs w:val="28"/>
        </w:rPr>
        <w:t xml:space="preserve">增长18.13%</w:t>
      </w:r>
      <w:r>
        <w:rPr>
          <w:rFonts w:hint="eastAsia"/>
          <w:b w:val="0"/>
          <w:bCs w:val="0"/>
          <w:sz w:val="28"/>
          <w:szCs w:val="28"/>
        </w:rPr>
        <w:t xml:space="preserve">，主要原因是</w:t>
      </w:r>
      <w:r>
        <w:rPr>
          <w:rFonts w:hint="eastAsia"/>
          <w:highlight w:val="none"/>
          <w:lang w:val="en-US" w:eastAsia="zh-CN"/>
        </w:rPr>
        <w:t xml:space="preserve">1.工资标准比2023年有所提高；2.养老保险及住房公积金缴纳基数提高</w:t>
      </w:r>
      <w:r>
        <w:rPr>
          <w:rFonts w:hint="eastAsia"/>
          <w:b w:val="0"/>
          <w:bCs w:val="0"/>
          <w:sz w:val="28"/>
          <w:szCs w:val="28"/>
        </w:rPr>
        <w:t xml:space="preserve">。总支出较2023年度预算数</w:t>
      </w:r>
      <w:r>
        <w:rPr>
          <w:rFonts w:hint="eastAsia"/>
          <w:sz w:val="28"/>
          <w:szCs w:val="28"/>
          <w:lang w:val="en-US" w:eastAsia="zh-CN"/>
        </w:rPr>
        <w:t xml:space="preserve">1137.68</w:t>
      </w:r>
      <w:r>
        <w:rPr>
          <w:rFonts w:hint="eastAsia"/>
          <w:b w:val="0"/>
          <w:bCs w:val="0"/>
          <w:sz w:val="28"/>
          <w:szCs w:val="28"/>
        </w:rPr>
        <w:t xml:space="preserve">万元，</w:t>
      </w:r>
      <w:r>
        <w:rPr>
          <w:rFonts w:hint="eastAsia"/>
          <w:sz w:val="28"/>
          <w:szCs w:val="28"/>
        </w:rPr>
        <w:t xml:space="preserve">增加206.25</w:t>
      </w:r>
      <w:r>
        <w:rPr>
          <w:rFonts w:hint="eastAsia"/>
          <w:b w:val="0"/>
          <w:bCs w:val="0"/>
          <w:sz w:val="28"/>
          <w:szCs w:val="28"/>
        </w:rPr>
        <w:t xml:space="preserve">万元，</w:t>
      </w:r>
      <w:r>
        <w:rPr>
          <w:rFonts w:hint="eastAsia"/>
          <w:sz w:val="28"/>
          <w:szCs w:val="28"/>
        </w:rPr>
        <w:t xml:space="preserve">增长18.13%</w:t>
      </w:r>
      <w:r>
        <w:rPr>
          <w:rFonts w:hint="eastAsia"/>
          <w:b w:val="0"/>
          <w:bCs w:val="0"/>
          <w:sz w:val="28"/>
          <w:szCs w:val="28"/>
        </w:rPr>
        <w:t xml:space="preserve">，主要原因是</w:t>
      </w:r>
      <w:r>
        <w:rPr>
          <w:rFonts w:hint="eastAsia"/>
          <w:highlight w:val="none"/>
          <w:lang w:val="en-US" w:eastAsia="zh-CN"/>
        </w:rPr>
        <w:t xml:space="preserve">1.工资标准比2023年有所提高；2.养老保险及住房公积金缴纳数提高</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1592"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1343.93</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1137.68</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增加206.25</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增长18.13%</w:t>
      </w:r>
      <w:r>
        <w:rPr>
          <w:rFonts w:ascii="宋体" w:eastAsia="宋体" w:hAnsi="宋体" w:cs="宋体" w:hint="eastAsia"/>
          <w:sz w:val="28"/>
          <w:szCs w:val="28"/>
          <w:u w:color="auto"/>
        </w:rPr>
        <w:t xml:space="preserve">，主要原因是</w:t>
      </w:r>
      <w:r>
        <w:rPr>
          <w:rFonts w:hint="eastAsia"/>
          <w:highlight w:val="none"/>
          <w:lang w:val="en-US" w:eastAsia="zh-CN"/>
        </w:rPr>
        <w:t xml:space="preserve">1.工资标准比2023年有所提高；2.养老保险及住房公积金缴纳数提高</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1593"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1343.93</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1137.68</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增加206.25</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增长18.13%</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1.工资标准比2023年有所提高；2.养老保险及住房公积金缴纳数提高</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教育支出1061.45万元，一般公共服务支出18.38万元，社会保障和就业支出143.71万元，住房保障支出120.38万元</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4</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教育支出</w:t>
      </w:r>
      <w:r>
        <w:rPr>
          <w:rFonts w:ascii="宋体" w:eastAsia="宋体" w:hAnsi="宋体" w:cs="宋体" w:hint="eastAsia"/>
          <w:sz w:val="28"/>
          <w:szCs w:val="28"/>
          <w:lang w:val="en-US" w:eastAsia="zh-CN"/>
        </w:rPr>
        <w:t xml:space="preserve">1061.45</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78.98%</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增长177.53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增长20.08%</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工资标准比2023年有所提高；2.养老保险及住房公积金缴纳数提高。学生及教师人数增多</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社会保障和就业支出</w:t>
      </w:r>
      <w:r>
        <w:rPr>
          <w:rFonts w:ascii="宋体" w:eastAsia="宋体" w:hAnsi="宋体" w:cs="宋体" w:hint="eastAsia"/>
          <w:sz w:val="28"/>
          <w:szCs w:val="28"/>
          <w:lang w:val="en-US" w:eastAsia="zh-CN"/>
        </w:rPr>
        <w:t xml:space="preserve">143.71</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10.69%</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增长8.01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增长5.90%</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.养老保险及住房公积金缴纳数提高</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住房保障支出</w:t>
      </w:r>
      <w:r>
        <w:rPr>
          <w:rFonts w:ascii="宋体" w:eastAsia="宋体" w:hAnsi="宋体" w:cs="宋体" w:hint="eastAsia"/>
          <w:sz w:val="28"/>
          <w:szCs w:val="28"/>
          <w:lang w:val="en-US" w:eastAsia="zh-CN"/>
        </w:rPr>
        <w:t xml:space="preserve">120.38</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8.96%</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增长18.61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增长18.29%</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住房公积金缴纳基数提高</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一般公共服务支出</w:t>
      </w:r>
      <w:r>
        <w:rPr>
          <w:rFonts w:ascii="宋体" w:eastAsia="宋体" w:hAnsi="宋体" w:cs="宋体" w:hint="eastAsia"/>
          <w:sz w:val="28"/>
          <w:szCs w:val="28"/>
          <w:lang w:val="en-US" w:eastAsia="zh-CN"/>
        </w:rPr>
        <w:t xml:space="preserve">18.38</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1.37%</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增长2.09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增长12.83%</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教师人数增加</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1316.96</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97.99%</w:t>
      </w:r>
      <w:r>
        <w:rPr>
          <w:rFonts w:ascii="宋体" w:eastAsia="宋体" w:hAnsi="宋体" w:cs="宋体"/>
          <w:sz w:val="28"/>
          <w:u w:color="auto"/>
        </w:rPr>
        <w:t xml:space="preserve">,比上年</w:t>
      </w:r>
      <w:r>
        <w:rPr>
          <w:rFonts w:ascii="宋体" w:eastAsia="宋体" w:hAnsi="宋体" w:cs="宋体"/>
          <w:sz w:val="28"/>
          <w:u w:color="auto"/>
        </w:rPr>
        <w:t xml:space="preserve">增长263.55</w:t>
      </w:r>
      <w:r>
        <w:rPr>
          <w:rFonts w:ascii="宋体" w:eastAsia="宋体" w:hAnsi="宋体" w:cs="宋体"/>
          <w:sz w:val="28"/>
          <w:u w:color="auto"/>
        </w:rPr>
        <w:t xml:space="preserve">万元，</w:t>
      </w:r>
      <w:r>
        <w:rPr>
          <w:rFonts w:ascii="宋体" w:eastAsia="宋体" w:hAnsi="宋体" w:cs="宋体"/>
          <w:sz w:val="28"/>
          <w:u w:color="auto"/>
        </w:rPr>
        <w:t xml:space="preserve">增长25.02%</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1257.87</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95.51%</w:t>
      </w:r>
      <w:r>
        <w:rPr>
          <w:rFonts w:ascii="宋体" w:eastAsia="宋体" w:hAnsi="宋体" w:cs="宋体" w:hint="eastAsia"/>
          <w:sz w:val="28"/>
          <w:szCs w:val="28"/>
        </w:rPr>
        <w:t xml:space="preserve">,比上年</w:t>
      </w:r>
      <w:r>
        <w:rPr>
          <w:rFonts w:ascii="宋体" w:eastAsia="宋体" w:hAnsi="宋体" w:cs="宋体"/>
          <w:sz w:val="28"/>
          <w:u w:color="auto"/>
        </w:rPr>
        <w:t xml:space="preserve">增长244.97</w:t>
      </w:r>
      <w:r>
        <w:rPr>
          <w:rFonts w:ascii="宋体" w:eastAsia="宋体" w:hAnsi="宋体" w:cs="宋体"/>
          <w:sz w:val="28"/>
          <w:u w:color="auto"/>
        </w:rPr>
        <w:t xml:space="preserve">万元，</w:t>
      </w:r>
      <w:r>
        <w:rPr>
          <w:rFonts w:ascii="宋体" w:eastAsia="宋体" w:hAnsi="宋体" w:cs="宋体"/>
          <w:sz w:val="28"/>
          <w:u w:color="auto"/>
        </w:rPr>
        <w:t xml:space="preserve">增长24.19%</w:t>
      </w:r>
      <w:r>
        <w:rPr>
          <w:rFonts w:ascii="宋体" w:eastAsia="宋体" w:hAnsi="宋体" w:cs="宋体"/>
          <w:sz w:val="28"/>
          <w:u w:color="auto"/>
        </w:rPr>
        <w:t xml:space="preserve">,主要原因是：工资标准比2023年有所提高；2.养老保险及住房公积金缴纳数提高。学生及教师人数增多</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40.71</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3.09%</w:t>
      </w:r>
      <w:r>
        <w:rPr>
          <w:rFonts w:ascii="宋体" w:eastAsia="宋体" w:hAnsi="宋体" w:cs="宋体" w:hint="eastAsia"/>
          <w:sz w:val="28"/>
          <w:szCs w:val="28"/>
        </w:rPr>
        <w:t xml:space="preserve">,比上年</w:t>
      </w:r>
      <w:r>
        <w:rPr>
          <w:rFonts w:ascii="宋体" w:eastAsia="宋体" w:hAnsi="宋体" w:cs="宋体"/>
          <w:sz w:val="28"/>
          <w:u w:color="auto"/>
        </w:rPr>
        <w:t xml:space="preserve">增长16.49</w:t>
      </w:r>
      <w:r>
        <w:rPr>
          <w:rFonts w:ascii="宋体" w:eastAsia="宋体" w:hAnsi="宋体" w:cs="宋体"/>
          <w:sz w:val="28"/>
          <w:u w:color="auto"/>
        </w:rPr>
        <w:t xml:space="preserve">万元，</w:t>
      </w:r>
      <w:r>
        <w:rPr>
          <w:rFonts w:ascii="宋体" w:eastAsia="宋体" w:hAnsi="宋体" w:cs="宋体"/>
          <w:sz w:val="28"/>
          <w:u w:color="auto"/>
        </w:rPr>
        <w:t xml:space="preserve">增长68.08%</w:t>
      </w:r>
      <w:r>
        <w:rPr>
          <w:rFonts w:ascii="宋体" w:eastAsia="宋体" w:hAnsi="宋体" w:cs="宋体"/>
          <w:sz w:val="28"/>
          <w:u w:color="auto"/>
        </w:rPr>
        <w:t xml:space="preserve">,主要原因是：学生及教师人数增多</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18.38</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1.40%</w:t>
      </w:r>
      <w:r>
        <w:rPr>
          <w:rFonts w:ascii="宋体" w:eastAsia="宋体" w:hAnsi="宋体" w:cs="宋体" w:hint="eastAsia"/>
          <w:sz w:val="28"/>
          <w:szCs w:val="28"/>
        </w:rPr>
        <w:t xml:space="preserve">,比上年</w:t>
      </w:r>
      <w:r>
        <w:rPr>
          <w:rFonts w:ascii="宋体" w:eastAsia="宋体" w:hAnsi="宋体" w:cs="宋体"/>
          <w:sz w:val="28"/>
          <w:u w:color="auto"/>
        </w:rPr>
        <w:t xml:space="preserve">增长2.09</w:t>
      </w:r>
      <w:r>
        <w:rPr>
          <w:rFonts w:ascii="宋体" w:eastAsia="宋体" w:hAnsi="宋体" w:cs="宋体"/>
          <w:sz w:val="28"/>
          <w:u w:color="auto"/>
        </w:rPr>
        <w:t xml:space="preserve">万元，</w:t>
      </w:r>
      <w:r>
        <w:rPr>
          <w:rFonts w:ascii="宋体" w:eastAsia="宋体" w:hAnsi="宋体" w:cs="宋体"/>
          <w:sz w:val="28"/>
          <w:u w:color="auto"/>
        </w:rPr>
        <w:t xml:space="preserve">增长12.83%</w:t>
      </w:r>
      <w:r>
        <w:rPr>
          <w:rFonts w:ascii="宋体" w:eastAsia="宋体" w:hAnsi="宋体" w:cs="宋体"/>
          <w:sz w:val="28"/>
          <w:u w:color="auto"/>
        </w:rPr>
        <w:t xml:space="preserve">,主要原因是：教师人数增加，工会活动增多</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26.97</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2.01%</w:t>
      </w:r>
      <w:r>
        <w:rPr>
          <w:rFonts w:ascii="宋体" w:eastAsia="宋体" w:hAnsi="宋体" w:cs="宋体" w:hint="eastAsia"/>
          <w:sz w:val="28"/>
          <w:szCs w:val="28"/>
        </w:rPr>
        <w:t xml:space="preserve">,比上年</w:t>
      </w:r>
      <w:r>
        <w:rPr>
          <w:rFonts w:ascii="宋体" w:eastAsia="宋体" w:hAnsi="宋体" w:cs="宋体"/>
          <w:sz w:val="28"/>
          <w:u w:color="auto"/>
        </w:rPr>
        <w:t xml:space="preserve">减少57.30</w:t>
      </w:r>
      <w:r>
        <w:rPr>
          <w:rFonts w:ascii="宋体" w:eastAsia="宋体" w:hAnsi="宋体" w:cs="宋体" w:hint="eastAsia"/>
          <w:sz w:val="28"/>
          <w:szCs w:val="28"/>
        </w:rPr>
        <w:t xml:space="preserve">万元，</w:t>
      </w:r>
      <w:r>
        <w:rPr>
          <w:rFonts w:ascii="宋体" w:eastAsia="宋体" w:hAnsi="宋体" w:cs="宋体"/>
          <w:sz w:val="28"/>
          <w:u w:color="auto"/>
        </w:rPr>
        <w:t xml:space="preserve">减少68.00%</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23.17</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85.91%</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减少61.10</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减少72.51%</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有些报账材料未得报账</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3.80</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14.09%</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增长3.80</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增长100%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有些报账材料未得报账</w:t>
      </w:r>
      <w:r>
        <w:rPr>
          <w:rFonts w:ascii="宋体" w:eastAsia="宋体" w:hAnsi="宋体" w:cs="宋体" w:hint="eastAsia"/>
          <w:color w:val="000000"/>
          <w:sz w:val="28"/>
          <w:szCs w:val="28"/>
          <w:lang w:val="en-US" w:eastAsia="zh-CN" w:bidi="zh-TW"/>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1594"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1343.93</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1343.93</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1137.68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增加206.25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增长18.13%</w:t>
      </w:r>
      <w:r>
        <w:rPr>
          <w:rFonts w:ascii="宋体" w:eastAsia="宋体" w:hAnsi="宋体" w:cs="宋体" w:hint="eastAsia"/>
          <w:sz w:val="28"/>
          <w:szCs w:val="28"/>
        </w:rPr>
        <w:t xml:space="preserve">，主要原因是</w:t>
      </w:r>
      <w:r>
        <w:rPr>
          <w:rFonts w:hint="eastAsia"/>
          <w:highlight w:val="none"/>
          <w:lang w:val="en-US" w:eastAsia="zh-CN"/>
        </w:rPr>
        <w:t xml:space="preserve">工资标准比2023年有所提高；2.养老保险及住房公积金缴纳数提高</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1137.68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增加206.25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增长18.13%</w:t>
      </w:r>
      <w:r>
        <w:rPr>
          <w:rFonts w:ascii="宋体" w:eastAsia="宋体" w:hAnsi="宋体" w:cs="宋体" w:hint="eastAsia"/>
          <w:sz w:val="28"/>
          <w:szCs w:val="28"/>
        </w:rPr>
        <w:t xml:space="preserve">，主要原因是</w:t>
      </w:r>
      <w:r>
        <w:rPr>
          <w:rFonts w:hint="eastAsia"/>
          <w:highlight w:val="none"/>
          <w:lang w:val="en-US" w:eastAsia="zh-CN"/>
        </w:rPr>
        <w:t xml:space="preserve">工资标准比2023年有所提高；2.养老保险及住房公积金缴纳数提高</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1595"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1343.93</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1137.68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增加206.25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增长18.13%</w:t>
      </w:r>
      <w:r>
        <w:rPr>
          <w:rFonts w:ascii="宋体" w:eastAsia="宋体" w:hAnsi="宋体" w:cs="宋体" w:hint="eastAsia"/>
          <w:sz w:val="28"/>
          <w:szCs w:val="28"/>
        </w:rPr>
        <w:t xml:space="preserve">，主要原因是</w:t>
      </w:r>
      <w:r>
        <w:rPr>
          <w:rFonts w:hint="eastAsia"/>
          <w:highlight w:val="none"/>
          <w:lang w:val="en-US" w:eastAsia="zh-CN"/>
        </w:rPr>
        <w:t xml:space="preserve">工资标准比2023年有所提高；2.养老保险及住房公积金缴纳数提高</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18.38</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1.37%</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16.29</w:t>
      </w:r>
      <w:r>
        <w:rPr>
          <w:rFonts w:ascii="宋体" w:eastAsia="宋体" w:hAnsi="宋体" w:cs="宋体" w:hint="eastAsia"/>
          <w:sz w:val="28"/>
          <w:szCs w:val="28"/>
        </w:rPr>
        <w:t xml:space="preserve">万元，</w:t>
      </w:r>
      <w:r>
        <w:rPr>
          <w:rFonts w:ascii="宋体" w:eastAsia="宋体" w:hAnsi="宋体" w:cs="宋体"/>
          <w:sz w:val="28"/>
          <w:u w:color="auto"/>
        </w:rPr>
        <w:t xml:space="preserve">增长2.09</w:t>
      </w:r>
      <w:r>
        <w:rPr>
          <w:rFonts w:ascii="宋体" w:eastAsia="宋体" w:hAnsi="宋体" w:cs="宋体" w:hint="eastAsia"/>
          <w:sz w:val="28"/>
          <w:szCs w:val="28"/>
        </w:rPr>
        <w:t xml:space="preserve">万元，</w:t>
      </w:r>
      <w:r>
        <w:rPr>
          <w:rFonts w:ascii="宋体" w:eastAsia="宋体" w:hAnsi="宋体" w:cs="宋体"/>
          <w:sz w:val="28"/>
          <w:u w:color="auto"/>
        </w:rPr>
        <w:t xml:space="preserve">增长12.83%</w:t>
      </w:r>
      <w:r>
        <w:rPr>
          <w:rFonts w:ascii="宋体" w:eastAsia="宋体" w:hAnsi="宋体" w:cs="宋体" w:hint="eastAsia"/>
          <w:sz w:val="28"/>
          <w:szCs w:val="28"/>
        </w:rPr>
        <w:t xml:space="preserve">，主要原因是：</w:t>
      </w:r>
      <w:r>
        <w:rPr>
          <w:rFonts w:hint="eastAsia"/>
          <w:highlight w:val="none"/>
        </w:rPr>
        <w:t xml:space="preserve">工资标准比2023年有所提高；2.养老保险及住房公积金缴纳数提高</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120.38</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8.96%</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101.77</w:t>
      </w:r>
      <w:r>
        <w:rPr>
          <w:rFonts w:ascii="宋体" w:eastAsia="宋体" w:hAnsi="宋体" w:cs="宋体" w:hint="eastAsia"/>
          <w:sz w:val="28"/>
          <w:szCs w:val="28"/>
        </w:rPr>
        <w:t xml:space="preserve">万元，</w:t>
      </w:r>
      <w:r>
        <w:rPr>
          <w:rFonts w:ascii="宋体" w:eastAsia="宋体" w:hAnsi="宋体" w:cs="宋体"/>
          <w:sz w:val="28"/>
          <w:u w:color="auto"/>
        </w:rPr>
        <w:t xml:space="preserve">增长18.61</w:t>
      </w:r>
      <w:r>
        <w:rPr>
          <w:rFonts w:ascii="宋体" w:eastAsia="宋体" w:hAnsi="宋体" w:cs="宋体" w:hint="eastAsia"/>
          <w:sz w:val="28"/>
          <w:szCs w:val="28"/>
        </w:rPr>
        <w:t xml:space="preserve">万元，</w:t>
      </w:r>
      <w:r>
        <w:rPr>
          <w:rFonts w:ascii="宋体" w:eastAsia="宋体" w:hAnsi="宋体" w:cs="宋体"/>
          <w:sz w:val="28"/>
          <w:u w:color="auto"/>
        </w:rPr>
        <w:t xml:space="preserve">增长18.29%</w:t>
      </w:r>
      <w:r>
        <w:rPr>
          <w:rFonts w:ascii="宋体" w:eastAsia="宋体" w:hAnsi="宋体" w:cs="宋体" w:hint="eastAsia"/>
          <w:sz w:val="28"/>
          <w:szCs w:val="28"/>
        </w:rPr>
        <w:t xml:space="preserve">，主要原因是：</w:t>
      </w:r>
      <w:r>
        <w:rPr>
          <w:rFonts w:hint="eastAsia"/>
          <w:highlight w:val="none"/>
        </w:rPr>
        <w:t xml:space="preserve">工资标准比2023年有所提高；2.养老保险及住房公积金缴纳数提高</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教育支出</w:t>
      </w:r>
      <w:r>
        <w:rPr>
          <w:rFonts w:ascii="宋体" w:eastAsia="宋体" w:hAnsi="宋体" w:cs="宋体" w:hint="eastAsia"/>
          <w:sz w:val="28"/>
          <w:szCs w:val="28"/>
        </w:rPr>
        <w:t xml:space="preserve">（类）支出</w:t>
      </w:r>
      <w:r>
        <w:rPr>
          <w:rFonts w:ascii="宋体" w:eastAsia="宋体" w:hAnsi="宋体" w:cs="宋体"/>
          <w:sz w:val="28"/>
          <w:u w:color="auto"/>
        </w:rPr>
        <w:t xml:space="preserve">1061.45</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78.98%</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883.92</w:t>
      </w:r>
      <w:r>
        <w:rPr>
          <w:rFonts w:ascii="宋体" w:eastAsia="宋体" w:hAnsi="宋体" w:cs="宋体" w:hint="eastAsia"/>
          <w:sz w:val="28"/>
          <w:szCs w:val="28"/>
        </w:rPr>
        <w:t xml:space="preserve">万元，</w:t>
      </w:r>
      <w:r>
        <w:rPr>
          <w:rFonts w:ascii="宋体" w:eastAsia="宋体" w:hAnsi="宋体" w:cs="宋体"/>
          <w:sz w:val="28"/>
          <w:u w:color="auto"/>
        </w:rPr>
        <w:t xml:space="preserve">增长177.53</w:t>
      </w:r>
      <w:r>
        <w:rPr>
          <w:rFonts w:ascii="宋体" w:eastAsia="宋体" w:hAnsi="宋体" w:cs="宋体" w:hint="eastAsia"/>
          <w:sz w:val="28"/>
          <w:szCs w:val="28"/>
        </w:rPr>
        <w:t xml:space="preserve">万元，</w:t>
      </w:r>
      <w:r>
        <w:rPr>
          <w:rFonts w:ascii="宋体" w:eastAsia="宋体" w:hAnsi="宋体" w:cs="宋体"/>
          <w:sz w:val="28"/>
          <w:u w:color="auto"/>
        </w:rPr>
        <w:t xml:space="preserve">增长20.08%</w:t>
      </w:r>
      <w:r>
        <w:rPr>
          <w:rFonts w:ascii="宋体" w:eastAsia="宋体" w:hAnsi="宋体" w:cs="宋体" w:hint="eastAsia"/>
          <w:sz w:val="28"/>
          <w:szCs w:val="28"/>
        </w:rPr>
        <w:t xml:space="preserve">，主要原因是：</w:t>
      </w:r>
      <w:r>
        <w:rPr>
          <w:rFonts w:hint="eastAsia"/>
          <w:highlight w:val="none"/>
        </w:rPr>
        <w:t xml:space="preserve">工资标准比2023年有所提高；2.养老保险及住房公积金缴纳数提高</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143.71</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10.69%</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135.70</w:t>
      </w:r>
      <w:r>
        <w:rPr>
          <w:rFonts w:ascii="宋体" w:eastAsia="宋体" w:hAnsi="宋体" w:cs="宋体" w:hint="eastAsia"/>
          <w:sz w:val="28"/>
          <w:szCs w:val="28"/>
        </w:rPr>
        <w:t xml:space="preserve">万元，</w:t>
      </w:r>
      <w:r>
        <w:rPr>
          <w:rFonts w:ascii="宋体" w:eastAsia="宋体" w:hAnsi="宋体" w:cs="宋体"/>
          <w:sz w:val="28"/>
          <w:u w:color="auto"/>
        </w:rPr>
        <w:t xml:space="preserve">增长8.01</w:t>
      </w:r>
      <w:r>
        <w:rPr>
          <w:rFonts w:ascii="宋体" w:eastAsia="宋体" w:hAnsi="宋体" w:cs="宋体" w:hint="eastAsia"/>
          <w:sz w:val="28"/>
          <w:szCs w:val="28"/>
        </w:rPr>
        <w:t xml:space="preserve">万元，</w:t>
      </w:r>
      <w:r>
        <w:rPr>
          <w:rFonts w:ascii="宋体" w:eastAsia="宋体" w:hAnsi="宋体" w:cs="宋体"/>
          <w:sz w:val="28"/>
          <w:u w:color="auto"/>
        </w:rPr>
        <w:t xml:space="preserve">增长5.90%</w:t>
      </w:r>
      <w:r>
        <w:rPr>
          <w:rFonts w:ascii="宋体" w:eastAsia="宋体" w:hAnsi="宋体" w:cs="宋体" w:hint="eastAsia"/>
          <w:sz w:val="28"/>
          <w:szCs w:val="28"/>
        </w:rPr>
        <w:t xml:space="preserve">，主要原因是：</w:t>
      </w:r>
      <w:r>
        <w:rPr>
          <w:rFonts w:hint="eastAsia"/>
          <w:highlight w:val="none"/>
        </w:rPr>
        <w:t xml:space="preserve">工资标准比2023年有所提高；2.养老保险及住房公积金缴纳数提高</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1596"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2"/>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1316.96</w:t>
      </w:r>
      <w:r>
        <w:rPr>
          <w:rFonts w:hint="eastAsia"/>
        </w:rPr>
        <w:t xml:space="preserve">万元，较2023年度预算数</w:t>
      </w:r>
      <w:r>
        <w:rPr>
          <w:rFonts w:hint="eastAsia"/>
          <w:lang w:val="en-US" w:eastAsia="zh-CN"/>
        </w:rPr>
        <w:t xml:space="preserve">1053.41</w:t>
      </w:r>
      <w:r>
        <w:rPr>
          <w:rFonts w:hint="eastAsia"/>
        </w:rPr>
        <w:t xml:space="preserve">万元</w:t>
      </w:r>
      <w:r>
        <w:rPr>
          <w:rFonts w:hint="eastAsia"/>
          <w:lang w:val="en-US" w:eastAsia="zh-CN"/>
        </w:rPr>
        <w:t xml:space="preserve">,</w:t>
      </w:r>
      <w:r>
        <w:rPr>
          <w:u w:color="auto"/>
        </w:rPr>
        <w:t xml:space="preserve">增加263.55</w:t>
      </w:r>
      <w:r>
        <w:rPr>
          <w:rFonts w:hint="eastAsia"/>
        </w:rPr>
        <w:t xml:space="preserve">万元，</w:t>
      </w:r>
      <w:r>
        <w:rPr>
          <w:rFonts w:hint="eastAsia"/>
          <w:lang w:val="en-US" w:eastAsia="zh-CN"/>
        </w:rPr>
        <w:t xml:space="preserve">增长25.02%</w:t>
      </w:r>
      <w:r>
        <w:rPr>
          <w:rFonts w:hint="eastAsia"/>
        </w:rPr>
        <w:t xml:space="preserve">，主要原因是</w:t>
      </w:r>
      <w:r>
        <w:rPr>
          <w:rFonts w:hint="eastAsia"/>
          <w:highlight w:val="none"/>
          <w:lang w:val="en-US" w:eastAsia="zh-CN"/>
        </w:rPr>
        <w:t xml:space="preserve">工资标准比2023年有所提高；2.养老保险及住房公积金缴纳数提高</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1257.87</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95.51%</w:t>
      </w:r>
      <w:r>
        <w:rPr>
          <w:rFonts w:hint="eastAsia"/>
        </w:rPr>
        <w:t xml:space="preserve">，较2023年度预算数</w:t>
      </w:r>
      <w:r>
        <w:rPr>
          <w:rFonts w:hint="eastAsia"/>
          <w:lang w:val="en-US" w:eastAsia="zh-CN"/>
        </w:rPr>
        <w:t xml:space="preserve">1012.90</w:t>
      </w:r>
      <w:r>
        <w:rPr>
          <w:rFonts w:hint="eastAsia"/>
        </w:rPr>
        <w:t xml:space="preserve">万元，</w:t>
      </w:r>
      <w:r>
        <w:rPr>
          <w:rFonts w:hint="eastAsia"/>
          <w:lang w:val="en-US" w:eastAsia="zh-CN"/>
        </w:rPr>
        <w:t xml:space="preserve">增长244.97</w:t>
      </w:r>
      <w:r>
        <w:rPr>
          <w:rFonts w:hint="eastAsia"/>
        </w:rPr>
        <w:t xml:space="preserve">万元，</w:t>
      </w:r>
      <w:r>
        <w:rPr>
          <w:rFonts w:hint="eastAsia"/>
          <w:lang w:val="en-US" w:eastAsia="zh-CN"/>
        </w:rPr>
        <w:t xml:space="preserve">增长24.19%</w:t>
      </w:r>
      <w:r>
        <w:rPr>
          <w:rFonts w:hint="eastAsia"/>
        </w:rPr>
        <w:t xml:space="preserve">，主要原因是：</w:t>
      </w:r>
      <w:r>
        <w:rPr>
          <w:rFonts w:hint="eastAsia"/>
          <w:highlight w:val="none"/>
        </w:rPr>
        <w:t xml:space="preserve">工资标准比2023年有所提高；2.养老保险及住房公积金缴纳数提高</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40.71</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3.09%</w:t>
      </w:r>
      <w:r>
        <w:rPr>
          <w:rFonts w:hint="eastAsia"/>
        </w:rPr>
        <w:t xml:space="preserve">，较2023年度预算数</w:t>
      </w:r>
      <w:r>
        <w:rPr>
          <w:rFonts w:hint="eastAsia"/>
          <w:lang w:val="en-US" w:eastAsia="zh-CN"/>
        </w:rPr>
        <w:t xml:space="preserve">24.22</w:t>
      </w:r>
      <w:r>
        <w:rPr>
          <w:rFonts w:hint="eastAsia"/>
        </w:rPr>
        <w:t xml:space="preserve">万元，</w:t>
      </w:r>
      <w:r>
        <w:rPr>
          <w:rFonts w:hint="eastAsia"/>
          <w:lang w:val="en-US" w:eastAsia="zh-CN"/>
        </w:rPr>
        <w:t xml:space="preserve">增长16.49</w:t>
      </w:r>
      <w:r>
        <w:rPr>
          <w:rFonts w:hint="eastAsia"/>
        </w:rPr>
        <w:t xml:space="preserve">万元，</w:t>
      </w:r>
      <w:r>
        <w:rPr>
          <w:rFonts w:hint="eastAsia"/>
          <w:lang w:val="en-US" w:eastAsia="zh-CN"/>
        </w:rPr>
        <w:t xml:space="preserve">增长68.08%</w:t>
      </w:r>
      <w:r>
        <w:rPr>
          <w:rFonts w:hint="eastAsia"/>
        </w:rPr>
        <w:t xml:space="preserve">，主要原因是：</w:t>
      </w:r>
      <w:r>
        <w:rPr>
          <w:rFonts w:hint="eastAsia"/>
          <w:highlight w:val="none"/>
        </w:rPr>
        <w:t xml:space="preserve">工资标准比2023年有所提高；2.养老保险及住房公积金缴纳数提高</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18.38</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1.40%</w:t>
      </w:r>
      <w:r>
        <w:rPr>
          <w:rFonts w:hint="eastAsia"/>
        </w:rPr>
        <w:t xml:space="preserve">，较2023年度预算数</w:t>
      </w:r>
      <w:r>
        <w:rPr>
          <w:rFonts w:hint="eastAsia"/>
          <w:lang w:val="en-US" w:eastAsia="zh-CN"/>
        </w:rPr>
        <w:t xml:space="preserve">16.29</w:t>
      </w:r>
      <w:r>
        <w:rPr>
          <w:rFonts w:hint="eastAsia"/>
        </w:rPr>
        <w:t xml:space="preserve">万元，</w:t>
      </w:r>
      <w:r>
        <w:rPr>
          <w:rFonts w:hint="eastAsia"/>
          <w:lang w:val="en-US" w:eastAsia="zh-CN"/>
        </w:rPr>
        <w:t xml:space="preserve">增长2.09</w:t>
      </w:r>
      <w:r>
        <w:rPr>
          <w:rFonts w:hint="eastAsia"/>
        </w:rPr>
        <w:t xml:space="preserve">万元，</w:t>
      </w:r>
      <w:r>
        <w:rPr>
          <w:rFonts w:hint="eastAsia"/>
          <w:lang w:val="en-US" w:eastAsia="zh-CN"/>
        </w:rPr>
        <w:t xml:space="preserve">增长12.83%</w:t>
      </w:r>
      <w:r>
        <w:rPr>
          <w:rFonts w:hint="eastAsia"/>
        </w:rPr>
        <w:t xml:space="preserve">，主要原因是：</w:t>
      </w:r>
      <w:r>
        <w:rPr>
          <w:rFonts w:hint="eastAsia"/>
          <w:highlight w:val="none"/>
        </w:rPr>
        <w:t xml:space="preserve">工资标准比2023年有所提高；2.养老保险及住房公积金缴纳数提高</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1597"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3"/>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5"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无三公经费支出</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无三公经费支出</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无三公经费支出</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无公务用车运行维护费支出</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5"/>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0.00</w:t>
      </w:r>
      <w:r>
        <w:rPr>
          <w:rFonts w:hint="eastAsia"/>
          <w:sz w:val="28"/>
          <w:szCs w:val="28"/>
        </w:rPr>
        <w:t xml:space="preserve">万元，</w:t>
      </w:r>
      <w:r>
        <w:rPr>
          <w:rFonts w:hint="eastAsia"/>
          <w:b w:val="0"/>
          <w:bCs w:val="0"/>
          <w:sz w:val="28"/>
          <w:szCs w:val="28"/>
          <w:lang w:eastAsia="zh-CN"/>
        </w:rPr>
        <w:t xml:space="preserve">增加0.00</w:t>
      </w:r>
      <w:r>
        <w:rPr>
          <w:rFonts w:hint="eastAsia"/>
          <w:sz w:val="28"/>
          <w:szCs w:val="28"/>
        </w:rPr>
        <w:t xml:space="preserve">万元，</w:t>
      </w:r>
      <w:r>
        <w:rPr>
          <w:rFonts w:hint="eastAsia"/>
          <w:b w:val="0"/>
          <w:bCs w:val="0"/>
          <w:sz w:val="28"/>
          <w:szCs w:val="28"/>
          <w:lang w:eastAsia="zh-CN"/>
        </w:rPr>
        <w:t xml:space="preserve">增长0%</w:t>
      </w:r>
      <w:r>
        <w:rPr>
          <w:rFonts w:hint="eastAsia"/>
          <w:sz w:val="28"/>
          <w:szCs w:val="28"/>
        </w:rPr>
        <w:t xml:space="preserve">，主要原因是</w:t>
      </w:r>
      <w:r>
        <w:rPr>
          <w:rFonts w:hint="eastAsia"/>
          <w:sz w:val="28"/>
          <w:szCs w:val="28"/>
          <w:highlight w:val="none"/>
          <w:lang w:val="en-US" w:eastAsia="zh-CN"/>
        </w:rPr>
        <w:t xml:space="preserve">无政府性基金支出</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6" w:name="bookmark91"/>
      <w:r>
        <w:rPr>
          <w:rFonts w:hint="eastAsia"/>
          <w:b/>
          <w:bCs/>
          <w:lang w:val="en-US" w:eastAsia="zh-CN"/>
        </w:rPr>
        <w:t xml:space="preserve">九</w:t>
      </w:r>
      <w:bookmarkEnd w:id="16"/>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本单位无国有资本经营资金支出</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18.38</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16.29</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增加2.09</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增长12.83%</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学校工会会员人数增加，预算数增加，主要用于学校工会活动，如文体比赛活动、节日慰问、红白喜事慰问、教师医疗互助等方面支出</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15</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15</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主要用于：学校办设备的更新及办公用品的采购</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4</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26.96</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1.义务教育中央级公用经费</w:t>
        <w:tab/>
        <w:t xml:space="preserve">12.78万元</w:t>
        <w:tab/>
        <w:t xml:space="preserve">年度绩效目标是通过义务教育中央级公用经费的拨付，保障学校各项工作的正常开展，提高教育教学质量。</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2.C广西民族教育发展专项经费(补助市县)</w:t>
        <w:tab/>
        <w:t xml:space="preserve">5.38</w:t>
        <w:tab/>
        <w:t xml:space="preserve">"可行性和必要性：解围绕立德树人根本任务和教育高质量发展要求,把铸牢中华民族共同体意识纳入国民教育全过程,坚持不懈开展马克思主义国家观、民族观、历史观、文化观、宗教观宣传教育,广泛开展中华优秀传统文化、革命文化和社会主义先进文化教育，全面加强国家通用语言文字教育教学。</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支持范围：环江县第二小学族团结进步教育</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实施内容：建立完善民族团结进步教育常态化机制，不断改进和创新教育形式，确保民族团结进步教育落实到学校教育教学各环节。</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3.自治区公用经费</w:t>
        <w:tab/>
        <w:t xml:space="preserve">8.60</w:t>
        <w:tab/>
        <w:t xml:space="preserve">年度绩效目标是保障学校各项工作的正常开展，提高教育教学质量。</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4.公用经费（特教）中央补助</w:t>
        <w:tab/>
        <w:t xml:space="preserve">0.22</w:t>
        <w:tab/>
        <w:t xml:space="preserve">年度绩效目标是保障学校各项工作的正常开展，提高教育教学质量</w:t>
      </w:r>
    </w:p>
    <w:p>
      <w:pPr>
        <w:pStyle w:val="Bodytext|1"/>
        <w:spacing w:line="624" w:lineRule="exact"/>
        <w:ind w:firstLine="600"/>
        <w:jc w:val="left"/>
        <w:rPr>
          <w:rFonts w:hint="eastAsia"/>
          <w:sz w:val="28"/>
          <w:szCs w:val="28"/>
          <w:highlight w:val="none"/>
          <w:lang w:val="en-US" w:eastAsia="zh-CN"/>
        </w:rPr>
      </w:pPr>
    </w:p>
    <w:p>
      <w:pPr>
        <w:pStyle w:val="Bodytext|1"/>
        <w:spacing w:line="624" w:lineRule="exact"/>
        <w:jc w:val="left"/>
        <w:rPr>
          <w:rFonts w:hint="default"/>
          <w:sz w:val="28"/>
          <w:szCs w:val="28"/>
          <w:highlight w:val="none"/>
          <w:lang w:val="en-US" w:eastAsia="zh-CN"/>
        </w:rPr>
        <w:sectPr>
          <w:headerReference w:type="default" r:id="rId14"/>
          <w:footerReference w:type="default" r:id="rId15"/>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1"/>
      <w:bookmarkEnd w:id="12"/>
      <w:bookmarkEnd w:id="13"/>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环江毛南族自治县第二小学</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7" w:name="bookmark31"/>
      <w:bookmarkStart w:id="18" w:name="bookmark30"/>
      <w:bookmarkStart w:id="19" w:name="bookmark29"/>
      <w:r>
        <w:t xml:space="preserve">收支总体情况表</w:t>
      </w:r>
      <w:bookmarkEnd w:id="17"/>
      <w:bookmarkEnd w:id="18"/>
      <w:bookmarkEnd w:id="19"/>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cantSplit/>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环江毛南族自治县第二小学</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cantSplit/>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1316.96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18.38</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1316.96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1061.45</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143.71</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120.38</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1316.96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1343.93</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26.97</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1343.93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1343.93</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6"/>
          <w:footerReference w:type="default" r:id="rId17"/>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环江毛南族自治县第二小学</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90"/>
        </w:trPr>
        <w:tc>
          <w:tcPr>
            <w:tcW w:w="1636"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rPr>
              <w:t xml:space="preserve">201019</w:t>
            </w:r>
          </w:p>
        </w:tc>
        <w:tc>
          <w:tcPr>
            <w:tcW w:w="1279" w:type="dxa"/>
          </w:tcPr>
          <w:p>
            <w:pPr>
              <w:pStyle w:val="Other|1"/>
              <w:spacing w:line="326" w:lineRule="exact"/>
              <w:ind w:firstLine="0" w:firstLineChars="0"/>
              <w:jc w:val="lef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rPr>
              <w:t xml:space="preserve">环江毛南族自治县第二小学</w:t>
            </w:r>
          </w:p>
        </w:tc>
        <w:tc>
          <w:tcPr>
            <w:tcW w:w="990"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1343.93</w:t>
            </w:r>
          </w:p>
        </w:tc>
        <w:tc>
          <w:tcPr>
            <w:tcW w:w="926"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1316.96</w:t>
            </w:r>
          </w:p>
        </w:tc>
        <w:tc>
          <w:tcPr>
            <w:tcW w:w="909"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1316.96</w:t>
            </w:r>
          </w:p>
        </w:tc>
        <w:tc>
          <w:tcPr>
            <w:tcW w:w="968"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19"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26.97</w:t>
            </w:r>
          </w:p>
        </w:tc>
        <w:tc>
          <w:tcPr>
            <w:tcW w:w="1011"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26.97</w:t>
            </w:r>
          </w:p>
        </w:tc>
        <w:tc>
          <w:tcPr>
            <w:tcW w:w="859" w:type="dxa"/>
            <w:vAlign w:val="center"/>
          </w:tcPr>
          <w:p>
            <w:pPr>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1094" w:type="dxa"/>
            <w:gridSpan w:val="2"/>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37" w:type="dxa"/>
            <w:vAlign w:val="center"/>
          </w:tcPr>
          <w:p>
            <w:pPr>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89"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5557" w:type="dxa"/>
            <w:gridSpan w:val="16"/>
            <w:tcBorders>
              <w:left w:val="nil"/>
              <w:bottom w:val="nil"/>
              <w:right w:val="nil"/>
            </w:tcBorders>
          </w:tcPr>
          <w:p>
            <w:pPr>
              <w:pStyle w:val="Tablecaption|1"/>
              <w:jc w:val="left"/>
              <w:rPr>
                <w:rFonts w:eastAsia="宋体" w:hint="eastAsia"/>
                <w:sz w:val="17"/>
                <w:szCs w:val="17"/>
                <w:vertAlign w:val="baseline"/>
                <w:lang w:val="en-US" w:eastAsia="zh-CN"/>
              </w:rPr>
            </w:pPr>
            <w:r>
              <w:rPr>
                <w:sz w:val="17"/>
                <w:szCs w:val="17"/>
              </w:rP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8"/>
          <w:footerReference w:type="default" r:id="rId19"/>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20" w:name="bookmark43"/>
      <w:bookmarkStart w:id="21" w:name="bookmark41"/>
      <w:bookmarkStart w:id="22" w:name="bookmark42"/>
      <w:r>
        <w:t xml:space="preserve">支出总体情况表</w:t>
      </w:r>
      <w:bookmarkEnd w:id="20"/>
      <w:bookmarkEnd w:id="21"/>
      <w:bookmarkEnd w:id="22"/>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rPr>
          <w:cantSplit/>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环江毛南族自治县第二小学</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1343.93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1316.96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26.97</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201019</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1343.93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1316.96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26.97</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18.38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18.38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2050202</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小学教育</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1061.24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1034.48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26.75</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2050701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特殊学校教育</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0.22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0.22</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143.71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143.71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120.38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120.38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bl>
    <w:p>
      <w:pPr>
        <w:pStyle w:val="Tablecaption|1"/>
        <w:ind w:left="672"/>
        <w:jc w:val="left"/>
      </w:pPr>
      <w:r>
        <w:rPr>
          <w:b w:val="0"/>
          <w:bCs w:val="0"/>
        </w:rPr>
        <w:t xml:space="preserve">注：本报表金额单位转换时可能存在四舍五入尾数误差。</w:t>
      </w:r>
      <w:r>
        <w:br w:type="page"/>
      </w:r>
    </w:p>
    <w:p>
      <w:pPr>
        <w:pStyle w:val="Heading#2|1"/>
        <w:keepNext/>
        <w:keepLines/>
        <w:spacing w:after="240"/>
        <w:jc w:val="center"/>
      </w:pPr>
      <w:bookmarkStart w:id="23" w:name="bookmark44"/>
      <w:bookmarkStart w:id="24" w:name="bookmark46"/>
      <w:bookmarkStart w:id="25" w:name="bookmark45"/>
      <w:r>
        <w:t xml:space="preserve">财政拨款收支总体情况表</w:t>
      </w:r>
      <w:bookmarkEnd w:id="23"/>
      <w:bookmarkEnd w:id="24"/>
      <w:bookmarkEnd w:id="25"/>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cantSplit/>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环江毛南族自治县第二小学</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1316.96</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18.38</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1316.96</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1061.45</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143.71</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120.38</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1316.96</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1343.93</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26.97</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1343.93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1343.93</w:t>
            </w:r>
          </w:p>
        </w:tc>
      </w:tr>
      <w:tr>
        <w:tblPrEx>
          <w:tblW w:w="0" w:type="auto"/>
          <w:tblInd w:w="0" w:type="dxa"/>
          <w:tblLayout w:type="fixed"/>
          <w:tblCellMar>
            <w:top w:w="0" w:type="dxa"/>
            <w:left w:w="10" w:type="dxa"/>
            <w:bottom w:w="0" w:type="dxa"/>
            <w:right w:w="10" w:type="dxa"/>
          </w:tblCellMar>
        </w:tblPrEx>
        <w:trPr>
          <w:cantSplit/>
          <w:trHeight w:hRule="exact" w:val="352"/>
        </w:trPr>
        <w:tc>
          <w:tcPr>
            <w:tcW w:w="15342" w:type="dxa"/>
            <w:gridSpan w:val="6"/>
            <w:tcBorders>
              <w:top w:val="single" w:sz="4" w:space="0" w:color="auto"/>
            </w:tcBorders>
            <w:shd w:val="clear" w:color="auto" w:fill="FFFFFF"/>
          </w:tcPr>
          <w:p>
            <w:pPr>
              <w:jc w:val="left"/>
              <w:rPr>
                <w:rFonts w:ascii="宋体" w:eastAsia="宋体" w:hAnsi="宋体" w:cs="宋体" w:hint="eastAsia"/>
                <w:sz w:val="17"/>
                <w:szCs w:val="17"/>
                <w:lang w:eastAsia="zh-CN"/>
              </w:rPr>
            </w:pPr>
            <w:r>
              <w:rPr>
                <w:rFonts w:ascii="宋体" w:eastAsia="宋体" w:hAnsi="宋体" w:cs="宋体" w:hint="eastAsia"/>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cantSplit/>
          <w:trHeight w:hRule="exact" w:val="274"/>
        </w:trPr>
        <w:tc>
          <w:tcPr>
            <w:tcW w:w="15342" w:type="dxa"/>
            <w:gridSpan w:val="6"/>
            <w:shd w:val="clear" w:color="auto" w:fill="FFFFFF"/>
            <w:vAlign w:val="bottom"/>
          </w:tcPr>
          <w:p>
            <w:pPr>
              <w:jc w:val="left"/>
              <w:rPr>
                <w:rFonts w:ascii="宋体" w:eastAsia="宋体" w:hAnsi="宋体" w:cs="宋体" w:hint="eastAsia"/>
                <w:sz w:val="17"/>
                <w:szCs w:val="17"/>
                <w:lang w:eastAsia="zh-CN"/>
              </w:rPr>
            </w:pPr>
            <w:r>
              <w:rPr>
                <w:rFonts w:ascii="宋体" w:eastAsia="宋体" w:hAnsi="宋体" w:cs="宋体" w:hint="eastAsia"/>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05"/>
        <w:gridCol w:w="1636"/>
        <w:gridCol w:w="1615"/>
        <w:gridCol w:w="1713"/>
        <w:gridCol w:w="1879"/>
        <w:gridCol w:w="1846"/>
        <w:gridCol w:w="1718"/>
        <w:gridCol w:w="72"/>
        <w:gridCol w:w="1686"/>
        <w:gridCol w:w="1687"/>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环江毛南族自治县第二小学</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201019</w:t>
            </w: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1343.93</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1316.96</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1298.58</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18.38</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26.97</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2012999</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18.38</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18.38</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18.38</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2050202</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小学教育</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1061.24</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1034.48</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1034.48</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26.75</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2050701</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特殊学校教育</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0.22</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0.22</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2080505</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143.71</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143.71</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143.71</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2210201</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120.38</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120.38</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120.38</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10"/>
            <w:tcBorders>
              <w:left w:val="nil"/>
              <w:bottom w:val="nil"/>
              <w:right w:val="nil"/>
            </w:tcBorders>
          </w:tcPr>
          <w:p>
            <w:pPr>
              <w:jc w:val="left"/>
              <w:rPr>
                <w:rFonts w:hint="eastAsia"/>
                <w:sz w:val="17"/>
                <w:szCs w:val="17"/>
                <w:vertAlign w:val="baseline"/>
                <w:lang w:eastAsia="zh-CN"/>
              </w:rPr>
            </w:pPr>
            <w:r>
              <w:rPr>
                <w:rFonts w:ascii="宋体" w:eastAsia="宋体" w:hAnsi="宋体" w:cs="宋体" w:hint="eastAsia"/>
                <w:sz w:val="17"/>
                <w:szCs w:val="17"/>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6" w:name="bookmark56"/>
      <w:bookmarkStart w:id="27" w:name="bookmark57"/>
      <w:bookmarkStart w:id="28" w:name="bookmark58"/>
      <w:r>
        <w:t xml:space="preserve">一般公共预算基本支出情况表</w:t>
      </w:r>
      <w:bookmarkEnd w:id="26"/>
      <w:bookmarkEnd w:id="27"/>
      <w:bookmarkEnd w:id="28"/>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blHeader/>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环江毛南族自治县第二小学</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blHeader/>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blHeader/>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合计</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1316.96</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1298.58</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18.38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工资福利支出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1257.87</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1257.87</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基本工资</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452.76</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452.76</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津贴补贴</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29.98</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29.98</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奖金</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221.99</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221.99</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30107</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绩效工资</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199.50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199.50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143.71</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143.71</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30110</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57.48</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57.48</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6.36</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6.36</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住房公积金</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124.72</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124.72</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30199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21.36</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21.36</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18.38</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18.38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办公费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30205</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30206</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电费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30207</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邮电费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30211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差旅费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30213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维修（护）费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30228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工会经费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18.38</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18.38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40.71</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40.71</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退休费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39.95</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39.95</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30305</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生活补助</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0.73</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0.73</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30399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其他对个人和家庭的补助</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0.03</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0.03</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310</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资本性支出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31002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办公设备购置</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blHeader/>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rFonts w:ascii="宋体" w:eastAsia="宋体" w:hAnsi="宋体" w:cs="宋体" w:hint="eastAsia"/>
                <w:sz w:val="17"/>
                <w:szCs w:val="17"/>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5"/>
      <w:bookmarkStart w:id="30" w:name="bookmark66"/>
      <w:bookmarkStart w:id="31" w:name="bookmark67"/>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环江毛南族自治县第二小学</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pStyle w:val="Other|1"/>
              <w:spacing w:line="240" w:lineRule="auto"/>
              <w:ind w:firstLine="0" w:firstLineChars="0"/>
              <w:jc w:val="lef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201019</w:t>
            </w:r>
          </w:p>
        </w:tc>
        <w:tc>
          <w:tcPr>
            <w:tcW w:w="1918" w:type="dxa"/>
            <w:vAlign w:val="center"/>
          </w:tcPr>
          <w:p>
            <w:pPr>
              <w:pStyle w:val="Other|1"/>
              <w:spacing w:line="240" w:lineRule="auto"/>
              <w:ind w:firstLine="0" w:firstLineChars="0"/>
              <w:jc w:val="left"/>
              <w:rPr>
                <w:rFonts w:ascii="宋体" w:eastAsia="宋体" w:hAnsi="宋体" w:cs="宋体" w:hint="eastAsia"/>
                <w:b w:val="0"/>
                <w:bCs w:val="0"/>
                <w:vertAlign w:val="baseline"/>
                <w:lang w:val="en-US" w:eastAsia="zh-CN"/>
              </w:rPr>
            </w:pPr>
          </w:p>
        </w:tc>
        <w:tc>
          <w:tcPr>
            <w:tcW w:w="1884"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95"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88"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90"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89"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7"/>
                <w:szCs w:val="17"/>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环江毛南族自治县第二小学</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Tablecaption|1"/>
              <w:bidi w:val="0"/>
              <w:jc w:val="both"/>
              <w:rPr>
                <w:vertAlign w:val="baseline"/>
              </w:rPr>
            </w:pPr>
            <w:r>
              <w:rPr>
                <w:b w:val="0"/>
                <w:bCs w:val="0"/>
              </w:rP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环江毛南族自治县第二小学</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Tablecaption|1"/>
              <w:spacing w:line="302" w:lineRule="exact"/>
              <w:ind w:left="672"/>
              <w:jc w:val="left"/>
              <w:rPr>
                <w:rFonts w:ascii="宋体" w:eastAsia="宋体" w:hAnsi="宋体" w:cs="宋体" w:hint="eastAsia"/>
                <w:b w:val="0"/>
                <w:bCs w:val="0"/>
              </w:rPr>
            </w:pPr>
            <w:r>
              <w:rPr>
                <w:rFonts w:ascii="宋体" w:eastAsia="宋体" w:hAnsi="宋体" w:cs="宋体" w:hint="eastAsia"/>
                <w:b w:val="0"/>
                <w:bCs w:val="0"/>
              </w:rPr>
              <w:t xml:space="preserve">注：本报表金额单位转换时可能存在四舍五入尾数误差。本部门</w:t>
            </w:r>
            <w:r>
              <w:rPr>
                <w:rFonts w:ascii="宋体" w:eastAsia="宋体" w:hAnsi="宋体" w:cs="宋体" w:hint="eastAsia"/>
                <w:b w:val="0"/>
                <w:bCs w:val="0"/>
                <w:lang w:eastAsia="zh-CN"/>
              </w:rPr>
              <w:t xml:space="preserve">2024</w:t>
            </w:r>
            <w:r>
              <w:rPr>
                <w:rFonts w:ascii="宋体" w:eastAsia="宋体" w:hAnsi="宋体" w:cs="宋体"/>
                <w:u w:color="auto"/>
              </w:rPr>
              <w:t xml:space="preserve">年</w:t>
            </w:r>
            <w:r>
              <w:rPr>
                <w:rFonts w:ascii="宋体" w:eastAsia="宋体" w:hAnsi="宋体" w:cs="宋体" w:hint="eastAsia"/>
                <w:b w:val="0"/>
                <w:bCs w:val="0"/>
              </w:rP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cantSplit/>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环江毛南族自治县第二小学</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201019</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环江毛南族自治县第二小学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义务教育中央级公用经费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12.78</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年中调整</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201019</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环江毛南族自治县第二小学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C广西民族教育发展专项经费(补助市县)</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5.38</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可行性和必要性：解围绕立德树人根本任务和教育高质量发展要求,把铸牢中华民族共同体意识纳入国民教育全过程,坚持不懈开展马克思主义国家观、民族观、历史观、文化观、宗教观宣传教育,广泛开展中华优秀传统文化、革命文化和社会主义先进文化教育，全面加强国家通用语言文字教育教学。</w:t>
            </w:r>
            <w:r>
              <w:rPr>
                <w:rFonts w:ascii="宋体" w:eastAsia="宋体" w:hAnsi="宋体" w:cs="宋体" w:hint="eastAsia"/>
                <w:b w:val="0"/>
                <w:bCs w:val="0"/>
                <w:sz w:val="17"/>
                <w:szCs w:val="17"/>
                <w:lang w:val="en-US" w:eastAsia="zh-CN"/>
              </w:rPr>
              <w:br/>
            </w:r>
            <w:r>
              <w:rPr>
                <w:rFonts w:ascii="宋体" w:eastAsia="宋体" w:hAnsi="宋体" w:cs="宋体" w:hint="eastAsia"/>
                <w:b w:val="0"/>
                <w:bCs w:val="0"/>
                <w:sz w:val="17"/>
                <w:szCs w:val="17"/>
                <w:lang w:val="en-US" w:eastAsia="zh-CN"/>
              </w:rPr>
              <w:t xml:space="preserve">支持范围：环江县第二小学族团结进步教育</w:t>
            </w:r>
            <w:r>
              <w:rPr>
                <w:rFonts w:ascii="宋体" w:eastAsia="宋体" w:hAnsi="宋体" w:cs="宋体" w:hint="eastAsia"/>
                <w:b w:val="0"/>
                <w:bCs w:val="0"/>
                <w:sz w:val="17"/>
                <w:szCs w:val="17"/>
                <w:lang w:val="en-US" w:eastAsia="zh-CN"/>
              </w:rPr>
              <w:br/>
            </w:r>
            <w:r>
              <w:rPr>
                <w:rFonts w:ascii="宋体" w:eastAsia="宋体" w:hAnsi="宋体" w:cs="宋体" w:hint="eastAsia"/>
                <w:b w:val="0"/>
                <w:bCs w:val="0"/>
                <w:sz w:val="17"/>
                <w:szCs w:val="17"/>
                <w:lang w:val="en-US" w:eastAsia="zh-CN"/>
              </w:rPr>
              <w:t xml:space="preserve">实施内容：建立完善民族团结进步教育常态化机制，不断改进和创新教育形式，确保民族团结进步教育落实到学校教育教学各环节。</w:t>
            </w:r>
            <w:r>
              <w:rPr>
                <w:rFonts w:ascii="宋体" w:eastAsia="宋体" w:hAnsi="宋体" w:cs="宋体" w:hint="eastAsia"/>
                <w:b w:val="0"/>
                <w:bCs w:val="0"/>
                <w:sz w:val="17"/>
                <w:szCs w:val="17"/>
                <w:lang w:val="en-US" w:eastAsia="zh-CN"/>
              </w:rPr>
              <w:br/>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201019</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环江毛南族自治县第二小学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自治区公用经费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8.60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年中调整</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201019</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环江毛南族自治县第二小学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公用经费（特教）中央补助</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0.22</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年中调整</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20"/>
          <w:footerReference w:type="default" r:id="rId21"/>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4"/>
      <w:bookmarkStart w:id="33" w:name="bookmark96"/>
      <w:bookmarkStart w:id="34" w:name="bookmark95"/>
      <w:r>
        <w:rPr>
          <w:sz w:val="40"/>
          <w:szCs w:val="40"/>
        </w:rPr>
        <w:t xml:space="preserve">第四部</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2"/>
      <w:footerReference w:type="default" r:id="rId23"/>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91"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3535"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1599"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3537"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1601"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3539"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posOffset>4538345</wp:posOffset>
              </wp:positionH>
              <wp:positionV relativeFrom="paragraph">
                <wp:posOffset>-151765</wp:posOffset>
              </wp:positionV>
              <wp:extent cx="478790" cy="323215"/>
              <wp:effectExtent l="0" t="0" r="0" b="0"/>
              <wp:wrapNone/>
              <wp:docPr id="1602" name="文本框 9"/>
              <wp:cNvGraphicFramePr>
                <a:graphicFrameLocks noChangeAspect="0"/>
              </wp:cNvGraphicFramePr>
              <a:graphic>
                <a:graphicData uri="http://schemas.microsoft.com/office/word/2010/wordprocessingShape">
                  <wps:wsp>
                    <wps:cNvSpPr/>
                    <wps:spPr>
                      <a:xfrm>
                        <a:off x="0" y="0"/>
                        <a:ext cx="478790" cy="32321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9" o:spid="_x0000_s3540" type="#_x0000_t202" style="height:25.45pt;margin-left:357.35pt;margin-top:-11.95pt;mso-height-relative:page;mso-position-horizontal-relative:margin;mso-width-relative:page;mso-wrap-distance-bottom:0;mso-wrap-distance-left:9pt;mso-wrap-distance-right:9pt;mso-wrap-distance-top:0;mso-wrap-style:square;position:absolute;v-text-anchor:top;width:37.7pt;z-index:251664384"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posOffset>4473575</wp:posOffset>
              </wp:positionH>
              <wp:positionV relativeFrom="paragraph">
                <wp:posOffset>-86360</wp:posOffset>
              </wp:positionV>
              <wp:extent cx="447040" cy="267970"/>
              <wp:effectExtent l="0" t="0" r="0" b="0"/>
              <wp:wrapNone/>
              <wp:docPr id="1603" name="文本框 11"/>
              <wp:cNvGraphicFramePr>
                <a:graphicFrameLocks noChangeAspect="0"/>
              </wp:cNvGraphicFramePr>
              <a:graphic>
                <a:graphicData uri="http://schemas.microsoft.com/office/word/2010/wordprocessingShape">
                  <wps:wsp>
                    <wps:cNvSpPr/>
                    <wps:spPr>
                      <a:xfrm>
                        <a:off x="0" y="0"/>
                        <a:ext cx="447040" cy="26797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11" o:spid="_x0000_s3541" type="#_x0000_t202" style="height:21.1pt;margin-left:352.25pt;margin-top:-6.8pt;mso-height-relative:page;mso-position-horizontal-relative:margin;mso-width-relative:page;mso-wrap-distance-bottom:0;mso-wrap-distance-left:9pt;mso-wrap-distance-right:9pt;mso-wrap-distance-top:0;mso-wrap-style:square;position:absolute;v-text-anchor:top;width:35.2pt;z-index:251665408"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04"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3542"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598"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3536"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600"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3538"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60"/>
  <w:bordersDoNotSurroundFooter w:val="0"/>
  <w:bordersDoNotSurroundHeader w:val="0"/>
  <w:doNotTrackMoves/>
  <w:documentProtection w:enforcement="1" w:edit="readOnly" w:salt="uj8clbyYZ6ezueQRllHppg==" w:hash="50/rmLkFaDLr4QeYlH/END2TnO/9Z35JOAHXT35uLHUet+jjL18mW+WvV2/xcUtjaEp9JEBROv/p1FwmEP+Mqw=="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YmQ3NjQxYmZmN2ZkODIxYWNiNTEzMzQyMTZmNzQ1M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3.xml" Type="http://schemas.openxmlformats.org/officeDocument/2006/relationships/chart"/><Relationship Id="rId11" Target="charts/chart4.xml" Type="http://schemas.openxmlformats.org/officeDocument/2006/relationships/chart"/><Relationship Id="rId12" Target="charts/chart5.xml" Type="http://schemas.openxmlformats.org/officeDocument/2006/relationships/chart"/><Relationship Id="rId13" Target="charts/chart6.xml" Type="http://schemas.openxmlformats.org/officeDocument/2006/relationships/chart"/><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header6.xml" Type="http://schemas.openxmlformats.org/officeDocument/2006/relationships/header"/><Relationship Id="rId23" Target="footer7.xml" Type="http://schemas.openxmlformats.org/officeDocument/2006/relationships/footer"/><Relationship Id="rId24" Target="theme/theme1.xml" Type="http://schemas.openxmlformats.org/officeDocument/2006/relationships/theme"/><Relationship Id="rId25" Target="styles.xml" Type="http://schemas.openxmlformats.org/officeDocument/2006/relationships/styles"/><Relationship Id="rId26" Target="webSettings.xml" Type="http://schemas.openxmlformats.org/officeDocument/2006/relationships/webSettings"/><Relationship Id="rId27" Target="numbering.xml" Type="http://schemas.openxmlformats.org/officeDocument/2006/relationships/numbering"/><Relationship Id="rId28" Target="fontTable.xml" Type="http://schemas.openxmlformats.org/officeDocument/2006/relationships/fontTable"/><Relationship Id="rId29"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header1.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charts/chart1.xml" Type="http://schemas.openxmlformats.org/officeDocument/2006/relationships/chart"/><Relationship Id="rId9" Target="charts/chart2.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1343.93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教育支出</c:v>
                </c:pt>
                <c:pt idx="2">
                  <c:v>社会保障和就业支出</c:v>
                </c:pt>
                <c:pt idx="3">
                  <c:v>住房保障支出</c:v>
                </c:pt>
              </c:strCache>
            </c:strRef>
          </c:cat>
          <c:val>
            <c:numRef>
              <c:f>Sheet1!$B$2:$B$5</c:f>
              <c:numCache>
                <c:ptCount val="4"/>
                <c:pt idx="0">
                  <c:v>18.38</c:v>
                </c:pt>
                <c:pt idx="1">
                  <c:v>1034.48</c:v>
                </c:pt>
                <c:pt idx="2">
                  <c:v>143.71</c:v>
                </c:pt>
                <c:pt idx="3">
                  <c:v>120.38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1137.68</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1343.93</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1316.96</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0.0</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18.38</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1298.58</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1298.58</c:v>
                </c:pt>
                <c:pt idx="1">
                  <c:v>18.38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2024-03-01T08:17:38Z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17</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4E3C581BBF724D7C94F9FADCFB18DEB4_13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17</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2024-03-01T10:55:43Z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4E3C581BBF724D7C94F9FADCFB18DEB4_13</vt:lpstr>
  </property>
</Properties>
</file>