
<file path=[Content_Types].xml><?xml version="1.0" encoding="utf-8"?>
<Types xmlns="http://schemas.openxmlformats.org/package/2006/content-types">
  <Default ContentType="application/vnd.openxmlformats-package.relationships+xml" Extension="rels"/>
  <Default ContentType="application/vnd.openxmlformats-officedocument.spreadsheetml.sheet" Extension="xlsx"/>
  <Default ContentType="application/xml" Extension="xml"/>
  <Override ContentType="application/xml" PartName="/customXml/item1.xml"/>
  <Override ContentType="application/xml" PartName="/customXml/item2.xml"/>
  <Override ContentType="application/xml" PartName="/customXml/item3.xml"/>
  <Override ContentType="application/xml" PartName="/customXml/item4.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drawingml.chart+xml" PartName="/word/charts/chart1.xml"/>
  <Override ContentType="application/vnd.openxmlformats-officedocument.drawingml.chart+xml" PartName="/word/charts/chart2.xml"/>
  <Override ContentType="application/vnd.openxmlformats-officedocument.drawingml.chart+xml" PartName="/word/charts/chart3.xml"/>
  <Override ContentType="application/vnd.openxmlformats-officedocument.drawingml.chart+xml" PartName="/word/charts/chart4.xml"/>
  <Override ContentType="application/vnd.openxmlformats-officedocument.drawingml.chart+xml" PartName="/word/charts/chart5.xml"/>
  <Override ContentType="application/vnd.openxmlformats-officedocument.drawingml.chart+xml" PartName="/word/charts/chart6.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5.xml"/>
  <Override ContentType="application/vnd.openxmlformats-officedocument.wordprocessingml.footer+xml" PartName="/word/footer6.xml"/>
  <Override ContentType="application/vnd.openxmlformats-officedocument.wordprocessingml.footer+xml" PartName="/word/footer7.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header+xml" PartName="/word/header4.xml"/>
  <Override ContentType="application/vnd.openxmlformats-officedocument.wordprocessingml.header+xml" PartName="/word/header5.xml"/>
  <Override ContentType="application/vnd.openxmlformats-officedocument.wordprocessingml.header+xml" PartName="/word/header6.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 Id="rId4" Target="docProps/custom.xml" Type="http://schemas.openxmlformats.org/officeDocument/2006/relationships/custom-properties"/></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w15="http://schemas.microsoft.com/office/word/2012/wordml" mc:Ignorable="w14 w15">
  <!-- Generated by Spire.Doc -->
  <w:body>
    <w:p>
      <w:pPr>
        <w:pStyle w:val="Bodytext|5"/>
        <w:jc w:val="center"/>
        <w:rPr>
          <w:rFonts w:hint="eastAsia"/>
          <w:sz w:val="56"/>
          <w:szCs w:val="56"/>
          <w:lang w:eastAsia="zh-CN"/>
        </w:rPr>
      </w:pPr>
      <w:r>
        <w:rPr>
          <w:rFonts w:hint="eastAsia"/>
          <w:sz w:val="56"/>
          <w:szCs w:val="56"/>
          <w:lang w:eastAsia="zh-CN"/>
        </w:rPr>
        <w:t xml:space="preserve">环江毛南族自治县第四初级中学</w:t>
      </w:r>
    </w:p>
    <w:p>
      <w:pPr>
        <w:pStyle w:val="Bodytext|5"/>
        <w:jc w:val="center"/>
        <w:rPr>
          <w:rFonts w:eastAsia="宋体" w:eastAsiaTheme="majorEastAsia" w:hint="eastAsia"/>
          <w:sz w:val="56"/>
          <w:szCs w:val="56"/>
          <w:lang w:val="en-US" w:eastAsia="zh-CN"/>
        </w:rPr>
        <w:sectPr>
          <w:headerReference w:type="default" r:id="rId5"/>
          <w:footerReference w:type="default" r:id="rId6"/>
          <w:pgSz w:w="11900" w:h="16840" w:orient="portrait"/>
          <w:pgMar w:top="4713" w:right="1913" w:bottom="4713" w:left="2020" w:header="4285" w:footer="2381" w:gutter="0"/>
          <w:pgBorders>
            <w:top w:val="none" w:sz="0" w:space="0" w:color="auto"/>
            <w:left w:val="none" w:sz="0" w:space="0" w:color="auto"/>
            <w:bottom w:val="none" w:sz="0" w:space="0" w:color="auto"/>
            <w:right w:val="none" w:sz="0" w:space="0" w:color="auto"/>
          </w:pgBorders>
          <w:pgNumType w:fmt="decimal" w:start="1"/>
          <w:cols w:num="1" w:space="720">
            <w:col w:w="7967" w:space="720"/>
          </w:cols>
          <w:docGrid w:linePitch="360" w:charSpace="0"/>
        </w:sectPr>
      </w:pPr>
      <w:r>
        <w:rPr>
          <w:rFonts w:hint="eastAsia"/>
          <w:sz w:val="56"/>
          <w:szCs w:val="56"/>
          <w:lang w:eastAsia="zh-CN"/>
        </w:rPr>
        <w:t xml:space="preserve">2024</w:t>
      </w:r>
      <w:r>
        <w:rPr>
          <w:rFonts w:ascii="宋体" w:eastAsia="宋体" w:hAnsi="宋体" w:asciiTheme="majorEastAsia" w:eastAsiaTheme="majorEastAsia" w:hAnsiTheme="majorEastAsia" w:cs="Times New Roman" w:cstheme="majorEastAsia" w:hint="eastAsia"/>
          <w:sz w:val="56"/>
          <w:szCs w:val="56"/>
          <w:u w:color="auto"/>
        </w:rPr>
        <w:t xml:space="preserve">年</w:t>
      </w:r>
      <w:r>
        <w:rPr>
          <w:rFonts w:ascii="宋体" w:eastAsia="宋体" w:hAnsi="宋体" w:asciiTheme="majorEastAsia" w:eastAsiaTheme="majorEastAsia" w:hAnsiTheme="majorEastAsia" w:cs="Times New Roman" w:cstheme="majorEastAsia" w:hint="eastAsia"/>
          <w:sz w:val="56"/>
          <w:szCs w:val="56"/>
        </w:rPr>
        <w:t xml:space="preserve">度部门预算</w:t>
      </w:r>
      <w:r>
        <w:rPr>
          <w:rFonts w:ascii="宋体" w:eastAsia="宋体" w:hAnsi="宋体" w:asciiTheme="majorEastAsia" w:eastAsiaTheme="majorEastAsia" w:hAnsiTheme="majorEastAsia" w:cs="Times New Roman" w:cstheme="majorEastAsia" w:hint="eastAsia"/>
          <w:sz w:val="56"/>
          <w:szCs w:val="56"/>
          <w:lang w:val="en-US" w:eastAsia="zh-CN"/>
        </w:rPr>
        <w:t xml:space="preserve">公开</w:t>
      </w:r>
    </w:p>
    <w:p>
      <w:pPr>
        <w:pStyle w:val="Heading#1|1"/>
        <w:keepNext/>
        <w:keepLines/>
        <w:spacing w:after="240"/>
        <w:jc w:val="center"/>
      </w:pPr>
      <w:bookmarkStart w:id="0" w:name="bookmark1"/>
      <w:bookmarkStart w:id="1" w:name="bookmark2"/>
      <w:bookmarkStart w:id="2" w:name="bookmark0"/>
      <w:r>
        <w:t xml:space="preserve">目录</w:t>
      </w:r>
      <w:bookmarkEnd w:id="0"/>
      <w:bookmarkEnd w:id="1"/>
      <w:bookmarkEnd w:id="2"/>
    </w:p>
    <w:p>
      <w:pPr>
        <w:pStyle w:val="Bodytext|2"/>
        <w:ind w:left="0" w:firstLine="320" w:leftChars="0" w:firstLineChars="100"/>
        <w:jc w:val="left"/>
      </w:pPr>
      <w:r>
        <w:t xml:space="preserve">第一部分</w:t>
      </w:r>
      <w:r>
        <w:rPr>
          <w:rFonts w:hint="eastAsia"/>
          <w:lang w:eastAsia="zh-CN"/>
        </w:rPr>
        <w:t xml:space="preserve">：</w:t>
      </w:r>
      <w:r>
        <w:rPr>
          <w:u w:color="auto"/>
        </w:rPr>
        <w:t xml:space="preserve">环江毛南族自治县第四初级中学</w:t>
      </w:r>
      <w:r>
        <w:rPr>
          <w:u w:color="auto"/>
        </w:rPr>
        <w:t xml:space="preserve">单位</w:t>
      </w:r>
      <w:r>
        <w:t xml:space="preserve">概况</w:t>
      </w:r>
    </w:p>
    <w:p>
      <w:pPr>
        <w:pStyle w:val="Bodytext|2"/>
        <w:jc w:val="left"/>
        <w:rPr>
          <w:rFonts w:hint="eastAsia"/>
          <w:b w:val="0"/>
          <w:bCs w:val="0"/>
          <w:lang w:val="en-US" w:eastAsia="zh-CN"/>
        </w:rPr>
      </w:pPr>
      <w:r>
        <w:rPr>
          <w:rFonts w:hint="eastAsia"/>
          <w:b w:val="0"/>
          <w:bCs w:val="0"/>
          <w:lang w:val="en-US" w:eastAsia="zh-CN"/>
        </w:rPr>
        <w:t xml:space="preserve">一、主要职责</w:t>
      </w:r>
    </w:p>
    <w:p>
      <w:pPr>
        <w:pStyle w:val="Bodytext|2"/>
        <w:jc w:val="left"/>
        <w:rPr>
          <w:rFonts w:hint="eastAsia"/>
          <w:b w:val="0"/>
          <w:bCs w:val="0"/>
        </w:rPr>
      </w:pPr>
      <w:r>
        <w:rPr>
          <w:rFonts w:hint="eastAsia"/>
          <w:b w:val="0"/>
          <w:bCs w:val="0"/>
          <w:lang w:val="en-US" w:eastAsia="zh-CN"/>
        </w:rPr>
        <w:t xml:space="preserve">二、</w:t>
      </w:r>
      <w:r>
        <w:rPr>
          <w:rFonts w:hint="eastAsia"/>
          <w:b w:val="0"/>
          <w:bCs w:val="0"/>
        </w:rPr>
        <w:t xml:space="preserve">机构设置情况</w:t>
      </w:r>
    </w:p>
    <w:p>
      <w:pPr>
        <w:pStyle w:val="Bodytext|2"/>
        <w:ind w:left="0" w:firstLine="320" w:leftChars="0" w:firstLineChars="100"/>
        <w:jc w:val="left"/>
      </w:pPr>
      <w:r>
        <w:t xml:space="preserve">第二部分</w:t>
      </w:r>
      <w:r>
        <w:rPr>
          <w:rFonts w:hint="eastAsia"/>
          <w:lang w:eastAsia="zh-CN"/>
        </w:rPr>
        <w:t xml:space="preserve">：</w:t>
      </w:r>
      <w:r>
        <w:rPr>
          <w:u w:color="auto"/>
        </w:rPr>
        <w:t xml:space="preserve">环江毛南族自治县第四初级中学</w:t>
      </w:r>
      <w:r>
        <w:rPr>
          <w:u w:color="auto"/>
        </w:rPr>
        <w:t xml:space="preserve">2024</w:t>
      </w:r>
      <w:r>
        <w:t xml:space="preserve">部门预算情况说明</w:t>
      </w:r>
    </w:p>
    <w:p>
      <w:pPr>
        <w:pStyle w:val="Bodytext|2"/>
        <w:numPr>
          <w:ilvl w:val="0"/>
          <w:numId w:val="0"/>
        </w:numPr>
        <w:ind w:firstLine="640" w:firstLineChars="200"/>
        <w:jc w:val="left"/>
        <w:rPr>
          <w:rFonts w:hint="eastAsia"/>
        </w:rPr>
      </w:pPr>
      <w:r>
        <w:rPr>
          <w:rFonts w:hint="eastAsia"/>
        </w:rPr>
        <w:t xml:space="preserve">一、部门收支总体情况说明</w:t>
      </w:r>
    </w:p>
    <w:p>
      <w:pPr>
        <w:pStyle w:val="Bodytext|2"/>
        <w:numPr>
          <w:ilvl w:val="0"/>
          <w:numId w:val="0"/>
        </w:numPr>
        <w:ind w:firstLine="640" w:firstLineChars="200"/>
        <w:jc w:val="left"/>
        <w:rPr>
          <w:rFonts w:hint="eastAsia"/>
        </w:rPr>
      </w:pPr>
      <w:r>
        <w:rPr>
          <w:rFonts w:hint="eastAsia"/>
        </w:rPr>
        <w:t xml:space="preserve">二、部门收入总体情况说明</w:t>
      </w:r>
      <w:bookmarkStart w:id="3" w:name="_GoBack"/>
      <w:bookmarkEnd w:id="3"/>
    </w:p>
    <w:p>
      <w:pPr>
        <w:pStyle w:val="Bodytext|2"/>
        <w:numPr>
          <w:ilvl w:val="0"/>
          <w:numId w:val="0"/>
        </w:numPr>
        <w:ind w:firstLine="640" w:firstLineChars="200"/>
        <w:jc w:val="left"/>
        <w:rPr>
          <w:rFonts w:hint="eastAsia"/>
        </w:rPr>
      </w:pPr>
      <w:r>
        <w:rPr>
          <w:rFonts w:hint="eastAsia"/>
        </w:rPr>
        <w:t xml:space="preserve">三、部门支出总体情况说明</w:t>
      </w:r>
    </w:p>
    <w:p>
      <w:pPr>
        <w:pStyle w:val="Bodytext|2"/>
        <w:numPr>
          <w:ilvl w:val="0"/>
          <w:numId w:val="0"/>
        </w:numPr>
        <w:ind w:firstLine="640" w:firstLineChars="200"/>
        <w:jc w:val="left"/>
        <w:rPr>
          <w:rFonts w:hint="eastAsia"/>
        </w:rPr>
      </w:pPr>
      <w:r>
        <w:rPr>
          <w:rFonts w:hint="eastAsia"/>
        </w:rPr>
        <w:t xml:space="preserve">四、财政拨款收支总体情况说明</w:t>
      </w:r>
    </w:p>
    <w:p>
      <w:pPr>
        <w:pStyle w:val="Bodytext|2"/>
        <w:numPr>
          <w:ilvl w:val="0"/>
          <w:numId w:val="0"/>
        </w:numPr>
        <w:ind w:firstLine="640" w:firstLineChars="200"/>
        <w:jc w:val="left"/>
        <w:rPr>
          <w:rFonts w:hint="eastAsia"/>
        </w:rPr>
      </w:pPr>
      <w:r>
        <w:rPr>
          <w:rFonts w:hint="eastAsia"/>
        </w:rPr>
        <w:t xml:space="preserve">五、一般公共预算支出情况说明</w:t>
      </w:r>
    </w:p>
    <w:p>
      <w:pPr>
        <w:pStyle w:val="Bodytext|2"/>
        <w:numPr>
          <w:ilvl w:val="0"/>
          <w:numId w:val="0"/>
        </w:numPr>
        <w:ind w:firstLine="640" w:firstLineChars="200"/>
        <w:jc w:val="left"/>
        <w:rPr>
          <w:rFonts w:hint="eastAsia"/>
        </w:rPr>
      </w:pPr>
      <w:r>
        <w:rPr>
          <w:rFonts w:hint="eastAsia"/>
        </w:rPr>
        <w:t xml:space="preserve">六、一般公共预算基本支出情况说明</w:t>
      </w:r>
    </w:p>
    <w:p>
      <w:pPr>
        <w:pStyle w:val="Bodytext|2"/>
        <w:numPr>
          <w:ilvl w:val="0"/>
          <w:numId w:val="0"/>
        </w:numPr>
        <w:ind w:firstLine="640" w:firstLineChars="200"/>
        <w:jc w:val="left"/>
        <w:rPr>
          <w:rFonts w:hint="eastAsia"/>
        </w:rPr>
      </w:pPr>
      <w:r>
        <w:rPr>
          <w:rFonts w:hint="eastAsia"/>
        </w:rPr>
        <w:t xml:space="preserve">七、一般公共预算“三公”经费支出情况说明</w:t>
      </w:r>
    </w:p>
    <w:p>
      <w:pPr>
        <w:pStyle w:val="Bodytext|2"/>
        <w:numPr>
          <w:ilvl w:val="0"/>
          <w:numId w:val="0"/>
        </w:numPr>
        <w:ind w:firstLine="640" w:firstLineChars="200"/>
        <w:jc w:val="left"/>
        <w:rPr>
          <w:rFonts w:hint="eastAsia"/>
        </w:rPr>
      </w:pPr>
      <w:r>
        <w:rPr>
          <w:rFonts w:hint="eastAsia"/>
        </w:rPr>
        <w:t xml:space="preserve">八、政府性基金预算支出情况说明</w:t>
      </w:r>
    </w:p>
    <w:p>
      <w:pPr>
        <w:pStyle w:val="Bodytext|2"/>
        <w:numPr>
          <w:ilvl w:val="0"/>
          <w:numId w:val="0"/>
        </w:numPr>
        <w:ind w:firstLine="640" w:firstLineChars="200"/>
        <w:jc w:val="left"/>
        <w:rPr>
          <w:rFonts w:hint="eastAsia"/>
        </w:rPr>
      </w:pPr>
      <w:r>
        <w:rPr>
          <w:rFonts w:hint="eastAsia"/>
        </w:rPr>
        <w:t xml:space="preserve">九、国有资本经营预算支出情况说明</w:t>
      </w:r>
    </w:p>
    <w:p>
      <w:pPr>
        <w:pStyle w:val="Bodytext|2"/>
        <w:numPr>
          <w:ilvl w:val="0"/>
          <w:numId w:val="0"/>
        </w:numPr>
        <w:ind w:firstLine="640" w:firstLineChars="200"/>
        <w:jc w:val="left"/>
      </w:pPr>
      <w:r>
        <w:rPr>
          <w:rFonts w:hint="eastAsia"/>
        </w:rPr>
        <w:t xml:space="preserve">十、其他重要事项情况说明</w:t>
      </w:r>
    </w:p>
    <w:p>
      <w:pPr>
        <w:pStyle w:val="Bodytext|2"/>
        <w:ind w:left="0" w:firstLine="320" w:leftChars="0" w:firstLineChars="100"/>
        <w:jc w:val="left"/>
      </w:pPr>
      <w:r>
        <w:t xml:space="preserve">第三部分</w:t>
      </w:r>
      <w:r>
        <w:rPr>
          <w:rFonts w:hint="eastAsia"/>
          <w:lang w:eastAsia="zh-CN"/>
        </w:rPr>
        <w:t xml:space="preserve">：</w:t>
      </w:r>
      <w:r>
        <w:rPr>
          <w:u w:color="auto"/>
        </w:rPr>
        <w:t xml:space="preserve">环江毛南族自治县第四初级中学</w:t>
      </w:r>
      <w:r>
        <w:rPr>
          <w:u w:color="auto"/>
        </w:rPr>
        <w:t xml:space="preserve">2024</w:t>
      </w:r>
      <w:r>
        <w:rPr>
          <w:rFonts w:ascii="Times New Roman" w:hAnsi="Times New Roman" w:cs="Times New Roman"/>
          <w:u w:color="auto"/>
        </w:rPr>
        <w:t xml:space="preserve">年</w:t>
      </w:r>
      <w:r>
        <w:t xml:space="preserve">部门预算</w:t>
      </w:r>
      <w:r>
        <w:rPr>
          <w:rFonts w:hint="eastAsia"/>
          <w:lang w:val="en-US" w:eastAsia="zh-CN"/>
        </w:rPr>
        <w:t xml:space="preserve">相关报</w:t>
      </w:r>
      <w:r>
        <w:t xml:space="preserve">表</w:t>
      </w:r>
    </w:p>
    <w:p>
      <w:pPr>
        <w:pStyle w:val="Bodytext|2"/>
        <w:jc w:val="left"/>
        <w:rPr>
          <w:rFonts w:hint="eastAsia"/>
        </w:rPr>
      </w:pPr>
      <w:r>
        <w:rPr>
          <w:rFonts w:hint="eastAsia"/>
        </w:rPr>
        <w:t xml:space="preserve">一、部门收支总体情况表</w:t>
      </w:r>
    </w:p>
    <w:p>
      <w:pPr>
        <w:pStyle w:val="Bodytext|2"/>
        <w:jc w:val="left"/>
        <w:rPr>
          <w:rFonts w:hint="eastAsia"/>
        </w:rPr>
      </w:pPr>
      <w:r>
        <w:rPr>
          <w:rFonts w:hint="eastAsia"/>
        </w:rPr>
        <w:t xml:space="preserve">二、部门收入总体情况表</w:t>
      </w:r>
    </w:p>
    <w:p>
      <w:pPr>
        <w:pStyle w:val="Bodytext|2"/>
        <w:jc w:val="left"/>
        <w:rPr>
          <w:rFonts w:hint="eastAsia"/>
        </w:rPr>
      </w:pPr>
      <w:r>
        <w:rPr>
          <w:rFonts w:hint="eastAsia"/>
        </w:rPr>
        <w:t xml:space="preserve">三、部门支出总体情况表</w:t>
      </w:r>
    </w:p>
    <w:p>
      <w:pPr>
        <w:pStyle w:val="Bodytext|2"/>
        <w:jc w:val="left"/>
        <w:rPr>
          <w:rFonts w:hint="eastAsia"/>
        </w:rPr>
      </w:pPr>
      <w:r>
        <w:rPr>
          <w:rFonts w:hint="eastAsia"/>
        </w:rPr>
        <w:t xml:space="preserve">四、财政拨款收支总体情况表</w:t>
      </w:r>
    </w:p>
    <w:p>
      <w:pPr>
        <w:pStyle w:val="Bodytext|2"/>
        <w:jc w:val="left"/>
        <w:rPr>
          <w:rFonts w:hint="eastAsia"/>
        </w:rPr>
      </w:pPr>
      <w:r>
        <w:rPr>
          <w:rFonts w:hint="eastAsia"/>
        </w:rPr>
        <w:t xml:space="preserve">五、一般公共预算支出情况表</w:t>
      </w:r>
    </w:p>
    <w:p>
      <w:pPr>
        <w:pStyle w:val="Bodytext|2"/>
        <w:jc w:val="left"/>
        <w:rPr>
          <w:rFonts w:hint="eastAsia"/>
        </w:rPr>
      </w:pPr>
      <w:r>
        <w:rPr>
          <w:rFonts w:hint="eastAsia"/>
        </w:rPr>
        <w:t xml:space="preserve">六、一般公共预算基本支出情况表</w:t>
      </w:r>
    </w:p>
    <w:p>
      <w:pPr>
        <w:pStyle w:val="Bodytext|2"/>
        <w:jc w:val="left"/>
        <w:rPr>
          <w:rFonts w:hint="eastAsia"/>
        </w:rPr>
      </w:pPr>
      <w:r>
        <w:rPr>
          <w:rFonts w:hint="eastAsia"/>
        </w:rPr>
        <w:t xml:space="preserve">七、一般公共预算“三公”经费支出情况表</w:t>
      </w:r>
    </w:p>
    <w:p>
      <w:pPr>
        <w:pStyle w:val="Bodytext|2"/>
        <w:jc w:val="left"/>
        <w:rPr>
          <w:rFonts w:hint="eastAsia"/>
        </w:rPr>
      </w:pPr>
      <w:r>
        <w:rPr>
          <w:rFonts w:hint="eastAsia"/>
        </w:rPr>
        <w:t xml:space="preserve">八、政府性基金预算支出情况表</w:t>
      </w:r>
    </w:p>
    <w:p>
      <w:pPr>
        <w:pStyle w:val="Bodytext|2"/>
        <w:jc w:val="left"/>
        <w:rPr>
          <w:rFonts w:hint="eastAsia"/>
        </w:rPr>
      </w:pPr>
      <w:r>
        <w:rPr>
          <w:rFonts w:hint="eastAsia"/>
        </w:rPr>
        <w:t xml:space="preserve">九、国有资本经营预算支出情况表</w:t>
      </w:r>
    </w:p>
    <w:p>
      <w:pPr>
        <w:pStyle w:val="Bodytext|2"/>
        <w:jc w:val="left"/>
        <w:rPr>
          <w:rFonts w:eastAsia="宋体" w:hint="eastAsia"/>
          <w:lang w:eastAsia="zh-CN"/>
        </w:rPr>
      </w:pPr>
      <w:r>
        <w:rPr>
          <w:rFonts w:hint="eastAsia"/>
        </w:rPr>
        <w:t xml:space="preserve">十、2024年度预算项目绩效目标公开表</w:t>
      </w:r>
    </w:p>
    <w:p>
      <w:pPr>
        <w:pStyle w:val="Bodytext|2"/>
        <w:ind w:left="0" w:firstLine="320" w:leftChars="0" w:firstLineChars="100"/>
        <w:jc w:val="left"/>
        <w:rPr>
          <w:rFonts w:eastAsia="宋体" w:hint="eastAsia"/>
          <w:lang w:eastAsia="zh-CN"/>
        </w:rPr>
        <w:sectPr>
          <w:footerReference w:type="default" r:id="rId7"/>
          <w:pgSz w:w="11900" w:h="16840" w:orient="portrait"/>
          <w:pgMar w:top="1508" w:right="1674" w:bottom="1508" w:left="1851" w:header="0" w:footer="1077" w:gutter="0"/>
          <w:pgBorders>
            <w:top w:val="none" w:sz="0" w:space="0" w:color="auto"/>
            <w:left w:val="none" w:sz="0" w:space="0" w:color="auto"/>
            <w:bottom w:val="none" w:sz="0" w:space="0" w:color="auto"/>
            <w:right w:val="none" w:sz="0" w:space="0" w:color="auto"/>
          </w:pgBorders>
          <w:pgNumType w:fmt="decimal"/>
          <w:cols w:num="1" w:space="720">
            <w:col w:w="8375" w:space="720"/>
          </w:cols>
          <w:docGrid w:linePitch="360" w:charSpace="0"/>
        </w:sectPr>
      </w:pPr>
      <w:r>
        <w:t xml:space="preserve">第四部分</w:t>
      </w:r>
      <w:r>
        <w:rPr>
          <w:rFonts w:hint="eastAsia"/>
          <w:lang w:eastAsia="zh-CN"/>
        </w:rPr>
        <w:t xml:space="preserve">：</w:t>
      </w:r>
      <w:r>
        <w:t xml:space="preserve">名词</w:t>
      </w:r>
      <w:r>
        <w:rPr>
          <w:rFonts w:hint="eastAsia"/>
          <w:lang w:val="en-US" w:eastAsia="zh-CN"/>
        </w:rPr>
        <w:t xml:space="preserve">解释</w:t>
      </w:r>
    </w:p>
    <w:p>
      <w:pPr>
        <w:pStyle w:val="Heading#1|1"/>
        <w:keepNext/>
        <w:keepLines/>
        <w:pageBreakBefore w:val="0"/>
        <w:widowControl w:val="0"/>
        <w:kinsoku/>
        <w:wordWrap/>
        <w:overflowPunct/>
        <w:topLinePunct w:val="0"/>
        <w:autoSpaceDE/>
        <w:autoSpaceDN/>
        <w:bidi w:val="0"/>
        <w:adjustRightInd/>
        <w:snapToGrid/>
        <w:spacing w:before="120" w:after="0" w:line="600" w:lineRule="exact"/>
        <w:jc w:val="both"/>
        <w:textAlignment w:val="auto"/>
        <w:rPr>
          <w:b/>
          <w:bCs/>
          <w:sz w:val="40"/>
          <w:szCs w:val="40"/>
        </w:rPr>
      </w:pPr>
      <w:bookmarkStart w:id="4" w:name="bookmark14"/>
      <w:bookmarkStart w:id="5" w:name="bookmark13"/>
      <w:bookmarkStart w:id="6" w:name="bookmark12"/>
      <w:r>
        <w:rPr>
          <w:b/>
          <w:bCs/>
          <w:sz w:val="40"/>
          <w:szCs w:val="40"/>
        </w:rPr>
        <w:t xml:space="preserve">第一部分</w:t>
      </w:r>
      <w:r>
        <w:rPr>
          <w:rFonts w:hint="eastAsia"/>
          <w:b/>
          <w:bCs/>
          <w:sz w:val="40"/>
          <w:szCs w:val="40"/>
          <w:lang w:eastAsia="zh-CN"/>
        </w:rPr>
        <w:t xml:space="preserve">：</w:t>
      </w:r>
      <w:r>
        <w:rPr>
          <w:b/>
          <w:sz w:val="40"/>
          <w:u w:color="auto"/>
        </w:rPr>
        <w:t xml:space="preserve">环江毛南族自治县第四初级中学</w:t>
      </w:r>
      <w:r>
        <w:rPr>
          <w:b/>
          <w:bCs/>
          <w:sz w:val="40"/>
          <w:szCs w:val="40"/>
        </w:rPr>
        <w:t xml:space="preserve">概况</w:t>
      </w:r>
      <w:bookmarkEnd w:id="4"/>
      <w:bookmarkEnd w:id="5"/>
      <w:bookmarkEnd w:id="6"/>
    </w:p>
    <w:p>
      <w:pPr>
        <w:pStyle w:val="Bodytext|2"/>
        <w:spacing w:after="0" w:line="619" w:lineRule="exact"/>
        <w:ind w:firstLine="620"/>
        <w:jc w:val="left"/>
        <w:rPr>
          <w:b/>
          <w:bCs/>
        </w:rPr>
      </w:pPr>
      <w:r>
        <w:rPr>
          <w:rFonts w:hint="eastAsia"/>
          <w:b/>
          <w:bCs/>
          <w:lang w:val="en-US" w:eastAsia="zh-CN"/>
        </w:rPr>
        <w:t xml:space="preserve">一、</w:t>
      </w:r>
      <w:r>
        <w:rPr>
          <w:b/>
          <w:bCs/>
        </w:rPr>
        <w:t xml:space="preserve">主要职责</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一）贯彻执行党和国家的教育方针、政策和法律法规；拟订全校教育改革与发展规划并组织实施。（二）编制学校教育事业发展规划并检查实施情况，向自治县人民政府和上级教育部门作出报告。（三）督促检查全校贯彻执行教育方针、政策、法令、法规和上级的各项规定；评估指导学校教育教学工作。（四）负责学生教育工作。（五）负责全校人才队伍和教师队伍建设，包括校长岗位培训、后备干部队伍建设、教师学历教育、继续教育等。（六）负责组织学籍管理工作。（七）按照中央关于全面推进素质教育要求，负责教育教学管理、教育教学改革及教育教学科学研究工作，检查指导学校实施素质教育工作，并组织推广先进的教育教学经验。（八）检查指导学校教育教学设备的装备、管理和使用工作。（九）检查指导学校开展电化教育和信息化教学工作。（十）负责全校教师初级专业技术职务资格的评审，中、高级专业技术职务资格的申报工作。按照管理权限对教师进行考核、聘任、奖惩、晋升等工作。（十一）负责指导全校学生资助管理工作。（十五）负责语言文字和指导推广普通话工作。（十六）完成上级部门交办的其他工作。</w:t>
      </w:r>
    </w:p>
    <w:p>
      <w:pPr>
        <w:pStyle w:val="Bodytext|2"/>
        <w:spacing w:after="0" w:line="619" w:lineRule="exact"/>
        <w:ind w:firstLine="620"/>
        <w:jc w:val="left"/>
        <w:rPr>
          <w:rFonts w:hint="eastAsia"/>
          <w:b/>
          <w:bCs/>
          <w:lang w:val="en-US" w:eastAsia="zh-CN"/>
        </w:rPr>
      </w:pPr>
      <w:bookmarkStart w:id="7" w:name="bookmark24"/>
      <w:r>
        <w:rPr>
          <w:rFonts w:hint="eastAsia"/>
          <w:b/>
          <w:bCs/>
          <w:lang w:val="en-US" w:eastAsia="zh-CN"/>
        </w:rPr>
        <w:t xml:space="preserve">二</w:t>
      </w:r>
      <w:bookmarkEnd w:id="7"/>
      <w:r>
        <w:rPr>
          <w:rFonts w:hint="eastAsia"/>
          <w:b/>
          <w:bCs/>
          <w:lang w:val="en-US" w:eastAsia="zh-CN"/>
        </w:rPr>
        <w:t xml:space="preserve">、机构设置情况</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第四初级中学有五个内设机构，分别为：校长办公室、行政办公室、教师办公室、档案室、财务室、多媒体教室。</w:t>
      </w:r>
    </w:p>
    <w:p>
      <w:pPr>
        <w:pStyle w:val="Bodytext|1"/>
        <w:spacing w:line="623" w:lineRule="exact"/>
        <w:ind w:firstLine="1018" w:firstLineChars="0"/>
        <w:jc w:val="left"/>
        <w:rPr>
          <w:rFonts w:hint="eastAsia"/>
          <w:highlight w:val="none"/>
          <w:lang w:val="en-US" w:eastAsia="zh-CN"/>
        </w:rPr>
      </w:pPr>
    </w:p>
    <w:p>
      <w:pPr>
        <w:pStyle w:val="Bodytext|1"/>
        <w:spacing w:line="623" w:lineRule="exact"/>
        <w:ind w:firstLine="1018" w:firstLineChars="0"/>
        <w:jc w:val="left"/>
        <w:rPr>
          <w:rFonts w:hint="eastAsia"/>
          <w:highlight w:val="none"/>
          <w:lang w:val="en-US" w:eastAsia="zh-CN"/>
        </w:rPr>
      </w:pPr>
    </w:p>
    <w:p>
      <w:pPr/>
      <w:r>
        <w:br w:type="page"/>
      </w:r>
    </w:p>
    <w:p>
      <w:pPr>
        <w:pStyle w:val="Heading#1|1"/>
        <w:keepNext/>
        <w:keepLines/>
        <w:pageBreakBefore w:val="0"/>
        <w:widowControl w:val="0"/>
        <w:kinsoku/>
        <w:wordWrap/>
        <w:overflowPunct/>
        <w:topLinePunct w:val="0"/>
        <w:autoSpaceDE/>
        <w:autoSpaceDN/>
        <w:bidi w:val="0"/>
        <w:adjustRightInd/>
        <w:snapToGrid/>
        <w:spacing w:before="120" w:after="0" w:line="600" w:lineRule="exact"/>
        <w:jc w:val="center"/>
        <w:textAlignment w:val="auto"/>
        <w:rPr>
          <w:b/>
          <w:bCs/>
          <w:sz w:val="40"/>
          <w:szCs w:val="40"/>
        </w:rPr>
      </w:pPr>
      <w:bookmarkStart w:id="8" w:name="bookmark69"/>
      <w:bookmarkStart w:id="9" w:name="bookmark70"/>
      <w:bookmarkStart w:id="10" w:name="bookmark68"/>
      <w:bookmarkStart w:id="11" w:name="bookmark28"/>
      <w:bookmarkStart w:id="12" w:name="bookmark27"/>
      <w:bookmarkStart w:id="13" w:name="bookmark26"/>
      <w:r>
        <w:rPr>
          <w:b/>
          <w:bCs/>
          <w:sz w:val="40"/>
          <w:szCs w:val="40"/>
        </w:rPr>
        <w:t xml:space="preserve">第</w:t>
      </w:r>
      <w:r>
        <w:rPr>
          <w:rFonts w:hint="eastAsia"/>
          <w:b/>
          <w:bCs/>
          <w:sz w:val="40"/>
          <w:szCs w:val="40"/>
          <w:lang w:val="en-US" w:eastAsia="zh-CN"/>
        </w:rPr>
        <w:t xml:space="preserve">二</w:t>
      </w:r>
      <w:r>
        <w:rPr>
          <w:b/>
          <w:bCs/>
          <w:sz w:val="40"/>
          <w:szCs w:val="40"/>
        </w:rPr>
        <w:t xml:space="preserve">部分</w:t>
      </w:r>
      <w:r>
        <w:rPr>
          <w:rFonts w:hint="eastAsia"/>
          <w:b/>
          <w:bCs/>
          <w:sz w:val="40"/>
          <w:szCs w:val="40"/>
          <w:lang w:eastAsia="zh-CN"/>
        </w:rPr>
        <w:t xml:space="preserve">：</w:t>
      </w:r>
      <w:bookmarkEnd w:id="8"/>
      <w:bookmarkEnd w:id="9"/>
      <w:bookmarkEnd w:id="10"/>
      <w:r>
        <w:rPr>
          <w:rFonts w:hint="eastAsia"/>
          <w:b/>
          <w:bCs/>
          <w:sz w:val="40"/>
          <w:szCs w:val="40"/>
          <w:lang w:eastAsia="zh-CN"/>
        </w:rPr>
        <w:t xml:space="preserve">环江毛南族自治县第四初级中学</w:t>
      </w:r>
      <w:r>
        <w:rPr>
          <w:b/>
          <w:sz w:val="40"/>
          <w:u w:color="auto"/>
        </w:rPr>
        <w:t xml:space="preserve">2024</w:t>
      </w:r>
      <w:r>
        <w:rPr>
          <w:b/>
          <w:sz w:val="40"/>
          <w:u w:color="auto"/>
        </w:rPr>
        <w:t xml:space="preserve">年部门预算情况说明</w:t>
      </w:r>
    </w:p>
    <w:p>
      <w:pPr>
        <w:pStyle w:val="Bodytext|2"/>
        <w:keepNext w:val="0"/>
        <w:keepLines w:val="0"/>
        <w:pageBreakBefore w:val="0"/>
        <w:widowControl w:val="0"/>
        <w:kinsoku/>
        <w:wordWrap/>
        <w:overflowPunct/>
        <w:topLinePunct w:val="0"/>
        <w:autoSpaceDE/>
        <w:autoSpaceDN/>
        <w:bidi w:val="0"/>
        <w:adjustRightInd/>
        <w:snapToGrid/>
        <w:spacing w:before="120" w:after="0" w:line="600" w:lineRule="exact"/>
        <w:ind w:firstLine="618"/>
        <w:jc w:val="left"/>
        <w:textAlignment w:val="auto"/>
        <w:rPr>
          <w:rFonts w:hint="eastAsia"/>
          <w:b/>
          <w:bCs/>
          <w:lang w:val="en-US" w:eastAsia="zh-CN"/>
        </w:rPr>
      </w:pPr>
      <w:bookmarkStart w:id="14" w:name="bookmark71"/>
      <w:r>
        <w:rPr>
          <w:rFonts w:hint="eastAsia"/>
          <w:b/>
          <w:bCs/>
          <w:lang w:val="en-US" w:eastAsia="zh-CN"/>
        </w:rPr>
        <w:t xml:space="preserve">一</w:t>
      </w:r>
      <w:bookmarkEnd w:id="14"/>
      <w:r>
        <w:rPr>
          <w:rFonts w:hint="eastAsia"/>
          <w:b/>
          <w:bCs/>
          <w:lang w:val="en-US" w:eastAsia="zh-CN"/>
        </w:rPr>
        <w:t xml:space="preserve">、部门预算收支总体情况说明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Times New Roman" w:hAnsi="Times New Roman" w:cs="Times New Roman"/>
          <w:b/>
          <w:bCs/>
          <w:sz w:val="28"/>
          <w:szCs w:val="28"/>
          <w:lang w:val="en-US" w:eastAsia="zh-CN"/>
        </w:rPr>
      </w:pPr>
      <w:r>
        <w:rPr>
          <w:rFonts w:hint="eastAsia"/>
          <w:b w:val="0"/>
          <w:bCs w:val="0"/>
          <w:sz w:val="28"/>
          <w:szCs w:val="28"/>
        </w:rPr>
        <w:t xml:space="preserve">我部门总收入</w:t>
      </w:r>
      <w:r>
        <w:rPr>
          <w:rFonts w:hint="eastAsia"/>
          <w:sz w:val="28"/>
          <w:szCs w:val="28"/>
          <w:lang w:val="en-US" w:eastAsia="zh-CN"/>
        </w:rPr>
        <w:t xml:space="preserve">1489.19</w:t>
      </w:r>
      <w:r>
        <w:rPr>
          <w:rFonts w:hint="eastAsia"/>
          <w:b w:val="0"/>
          <w:bCs w:val="0"/>
          <w:sz w:val="28"/>
          <w:szCs w:val="28"/>
        </w:rPr>
        <w:t xml:space="preserve">万元，总支出</w:t>
      </w:r>
      <w:r>
        <w:rPr>
          <w:rFonts w:hint="eastAsia"/>
          <w:sz w:val="28"/>
          <w:szCs w:val="28"/>
          <w:lang w:val="en-US" w:eastAsia="zh-CN"/>
        </w:rPr>
        <w:t xml:space="preserve">1489.19</w:t>
      </w:r>
      <w:r>
        <w:rPr>
          <w:rFonts w:hint="eastAsia"/>
          <w:b w:val="0"/>
          <w:bCs w:val="0"/>
          <w:sz w:val="28"/>
          <w:szCs w:val="28"/>
        </w:rPr>
        <w:t xml:space="preserve">万元。总收入较2023年度预算数</w:t>
      </w:r>
      <w:r>
        <w:rPr>
          <w:rFonts w:hint="eastAsia"/>
          <w:sz w:val="28"/>
          <w:szCs w:val="28"/>
          <w:lang w:val="en-US" w:eastAsia="zh-CN"/>
        </w:rPr>
        <w:t xml:space="preserve">1057.58</w:t>
      </w:r>
      <w:r>
        <w:rPr>
          <w:rFonts w:hint="eastAsia"/>
          <w:b w:val="0"/>
          <w:bCs w:val="0"/>
          <w:sz w:val="28"/>
          <w:szCs w:val="28"/>
        </w:rPr>
        <w:t xml:space="preserve">万元，</w:t>
      </w:r>
      <w:r>
        <w:rPr>
          <w:rFonts w:hint="eastAsia"/>
          <w:sz w:val="28"/>
          <w:szCs w:val="28"/>
        </w:rPr>
        <w:t xml:space="preserve">增加431.61</w:t>
      </w:r>
      <w:r>
        <w:rPr>
          <w:rFonts w:hint="eastAsia"/>
          <w:b w:val="0"/>
          <w:bCs w:val="0"/>
          <w:sz w:val="28"/>
          <w:szCs w:val="28"/>
        </w:rPr>
        <w:t xml:space="preserve">万元，</w:t>
      </w:r>
      <w:r>
        <w:rPr>
          <w:rFonts w:hint="eastAsia"/>
          <w:sz w:val="28"/>
          <w:szCs w:val="28"/>
        </w:rPr>
        <w:t xml:space="preserve">增长40.81%</w:t>
      </w:r>
      <w:r>
        <w:rPr>
          <w:rFonts w:hint="eastAsia"/>
          <w:b w:val="0"/>
          <w:bCs w:val="0"/>
          <w:sz w:val="28"/>
          <w:szCs w:val="28"/>
        </w:rPr>
        <w:t xml:space="preserve">，主要原因是</w:t>
      </w:r>
      <w:r>
        <w:rPr>
          <w:rFonts w:hint="eastAsia"/>
          <w:highlight w:val="none"/>
          <w:lang w:val="en-US" w:eastAsia="zh-CN"/>
        </w:rPr>
        <w:t xml:space="preserve">1.工资标准比2023年有所提高；2.养老保险及住房公积金缴纳基数提高；3.教育系统干部职工年终绩效考评增量奖励金基数增加;4.公开招聘教师增加。</w:t>
      </w:r>
      <w:r>
        <w:rPr>
          <w:rFonts w:hint="eastAsia"/>
          <w:b w:val="0"/>
          <w:bCs w:val="0"/>
          <w:sz w:val="28"/>
          <w:szCs w:val="28"/>
        </w:rPr>
        <w:t xml:space="preserve">。总支出较2023年度预算数</w:t>
      </w:r>
      <w:r>
        <w:rPr>
          <w:rFonts w:hint="eastAsia"/>
          <w:sz w:val="28"/>
          <w:szCs w:val="28"/>
          <w:lang w:val="en-US" w:eastAsia="zh-CN"/>
        </w:rPr>
        <w:t xml:space="preserve">1057.58</w:t>
      </w:r>
      <w:r>
        <w:rPr>
          <w:rFonts w:hint="eastAsia"/>
          <w:b w:val="0"/>
          <w:bCs w:val="0"/>
          <w:sz w:val="28"/>
          <w:szCs w:val="28"/>
        </w:rPr>
        <w:t xml:space="preserve">万元，</w:t>
      </w:r>
      <w:r>
        <w:rPr>
          <w:rFonts w:hint="eastAsia"/>
          <w:sz w:val="28"/>
          <w:szCs w:val="28"/>
        </w:rPr>
        <w:t xml:space="preserve">增加431.61</w:t>
      </w:r>
      <w:r>
        <w:rPr>
          <w:rFonts w:hint="eastAsia"/>
          <w:b w:val="0"/>
          <w:bCs w:val="0"/>
          <w:sz w:val="28"/>
          <w:szCs w:val="28"/>
        </w:rPr>
        <w:t xml:space="preserve">万元，</w:t>
      </w:r>
      <w:r>
        <w:rPr>
          <w:rFonts w:hint="eastAsia"/>
          <w:sz w:val="28"/>
          <w:szCs w:val="28"/>
        </w:rPr>
        <w:t xml:space="preserve">增长40.81%</w:t>
      </w:r>
      <w:r>
        <w:rPr>
          <w:rFonts w:hint="eastAsia"/>
          <w:b w:val="0"/>
          <w:bCs w:val="0"/>
          <w:sz w:val="28"/>
          <w:szCs w:val="28"/>
        </w:rPr>
        <w:t xml:space="preserve">，主要原因是</w:t>
      </w:r>
      <w:r>
        <w:rPr>
          <w:rFonts w:hint="eastAsia"/>
          <w:highlight w:val="none"/>
          <w:lang w:val="en-US" w:eastAsia="zh-CN"/>
        </w:rPr>
        <w:t xml:space="preserve">1.全校教育系统业务工作增加；2.中学公招人员增加,增加五险；3.生均公用经费增加。</w:t>
      </w:r>
      <w:r>
        <w:rPr>
          <w:rFonts w:hint="eastAsia"/>
          <w:b w:val="0"/>
          <w:bCs w:val="0"/>
          <w:sz w:val="28"/>
          <w:szCs w:val="28"/>
        </w:rPr>
        <w:t xml:space="preserve">。</w:t>
      </w:r>
    </w:p>
    <w:p>
      <w:pPr>
        <w:pStyle w:val="Bodytext|2"/>
        <w:keepNext w:val="0"/>
        <w:keepLines w:val="0"/>
        <w:pageBreakBefore w:val="0"/>
        <w:widowControl w:val="0"/>
        <w:kinsoku/>
        <w:wordWrap/>
        <w:overflowPunct/>
        <w:topLinePunct w:val="0"/>
        <w:autoSpaceDE/>
        <w:autoSpaceDN/>
        <w:bidi w:val="0"/>
        <w:adjustRightInd/>
        <w:snapToGrid/>
        <w:spacing w:before="120" w:after="0" w:line="600" w:lineRule="exact"/>
        <w:ind w:firstLine="618"/>
        <w:jc w:val="left"/>
        <w:textAlignment w:val="auto"/>
        <w:rPr>
          <w:rFonts w:hint="eastAsia"/>
          <w:b/>
          <w:bCs/>
          <w:lang w:val="en-US" w:eastAsia="zh-CN"/>
        </w:rPr>
      </w:pPr>
      <w:r>
        <w:rPr>
          <w:rFonts w:hint="eastAsia"/>
          <w:b/>
          <w:bCs/>
          <w:lang w:val="en-US" w:eastAsia="zh-CN"/>
        </w:rPr>
        <w:t xml:space="preserve">二、部门收入总体情况说明</w:t>
      </w:r>
    </w:p>
    <w:p>
      <w:pPr>
        <w:pStyle w:val="Bodytext|1"/>
        <w:spacing w:line="240" w:lineRule="auto"/>
        <w:ind w:firstLine="0"/>
        <w:jc w:val="left"/>
        <w:rPr>
          <w:rFonts w:ascii="Times New Roman" w:hAnsi="Times New Roman" w:cs="Times New Roman"/>
          <w:sz w:val="30"/>
          <w:szCs w:val="30"/>
          <w:lang w:val="en-US" w:eastAsia="zh-CN"/>
        </w:rPr>
      </w:pPr>
      <w:r>
        <w:rPr>
          <w:rFonts w:ascii="Times New Roman" w:hAnsi="Times New Roman" w:cs="Times New Roman"/>
          <w:sz w:val="30"/>
          <w:szCs w:val="30"/>
          <w:lang w:val="en-US" w:eastAsia="zh-CN"/>
        </w:rPr>
        <w:drawing>
          <wp:inline distT="0" distB="0" distL="114300" distR="114300">
            <wp:extent cx="4257040" cy="3139440"/>
            <wp:effectExtent l="4445" t="4445" r="5715" b="18415"/>
            <wp:docPr id="2552" name="图表 6" title="{{img_rs_table}}"/>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8"/>
              </a:graphicData>
            </a:graphic>
          </wp:inline>
        </w:drawing>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u w:color="auto"/>
          <w:lang w:eastAsia="zh-CN"/>
        </w:rPr>
        <w:t xml:space="preserve">2024</w:t>
      </w:r>
      <w:r>
        <w:rPr>
          <w:rFonts w:ascii="宋体" w:eastAsia="宋体" w:hAnsi="宋体" w:cs="宋体" w:hint="eastAsia"/>
          <w:sz w:val="28"/>
          <w:szCs w:val="28"/>
          <w:u w:color="auto"/>
        </w:rPr>
        <w:t xml:space="preserve">年我部门总收入</w:t>
      </w:r>
      <w:r>
        <w:rPr>
          <w:rFonts w:ascii="宋体" w:eastAsia="宋体" w:hAnsi="宋体" w:cs="宋体" w:hint="eastAsia"/>
          <w:sz w:val="28"/>
          <w:szCs w:val="28"/>
          <w:lang w:val="en-US" w:eastAsia="zh-CN"/>
        </w:rPr>
        <w:t xml:space="preserve">1489.19</w:t>
      </w:r>
      <w:r>
        <w:rPr>
          <w:rFonts w:ascii="宋体" w:eastAsia="宋体" w:hAnsi="宋体" w:cs="宋体" w:hint="eastAsia"/>
          <w:sz w:val="28"/>
          <w:szCs w:val="28"/>
          <w:u w:color="auto"/>
        </w:rPr>
        <w:t xml:space="preserve">万元，较2023年度预算数</w:t>
      </w:r>
      <w:r>
        <w:rPr>
          <w:rFonts w:ascii="宋体" w:eastAsia="宋体" w:hAnsi="宋体" w:cs="宋体" w:hint="eastAsia"/>
          <w:sz w:val="28"/>
          <w:szCs w:val="28"/>
          <w:lang w:val="en-US" w:eastAsia="zh-CN"/>
        </w:rPr>
        <w:t xml:space="preserve">1057.58</w:t>
      </w:r>
      <w:r>
        <w:rPr>
          <w:rFonts w:ascii="宋体" w:eastAsia="宋体" w:hAnsi="宋体" w:cs="宋体" w:hint="eastAsia"/>
          <w:sz w:val="28"/>
          <w:szCs w:val="28"/>
          <w:u w:color="auto"/>
        </w:rPr>
        <w:t xml:space="preserve">万元，</w:t>
      </w:r>
      <w:r>
        <w:rPr>
          <w:rFonts w:ascii="宋体" w:eastAsia="宋体" w:hAnsi="宋体" w:cs="宋体" w:hint="eastAsia"/>
          <w:sz w:val="28"/>
          <w:szCs w:val="28"/>
        </w:rPr>
        <w:t xml:space="preserve">增加431.61</w:t>
      </w:r>
      <w:r>
        <w:rPr>
          <w:rFonts w:ascii="宋体" w:eastAsia="宋体" w:hAnsi="宋体" w:cs="宋体" w:hint="eastAsia"/>
          <w:sz w:val="28"/>
          <w:szCs w:val="28"/>
          <w:u w:color="auto"/>
        </w:rPr>
        <w:t xml:space="preserve">万元，</w:t>
      </w:r>
      <w:r>
        <w:rPr>
          <w:rFonts w:ascii="宋体" w:eastAsia="宋体" w:hAnsi="宋体" w:cs="宋体" w:hint="eastAsia"/>
          <w:sz w:val="28"/>
          <w:szCs w:val="28"/>
        </w:rPr>
        <w:t xml:space="preserve">增长40.81%</w:t>
      </w:r>
      <w:r>
        <w:rPr>
          <w:rFonts w:ascii="宋体" w:eastAsia="宋体" w:hAnsi="宋体" w:cs="宋体" w:hint="eastAsia"/>
          <w:sz w:val="28"/>
          <w:szCs w:val="28"/>
          <w:u w:color="auto"/>
        </w:rPr>
        <w:t xml:space="preserve">，主要原因是</w:t>
      </w:r>
      <w:r>
        <w:rPr>
          <w:rFonts w:hint="eastAsia"/>
          <w:highlight w:val="none"/>
          <w:lang w:val="en-US" w:eastAsia="zh-CN"/>
        </w:rPr>
        <w:t xml:space="preserve">1.工资标准比2023年有所提高；2.养老保险及住房公积金缴纳基数提高；3.教育系统干部职工年终绩效考评增量奖励金基数增加;4.公开招聘教师增加。</w:t>
      </w:r>
      <w:r>
        <w:rPr>
          <w:rFonts w:ascii="宋体" w:eastAsia="宋体" w:hAnsi="宋体" w:cs="宋体" w:hint="eastAsia"/>
          <w:sz w:val="28"/>
          <w:szCs w:val="28"/>
          <w:u w:color="auto"/>
        </w:rPr>
        <w:t xml:space="preserve">。</w:t>
      </w:r>
    </w:p>
    <w:p>
      <w:pPr>
        <w:pStyle w:val="Bodytext|2"/>
        <w:keepNext w:val="0"/>
        <w:keepLines w:val="0"/>
        <w:pageBreakBefore w:val="0"/>
        <w:widowControl w:val="0"/>
        <w:kinsoku/>
        <w:wordWrap/>
        <w:overflowPunct/>
        <w:topLinePunct w:val="0"/>
        <w:autoSpaceDE/>
        <w:autoSpaceDN/>
        <w:bidi w:val="0"/>
        <w:adjustRightInd/>
        <w:snapToGrid/>
        <w:spacing w:before="120" w:after="0" w:line="600" w:lineRule="exact"/>
        <w:ind w:firstLine="618"/>
        <w:jc w:val="left"/>
        <w:textAlignment w:val="auto"/>
        <w:rPr>
          <w:rFonts w:hint="eastAsia"/>
          <w:b/>
          <w:bCs/>
          <w:lang w:val="en-US" w:eastAsia="zh-CN"/>
        </w:rPr>
      </w:pPr>
      <w:r>
        <w:rPr>
          <w:rFonts w:hint="eastAsia"/>
          <w:b/>
          <w:bCs/>
          <w:lang w:val="en-US" w:eastAsia="zh-CN"/>
        </w:rPr>
        <w:t xml:space="preserve">三、部门支出总体情况说明</w:t>
      </w:r>
    </w:p>
    <w:p>
      <w:pPr>
        <w:pStyle w:val="Bodytext|1"/>
        <w:spacing w:line="240" w:lineRule="auto"/>
        <w:ind w:firstLine="0"/>
        <w:jc w:val="left"/>
        <w:rPr>
          <w:rFonts w:ascii="Times New Roman" w:eastAsia="Times New Roman" w:hAnsi="Times New Roman" w:cs="Times New Roman"/>
          <w:sz w:val="30"/>
          <w:szCs w:val="30"/>
        </w:rPr>
      </w:pPr>
      <w:r>
        <w:rPr>
          <w:rFonts w:ascii="Times New Roman" w:eastAsia="Times New Roman" w:hAnsi="Times New Roman" w:cs="Times New Roman"/>
          <w:sz w:val="30"/>
          <w:szCs w:val="30"/>
        </w:rPr>
        <w:drawing>
          <wp:inline distT="0" distB="0" distL="114300" distR="114300">
            <wp:extent cx="5080000" cy="3810000"/>
            <wp:effectExtent l="4445" t="4445" r="20955" b="14605"/>
            <wp:docPr id="2553" name="图表 14" title="{{img_gnkm_zc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9"/>
              </a:graphicData>
            </a:graphic>
          </wp:inline>
        </w:drawing>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2024</w:t>
      </w:r>
      <w:r>
        <w:rPr>
          <w:rFonts w:ascii="宋体" w:eastAsia="宋体" w:hAnsi="宋体" w:cs="宋体"/>
          <w:sz w:val="28"/>
          <w:u w:color="auto"/>
        </w:rPr>
        <w:t xml:space="preserve">年我部门总支出</w:t>
      </w:r>
      <w:r>
        <w:rPr>
          <w:rFonts w:ascii="宋体" w:eastAsia="宋体" w:hAnsi="宋体" w:cs="宋体" w:hint="eastAsia"/>
          <w:sz w:val="28"/>
          <w:szCs w:val="28"/>
          <w:lang w:val="en-US" w:eastAsia="zh-CN"/>
        </w:rPr>
        <w:t xml:space="preserve">1489.19</w:t>
      </w:r>
      <w:r>
        <w:rPr>
          <w:rFonts w:ascii="宋体" w:eastAsia="宋体" w:hAnsi="宋体" w:cs="宋体" w:hint="eastAsia"/>
          <w:sz w:val="28"/>
          <w:szCs w:val="28"/>
          <w:lang w:eastAsia="zh-CN"/>
        </w:rPr>
        <w:t xml:space="preserve">万元，较2023年度预算数</w:t>
      </w:r>
      <w:r>
        <w:rPr>
          <w:rFonts w:ascii="宋体" w:eastAsia="宋体" w:hAnsi="宋体" w:cs="宋体" w:hint="eastAsia"/>
          <w:sz w:val="28"/>
          <w:szCs w:val="28"/>
          <w:lang w:val="en-US" w:eastAsia="zh-CN"/>
        </w:rPr>
        <w:t xml:space="preserve">1057.58</w:t>
      </w:r>
      <w:r>
        <w:rPr>
          <w:rFonts w:ascii="宋体" w:eastAsia="宋体" w:hAnsi="宋体" w:cs="宋体" w:hint="eastAsia"/>
          <w:sz w:val="28"/>
          <w:szCs w:val="28"/>
          <w:lang w:eastAsia="zh-CN"/>
        </w:rPr>
        <w:t xml:space="preserve">万元，</w:t>
      </w:r>
      <w:r>
        <w:rPr>
          <w:rFonts w:ascii="宋体" w:eastAsia="宋体" w:hAnsi="宋体" w:cs="宋体" w:hint="eastAsia"/>
          <w:sz w:val="28"/>
          <w:szCs w:val="28"/>
        </w:rPr>
        <w:t xml:space="preserve">增加431.61</w:t>
      </w:r>
      <w:r>
        <w:rPr>
          <w:rFonts w:ascii="宋体" w:eastAsia="宋体" w:hAnsi="宋体" w:cs="宋体" w:hint="eastAsia"/>
          <w:sz w:val="28"/>
          <w:szCs w:val="28"/>
          <w:lang w:eastAsia="zh-CN"/>
        </w:rPr>
        <w:t xml:space="preserve">万元，</w:t>
      </w:r>
      <w:r>
        <w:rPr>
          <w:rFonts w:ascii="宋体" w:eastAsia="宋体" w:hAnsi="宋体" w:cs="宋体" w:hint="eastAsia"/>
          <w:sz w:val="28"/>
          <w:szCs w:val="28"/>
        </w:rPr>
        <w:t xml:space="preserve">增长40.81%</w:t>
      </w:r>
      <w:r>
        <w:rPr>
          <w:rFonts w:ascii="宋体" w:eastAsia="宋体" w:hAnsi="宋体" w:cs="宋体" w:hint="eastAsia"/>
          <w:sz w:val="28"/>
          <w:szCs w:val="28"/>
          <w:lang w:eastAsia="zh-CN"/>
        </w:rPr>
        <w:t xml:space="preserve">，主要原因是</w:t>
      </w:r>
      <w:r>
        <w:rPr>
          <w:rFonts w:ascii="宋体" w:eastAsia="宋体" w:hAnsi="宋体" w:cs="宋体" w:hint="eastAsia"/>
          <w:sz w:val="28"/>
          <w:szCs w:val="28"/>
          <w:highlight w:val="none"/>
          <w:lang w:val="en-US" w:eastAsia="zh-CN"/>
        </w:rPr>
        <w:t xml:space="preserve">1.全校教育系统业务工作增加；2.中学公招人员增加,增加五险；3.生均公用经费增加。</w:t>
      </w:r>
      <w:r>
        <w:rPr>
          <w:rFonts w:ascii="宋体" w:eastAsia="宋体" w:hAnsi="宋体" w:cs="宋体" w:hint="eastAsia"/>
          <w:sz w:val="28"/>
          <w:szCs w:val="28"/>
          <w:lang w:eastAsia="zh-CN"/>
        </w:rPr>
        <w:t xml:space="preserve">。主要包括：</w:t>
      </w:r>
      <w:r>
        <w:rPr>
          <w:rFonts w:ascii="宋体" w:eastAsia="宋体" w:hAnsi="宋体" w:cs="宋体" w:hint="eastAsia"/>
          <w:sz w:val="28"/>
          <w:szCs w:val="28"/>
          <w:highlight w:val="none"/>
          <w:lang w:val="en-US" w:eastAsia="zh-CN"/>
        </w:rPr>
        <w:t xml:space="preserve">(1)教育支出1161.07万元，占支出总预算77.97%,比上年增长348.57万元，增长42.90%；(2)社会保障和就业支出166.17万元，占支出总预算11.16%,比上年增长35.15万元，增长26.83%；(3)一般公共服务支出20.77万元，占支出总预算1.39%,比上年增长4.98万元，增长31.54%；(4)住房保障支出141.18万元，占支出总预算9.48%,比上年增长42.91万元，增长43.67%。</w:t>
      </w:r>
      <w:r>
        <w:rPr>
          <w:rFonts w:ascii="宋体" w:eastAsia="宋体" w:hAnsi="宋体" w:cs="宋体" w:hint="eastAsia"/>
          <w:sz w:val="28"/>
          <w:szCs w:val="28"/>
          <w:lang w:eastAsia="zh-CN"/>
        </w:rPr>
        <w:t xml:space="preserve">。</w:t>
      </w:r>
    </w:p>
    <w:p>
      <w:pPr>
        <w:pStyle w:val="Bodytext|1"/>
        <w:keepNext w:val="0"/>
        <w:keepLines w:val="0"/>
        <w:pageBreakBefore w:val="0"/>
        <w:widowControl w:val="0"/>
        <w:kinsoku/>
        <w:wordWrap/>
        <w:overflowPunct/>
        <w:topLinePunct w:val="0"/>
        <w:autoSpaceDE/>
        <w:autoSpaceDN/>
        <w:bidi w:val="0"/>
        <w:adjustRightInd/>
        <w:snapToGrid/>
        <w:spacing w:after="140" w:line="600" w:lineRule="exact"/>
        <w:ind w:firstLine="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（一）按支出功能分类科目划分，共分为</w:t>
      </w:r>
      <w:r>
        <w:rPr>
          <w:rFonts w:ascii="宋体" w:eastAsia="宋体" w:hAnsi="宋体" w:cs="宋体" w:hint="eastAsia"/>
          <w:sz w:val="28"/>
          <w:szCs w:val="28"/>
          <w:lang w:val="en-US" w:eastAsia="zh-CN"/>
        </w:rPr>
        <w:t xml:space="preserve">4</w:t>
      </w:r>
      <w:r>
        <w:rPr>
          <w:rFonts w:ascii="宋体" w:eastAsia="宋体" w:hAnsi="宋体" w:cs="宋体" w:hint="eastAsia"/>
          <w:sz w:val="28"/>
          <w:szCs w:val="28"/>
        </w:rPr>
        <w:t xml:space="preserve">类，其中:</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w:t>
      </w:r>
      <w:r>
        <w:rPr>
          <w:rFonts w:ascii="宋体" w:eastAsia="宋体" w:hAnsi="宋体" w:cs="宋体"/>
          <w:sz w:val="28"/>
          <w:u w:color="auto"/>
        </w:rPr>
        <w:t xml:space="preserve">1</w:t>
      </w:r>
      <w:r>
        <w:rPr>
          <w:rFonts w:ascii="宋体" w:eastAsia="宋体" w:hAnsi="宋体" w:cs="宋体"/>
          <w:sz w:val="28"/>
          <w:u w:color="auto"/>
        </w:rPr>
        <w:t xml:space="preserve">)</w:t>
      </w:r>
      <w:r>
        <w:rPr>
          <w:rFonts w:ascii="宋体" w:eastAsia="宋体" w:hAnsi="宋体" w:cs="宋体"/>
          <w:sz w:val="28"/>
          <w:u w:color="auto"/>
        </w:rPr>
        <w:t xml:space="preserve">教育支出</w:t>
      </w:r>
      <w:r>
        <w:rPr>
          <w:rFonts w:ascii="宋体" w:eastAsia="宋体" w:hAnsi="宋体" w:cs="宋体" w:hint="eastAsia"/>
          <w:sz w:val="28"/>
          <w:szCs w:val="28"/>
          <w:lang w:val="en-US" w:eastAsia="zh-CN"/>
        </w:rPr>
        <w:t xml:space="preserve">1161.07</w:t>
      </w:r>
      <w:r>
        <w:rPr>
          <w:rFonts w:ascii="宋体" w:eastAsia="宋体" w:hAnsi="宋体" w:cs="宋体" w:hint="eastAsia"/>
          <w:sz w:val="28"/>
          <w:szCs w:val="28"/>
        </w:rPr>
        <w:t xml:space="preserve">万元，占支出总预算</w:t>
      </w:r>
      <w:r>
        <w:rPr>
          <w:rFonts w:ascii="宋体" w:eastAsia="宋体" w:hAnsi="宋体" w:cs="宋体" w:hint="eastAsia"/>
          <w:sz w:val="28"/>
          <w:szCs w:val="28"/>
          <w:lang w:val="en-US" w:eastAsia="zh-CN"/>
        </w:rPr>
        <w:t xml:space="preserve">77.97%</w:t>
      </w:r>
      <w:r>
        <w:rPr>
          <w:rFonts w:ascii="宋体" w:eastAsia="宋体" w:hAnsi="宋体" w:cs="宋体" w:hint="eastAsia"/>
          <w:sz w:val="28"/>
          <w:szCs w:val="28"/>
        </w:rPr>
        <w:t xml:space="preserve">,比上年</w:t>
      </w:r>
      <w:r>
        <w:rPr>
          <w:rFonts w:ascii="宋体" w:eastAsia="宋体" w:hAnsi="宋体" w:cs="宋体" w:hint="eastAsia"/>
          <w:sz w:val="28"/>
          <w:szCs w:val="28"/>
          <w:lang w:val="en-US" w:eastAsia="zh-CN"/>
        </w:rPr>
        <w:t xml:space="preserve">增长348.57</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rPr>
        <w:t xml:space="preserve">增长42.90%</w:t>
      </w:r>
      <w:r>
        <w:rPr>
          <w:rFonts w:ascii="宋体" w:eastAsia="宋体" w:hAnsi="宋体" w:cs="宋体" w:hint="eastAsia"/>
          <w:sz w:val="28"/>
          <w:szCs w:val="28"/>
        </w:rPr>
        <w:t xml:space="preserve">,</w:t>
      </w:r>
      <w:r>
        <w:rPr>
          <w:rFonts w:ascii="宋体" w:eastAsia="宋体" w:hAnsi="宋体" w:cs="宋体" w:hint="eastAsia"/>
          <w:sz w:val="28"/>
          <w:szCs w:val="28"/>
          <w:highlight w:val="none"/>
        </w:rPr>
        <w:t xml:space="preserve">主要原因是：</w:t>
      </w:r>
      <w:r>
        <w:rPr>
          <w:rFonts w:ascii="宋体" w:eastAsia="宋体" w:hAnsi="宋体" w:cs="宋体" w:hint="eastAsia"/>
          <w:sz w:val="28"/>
          <w:szCs w:val="28"/>
          <w:highlight w:val="none"/>
          <w:lang w:val="en-US" w:eastAsia="zh-CN"/>
        </w:rPr>
        <w:t xml:space="preserve">1.全校教育系统业务工作增加；2.中学公招人员增加,增加五险；3.生均公用经费增加。</w:t>
      </w:r>
      <w:r>
        <w:rPr>
          <w:rFonts w:ascii="宋体" w:eastAsia="宋体" w:hAnsi="宋体" w:cs="宋体" w:hint="eastAsia"/>
          <w:sz w:val="28"/>
          <w:szCs w:val="28"/>
          <w:highlight w:val="none"/>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w:t>
      </w:r>
      <w:r>
        <w:rPr>
          <w:rFonts w:ascii="宋体" w:eastAsia="宋体" w:hAnsi="宋体" w:cs="宋体"/>
          <w:sz w:val="28"/>
          <w:u w:color="auto"/>
        </w:rPr>
        <w:t xml:space="preserve">2</w:t>
      </w:r>
      <w:r>
        <w:rPr>
          <w:rFonts w:ascii="宋体" w:eastAsia="宋体" w:hAnsi="宋体" w:cs="宋体"/>
          <w:sz w:val="28"/>
          <w:u w:color="auto"/>
        </w:rPr>
        <w:t xml:space="preserve">)</w:t>
      </w:r>
      <w:r>
        <w:rPr>
          <w:rFonts w:ascii="宋体" w:eastAsia="宋体" w:hAnsi="宋体" w:cs="宋体"/>
          <w:sz w:val="28"/>
          <w:u w:color="auto"/>
        </w:rPr>
        <w:t xml:space="preserve">社会保障和就业支出</w:t>
      </w:r>
      <w:r>
        <w:rPr>
          <w:rFonts w:ascii="宋体" w:eastAsia="宋体" w:hAnsi="宋体" w:cs="宋体" w:hint="eastAsia"/>
          <w:sz w:val="28"/>
          <w:szCs w:val="28"/>
          <w:lang w:val="en-US" w:eastAsia="zh-CN"/>
        </w:rPr>
        <w:t xml:space="preserve">166.17</w:t>
      </w:r>
      <w:r>
        <w:rPr>
          <w:rFonts w:ascii="宋体" w:eastAsia="宋体" w:hAnsi="宋体" w:cs="宋体" w:hint="eastAsia"/>
          <w:sz w:val="28"/>
          <w:szCs w:val="28"/>
        </w:rPr>
        <w:t xml:space="preserve">万元，占支出总预算</w:t>
      </w:r>
      <w:r>
        <w:rPr>
          <w:rFonts w:ascii="宋体" w:eastAsia="宋体" w:hAnsi="宋体" w:cs="宋体" w:hint="eastAsia"/>
          <w:sz w:val="28"/>
          <w:szCs w:val="28"/>
          <w:lang w:val="en-US" w:eastAsia="zh-CN"/>
        </w:rPr>
        <w:t xml:space="preserve">11.16%</w:t>
      </w:r>
      <w:r>
        <w:rPr>
          <w:rFonts w:ascii="宋体" w:eastAsia="宋体" w:hAnsi="宋体" w:cs="宋体" w:hint="eastAsia"/>
          <w:sz w:val="28"/>
          <w:szCs w:val="28"/>
        </w:rPr>
        <w:t xml:space="preserve">,比上年</w:t>
      </w:r>
      <w:r>
        <w:rPr>
          <w:rFonts w:ascii="宋体" w:eastAsia="宋体" w:hAnsi="宋体" w:cs="宋体" w:hint="eastAsia"/>
          <w:sz w:val="28"/>
          <w:szCs w:val="28"/>
          <w:lang w:val="en-US" w:eastAsia="zh-CN"/>
        </w:rPr>
        <w:t xml:space="preserve">增长35.15</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rPr>
        <w:t xml:space="preserve">增长26.83%</w:t>
      </w:r>
      <w:r>
        <w:rPr>
          <w:rFonts w:ascii="宋体" w:eastAsia="宋体" w:hAnsi="宋体" w:cs="宋体" w:hint="eastAsia"/>
          <w:sz w:val="28"/>
          <w:szCs w:val="28"/>
        </w:rPr>
        <w:t xml:space="preserve">,</w:t>
      </w:r>
      <w:r>
        <w:rPr>
          <w:rFonts w:ascii="宋体" w:eastAsia="宋体" w:hAnsi="宋体" w:cs="宋体" w:hint="eastAsia"/>
          <w:sz w:val="28"/>
          <w:szCs w:val="28"/>
          <w:highlight w:val="none"/>
        </w:rPr>
        <w:t xml:space="preserve">主要原因是：</w:t>
      </w:r>
      <w:r>
        <w:rPr>
          <w:rFonts w:ascii="宋体" w:eastAsia="宋体" w:hAnsi="宋体" w:cs="宋体" w:hint="eastAsia"/>
          <w:sz w:val="28"/>
          <w:szCs w:val="28"/>
          <w:highlight w:val="none"/>
          <w:lang w:val="en-US" w:eastAsia="zh-CN"/>
        </w:rPr>
        <w:t xml:space="preserve">1.中学公招教师人员增加,增加五险；2.生均公用经费增加。</w:t>
      </w:r>
      <w:r>
        <w:rPr>
          <w:rFonts w:ascii="宋体" w:eastAsia="宋体" w:hAnsi="宋体" w:cs="宋体" w:hint="eastAsia"/>
          <w:sz w:val="28"/>
          <w:szCs w:val="28"/>
          <w:highlight w:val="none"/>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w:t>
      </w:r>
      <w:r>
        <w:rPr>
          <w:rFonts w:ascii="宋体" w:eastAsia="宋体" w:hAnsi="宋体" w:cs="宋体"/>
          <w:sz w:val="28"/>
          <w:u w:color="auto"/>
        </w:rPr>
        <w:t xml:space="preserve">3</w:t>
      </w:r>
      <w:r>
        <w:rPr>
          <w:rFonts w:ascii="宋体" w:eastAsia="宋体" w:hAnsi="宋体" w:cs="宋体"/>
          <w:sz w:val="28"/>
          <w:u w:color="auto"/>
        </w:rPr>
        <w:t xml:space="preserve">)</w:t>
      </w:r>
      <w:r>
        <w:rPr>
          <w:rFonts w:ascii="宋体" w:eastAsia="宋体" w:hAnsi="宋体" w:cs="宋体"/>
          <w:sz w:val="28"/>
          <w:u w:color="auto"/>
        </w:rPr>
        <w:t xml:space="preserve">一般公共服务支出</w:t>
      </w:r>
      <w:r>
        <w:rPr>
          <w:rFonts w:ascii="宋体" w:eastAsia="宋体" w:hAnsi="宋体" w:cs="宋体" w:hint="eastAsia"/>
          <w:sz w:val="28"/>
          <w:szCs w:val="28"/>
          <w:lang w:val="en-US" w:eastAsia="zh-CN"/>
        </w:rPr>
        <w:t xml:space="preserve">20.77</w:t>
      </w:r>
      <w:r>
        <w:rPr>
          <w:rFonts w:ascii="宋体" w:eastAsia="宋体" w:hAnsi="宋体" w:cs="宋体" w:hint="eastAsia"/>
          <w:sz w:val="28"/>
          <w:szCs w:val="28"/>
        </w:rPr>
        <w:t xml:space="preserve">万元，占支出总预算</w:t>
      </w:r>
      <w:r>
        <w:rPr>
          <w:rFonts w:ascii="宋体" w:eastAsia="宋体" w:hAnsi="宋体" w:cs="宋体" w:hint="eastAsia"/>
          <w:sz w:val="28"/>
          <w:szCs w:val="28"/>
          <w:lang w:val="en-US" w:eastAsia="zh-CN"/>
        </w:rPr>
        <w:t xml:space="preserve">1.39%</w:t>
      </w:r>
      <w:r>
        <w:rPr>
          <w:rFonts w:ascii="宋体" w:eastAsia="宋体" w:hAnsi="宋体" w:cs="宋体" w:hint="eastAsia"/>
          <w:sz w:val="28"/>
          <w:szCs w:val="28"/>
        </w:rPr>
        <w:t xml:space="preserve">,比上年</w:t>
      </w:r>
      <w:r>
        <w:rPr>
          <w:rFonts w:ascii="宋体" w:eastAsia="宋体" w:hAnsi="宋体" w:cs="宋体" w:hint="eastAsia"/>
          <w:sz w:val="28"/>
          <w:szCs w:val="28"/>
          <w:lang w:val="en-US" w:eastAsia="zh-CN"/>
        </w:rPr>
        <w:t xml:space="preserve">增长4.98</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rPr>
        <w:t xml:space="preserve">增长31.54%</w:t>
      </w:r>
      <w:r>
        <w:rPr>
          <w:rFonts w:ascii="宋体" w:eastAsia="宋体" w:hAnsi="宋体" w:cs="宋体" w:hint="eastAsia"/>
          <w:sz w:val="28"/>
          <w:szCs w:val="28"/>
        </w:rPr>
        <w:t xml:space="preserve">,</w:t>
      </w:r>
      <w:r>
        <w:rPr>
          <w:rFonts w:ascii="宋体" w:eastAsia="宋体" w:hAnsi="宋体" w:cs="宋体" w:hint="eastAsia"/>
          <w:sz w:val="28"/>
          <w:szCs w:val="28"/>
          <w:highlight w:val="none"/>
        </w:rPr>
        <w:t xml:space="preserve">主要原因是：</w:t>
      </w:r>
      <w:r>
        <w:rPr>
          <w:rFonts w:ascii="宋体" w:eastAsia="宋体" w:hAnsi="宋体" w:cs="宋体" w:hint="eastAsia"/>
          <w:sz w:val="28"/>
          <w:szCs w:val="28"/>
          <w:highlight w:val="none"/>
          <w:lang w:val="en-US" w:eastAsia="zh-CN"/>
        </w:rPr>
        <w:t xml:space="preserve">全校教育系统业务工作增加</w:t>
      </w:r>
      <w:r>
        <w:rPr>
          <w:rFonts w:ascii="宋体" w:eastAsia="宋体" w:hAnsi="宋体" w:cs="宋体" w:hint="eastAsia"/>
          <w:sz w:val="28"/>
          <w:szCs w:val="28"/>
          <w:highlight w:val="none"/>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w:t>
      </w:r>
      <w:r>
        <w:rPr>
          <w:rFonts w:ascii="宋体" w:eastAsia="宋体" w:hAnsi="宋体" w:cs="宋体"/>
          <w:sz w:val="28"/>
          <w:u w:color="auto"/>
        </w:rPr>
        <w:t xml:space="preserve">4</w:t>
      </w:r>
      <w:r>
        <w:rPr>
          <w:rFonts w:ascii="宋体" w:eastAsia="宋体" w:hAnsi="宋体" w:cs="宋体"/>
          <w:sz w:val="28"/>
          <w:u w:color="auto"/>
        </w:rPr>
        <w:t xml:space="preserve">)</w:t>
      </w:r>
      <w:r>
        <w:rPr>
          <w:rFonts w:ascii="宋体" w:eastAsia="宋体" w:hAnsi="宋体" w:cs="宋体"/>
          <w:sz w:val="28"/>
          <w:u w:color="auto"/>
        </w:rPr>
        <w:t xml:space="preserve">住房保障支出</w:t>
      </w:r>
      <w:r>
        <w:rPr>
          <w:rFonts w:ascii="宋体" w:eastAsia="宋体" w:hAnsi="宋体" w:cs="宋体" w:hint="eastAsia"/>
          <w:sz w:val="28"/>
          <w:szCs w:val="28"/>
          <w:lang w:val="en-US" w:eastAsia="zh-CN"/>
        </w:rPr>
        <w:t xml:space="preserve">141.18</w:t>
      </w:r>
      <w:r>
        <w:rPr>
          <w:rFonts w:ascii="宋体" w:eastAsia="宋体" w:hAnsi="宋体" w:cs="宋体" w:hint="eastAsia"/>
          <w:sz w:val="28"/>
          <w:szCs w:val="28"/>
        </w:rPr>
        <w:t xml:space="preserve">万元，占支出总预算</w:t>
      </w:r>
      <w:r>
        <w:rPr>
          <w:rFonts w:ascii="宋体" w:eastAsia="宋体" w:hAnsi="宋体" w:cs="宋体" w:hint="eastAsia"/>
          <w:sz w:val="28"/>
          <w:szCs w:val="28"/>
          <w:lang w:val="en-US" w:eastAsia="zh-CN"/>
        </w:rPr>
        <w:t xml:space="preserve">9.48%</w:t>
      </w:r>
      <w:r>
        <w:rPr>
          <w:rFonts w:ascii="宋体" w:eastAsia="宋体" w:hAnsi="宋体" w:cs="宋体" w:hint="eastAsia"/>
          <w:sz w:val="28"/>
          <w:szCs w:val="28"/>
        </w:rPr>
        <w:t xml:space="preserve">,比上年</w:t>
      </w:r>
      <w:r>
        <w:rPr>
          <w:rFonts w:ascii="宋体" w:eastAsia="宋体" w:hAnsi="宋体" w:cs="宋体" w:hint="eastAsia"/>
          <w:sz w:val="28"/>
          <w:szCs w:val="28"/>
          <w:lang w:val="en-US" w:eastAsia="zh-CN"/>
        </w:rPr>
        <w:t xml:space="preserve">增长42.91</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rPr>
        <w:t xml:space="preserve">增长43.67%</w:t>
      </w:r>
      <w:r>
        <w:rPr>
          <w:rFonts w:ascii="宋体" w:eastAsia="宋体" w:hAnsi="宋体" w:cs="宋体" w:hint="eastAsia"/>
          <w:sz w:val="28"/>
          <w:szCs w:val="28"/>
        </w:rPr>
        <w:t xml:space="preserve">,</w:t>
      </w:r>
      <w:r>
        <w:rPr>
          <w:rFonts w:ascii="宋体" w:eastAsia="宋体" w:hAnsi="宋体" w:cs="宋体" w:hint="eastAsia"/>
          <w:sz w:val="28"/>
          <w:szCs w:val="28"/>
          <w:highlight w:val="none"/>
        </w:rPr>
        <w:t xml:space="preserve">主要原因是：</w:t>
      </w:r>
      <w:r>
        <w:rPr>
          <w:rFonts w:ascii="宋体" w:eastAsia="宋体" w:hAnsi="宋体" w:cs="宋体" w:hint="eastAsia"/>
          <w:sz w:val="28"/>
          <w:szCs w:val="28"/>
          <w:highlight w:val="none"/>
          <w:lang w:val="en-US" w:eastAsia="zh-CN"/>
        </w:rPr>
        <w:t xml:space="preserve">1.中学公招人员增加,增加五险；2.教师年工资收入有所提高，住房公积金缴纳基数增加。</w:t>
      </w:r>
      <w:r>
        <w:rPr>
          <w:rFonts w:ascii="宋体" w:eastAsia="宋体" w:hAnsi="宋体" w:cs="宋体" w:hint="eastAsia"/>
          <w:sz w:val="28"/>
          <w:szCs w:val="28"/>
          <w:highlight w:val="none"/>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74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(二)按支出结构分类划分，分为基本支出预算和项目支出预算。</w:t>
      </w:r>
    </w:p>
    <w:p>
      <w:pPr>
        <w:pStyle w:val="Bodytext|1"/>
        <w:keepNext w:val="0"/>
        <w:keepLines w:val="0"/>
        <w:pageBreakBefore w:val="0"/>
        <w:widowControl w:val="0"/>
        <w:numPr>
          <w:ilvl w:val="0"/>
          <w:numId w:val="3"/>
        </w:numPr>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基本支出预算。</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0"/>
        <w:jc w:val="left"/>
        <w:textAlignment w:val="auto"/>
        <w:rPr>
          <w:rFonts w:ascii="宋体" w:eastAsia="宋体" w:hAnsi="宋体" w:cs="宋体" w:hint="eastAsia"/>
          <w:sz w:val="28"/>
          <w:szCs w:val="28"/>
          <w:lang w:val="en-US" w:eastAsia="zh-CN"/>
        </w:rPr>
      </w:pPr>
      <w:r>
        <w:rPr>
          <w:rFonts w:ascii="宋体" w:eastAsia="宋体" w:hAnsi="宋体" w:cs="宋体" w:hint="eastAsia"/>
          <w:sz w:val="28"/>
          <w:szCs w:val="28"/>
        </w:rPr>
        <w:t xml:space="preserve">基本支出预算</w:t>
      </w:r>
      <w:r>
        <w:rPr>
          <w:rFonts w:ascii="宋体" w:eastAsia="宋体" w:hAnsi="宋体" w:cs="宋体" w:hint="eastAsia"/>
          <w:sz w:val="28"/>
          <w:szCs w:val="28"/>
          <w:lang w:val="en-US" w:eastAsia="zh-CN"/>
        </w:rPr>
        <w:t xml:space="preserve">1404.64</w:t>
      </w:r>
      <w:r>
        <w:rPr>
          <w:rFonts w:ascii="宋体" w:eastAsia="宋体" w:hAnsi="宋体" w:cs="宋体" w:hint="eastAsia"/>
          <w:sz w:val="28"/>
          <w:szCs w:val="28"/>
        </w:rPr>
        <w:t xml:space="preserve">万元，占支出预算</w:t>
      </w:r>
      <w:r>
        <w:rPr>
          <w:rFonts w:ascii="宋体" w:eastAsia="宋体" w:hAnsi="宋体" w:cs="宋体"/>
          <w:sz w:val="28"/>
          <w:u w:color="auto"/>
        </w:rPr>
        <w:t xml:space="preserve">94.32%</w:t>
      </w:r>
      <w:r>
        <w:rPr>
          <w:rFonts w:ascii="宋体" w:eastAsia="宋体" w:hAnsi="宋体" w:cs="宋体"/>
          <w:sz w:val="28"/>
          <w:u w:color="auto"/>
        </w:rPr>
        <w:t xml:space="preserve">,比上年</w:t>
      </w:r>
      <w:r>
        <w:rPr>
          <w:rFonts w:ascii="宋体" w:eastAsia="宋体" w:hAnsi="宋体" w:cs="宋体"/>
          <w:sz w:val="28"/>
          <w:u w:color="auto"/>
        </w:rPr>
        <w:t xml:space="preserve">增长420.02</w:t>
      </w:r>
      <w:r>
        <w:rPr>
          <w:rFonts w:ascii="宋体" w:eastAsia="宋体" w:hAnsi="宋体" w:cs="宋体"/>
          <w:sz w:val="28"/>
          <w:u w:color="auto"/>
        </w:rPr>
        <w:t xml:space="preserve">万元，</w:t>
      </w:r>
      <w:r>
        <w:rPr>
          <w:rFonts w:ascii="宋体" w:eastAsia="宋体" w:hAnsi="宋体" w:cs="宋体"/>
          <w:sz w:val="28"/>
          <w:u w:color="auto"/>
        </w:rPr>
        <w:t xml:space="preserve">增长42.66%</w:t>
      </w:r>
      <w:r>
        <w:rPr>
          <w:rFonts w:ascii="宋体" w:eastAsia="宋体" w:hAnsi="宋体" w:cs="宋体" w:hint="eastAsia"/>
          <w:sz w:val="28"/>
          <w:szCs w:val="28"/>
        </w:rPr>
        <w:t xml:space="preserve">。</w:t>
      </w:r>
      <w:r>
        <w:rPr>
          <w:rFonts w:ascii="宋体" w:eastAsia="宋体" w:hAnsi="宋体" w:cs="宋体" w:hint="eastAsia"/>
          <w:sz w:val="28"/>
          <w:szCs w:val="28"/>
          <w:lang w:val="en-US" w:eastAsia="zh-CN"/>
        </w:rPr>
        <w:t xml:space="preserve">其中：</w:t>
      </w:r>
    </w:p>
    <w:p>
      <w:pPr>
        <w:pStyle w:val="Bodytext|3"/>
        <w:keepNext w:val="0"/>
        <w:keepLines w:val="0"/>
        <w:pageBreakBefore w:val="0"/>
        <w:widowControl w:val="0"/>
        <w:kinsoku/>
        <w:wordWrap/>
        <w:overflowPunct/>
        <w:topLinePunct w:val="0"/>
        <w:autoSpaceDE/>
        <w:autoSpaceDN/>
        <w:bidi w:val="0"/>
        <w:adjustRightInd/>
        <w:snapToGrid/>
        <w:spacing w:after="0" w:line="600" w:lineRule="exact"/>
        <w:ind w:firstLine="740"/>
        <w:jc w:val="left"/>
        <w:textAlignment w:val="auto"/>
        <w:rPr>
          <w:rFonts w:ascii="宋体" w:eastAsia="宋体" w:hAnsi="宋体" w:cs="宋体" w:hint="eastAsia"/>
          <w:sz w:val="28"/>
          <w:szCs w:val="28"/>
          <w:lang w:val="en-US" w:eastAsia="zh-CN"/>
        </w:rPr>
      </w:pPr>
      <w:r>
        <w:rPr>
          <w:rFonts w:ascii="宋体" w:eastAsia="宋体" w:hAnsi="宋体" w:cs="宋体" w:hint="eastAsia"/>
          <w:sz w:val="28"/>
          <w:szCs w:val="28"/>
        </w:rPr>
        <w:t xml:space="preserve">(</w:t>
      </w:r>
      <w:r>
        <w:rPr>
          <w:rFonts w:ascii="宋体" w:eastAsia="宋体" w:hAnsi="宋体" w:cs="宋体"/>
          <w:sz w:val="28"/>
          <w:u w:color="auto"/>
        </w:rPr>
        <w:t xml:space="preserve">1</w:t>
      </w:r>
      <w:r>
        <w:rPr>
          <w:rFonts w:ascii="宋体" w:eastAsia="宋体" w:hAnsi="宋体" w:cs="宋体"/>
          <w:sz w:val="28"/>
          <w:u w:color="auto"/>
        </w:rPr>
        <w:t xml:space="preserve">)</w:t>
      </w:r>
      <w:r>
        <w:rPr>
          <w:rFonts w:ascii="宋体" w:eastAsia="宋体" w:hAnsi="宋体" w:cs="宋体"/>
          <w:sz w:val="28"/>
          <w:u w:color="auto"/>
        </w:rPr>
        <w:t xml:space="preserve">工资福利支出</w:t>
      </w:r>
      <w:r>
        <w:rPr>
          <w:rFonts w:ascii="宋体" w:eastAsia="宋体" w:hAnsi="宋体" w:cs="宋体" w:hint="eastAsia"/>
          <w:sz w:val="28"/>
          <w:szCs w:val="28"/>
          <w:lang w:val="en-US" w:eastAsia="zh-CN"/>
        </w:rPr>
        <w:t xml:space="preserve">1383.87</w:t>
      </w:r>
      <w:r>
        <w:rPr>
          <w:rFonts w:ascii="宋体" w:eastAsia="宋体" w:hAnsi="宋体" w:cs="宋体" w:hint="eastAsia"/>
          <w:sz w:val="28"/>
          <w:szCs w:val="28"/>
        </w:rPr>
        <w:t xml:space="preserve">万元，占基本支出总预算</w:t>
      </w:r>
      <w:r>
        <w:rPr>
          <w:rFonts w:ascii="宋体" w:eastAsia="宋体" w:hAnsi="宋体" w:cs="宋体" w:hint="eastAsia"/>
          <w:sz w:val="28"/>
          <w:szCs w:val="28"/>
          <w:lang w:val="en-US" w:eastAsia="zh-CN"/>
        </w:rPr>
        <w:t xml:space="preserve">98.52%</w:t>
      </w:r>
      <w:r>
        <w:rPr>
          <w:rFonts w:ascii="宋体" w:eastAsia="宋体" w:hAnsi="宋体" w:cs="宋体" w:hint="eastAsia"/>
          <w:sz w:val="28"/>
          <w:szCs w:val="28"/>
        </w:rPr>
        <w:t xml:space="preserve">,比上年</w:t>
      </w:r>
      <w:r>
        <w:rPr>
          <w:rFonts w:ascii="宋体" w:eastAsia="宋体" w:hAnsi="宋体" w:cs="宋体"/>
          <w:sz w:val="28"/>
          <w:u w:color="auto"/>
        </w:rPr>
        <w:t xml:space="preserve">增长424.23</w:t>
      </w:r>
      <w:r>
        <w:rPr>
          <w:rFonts w:ascii="宋体" w:eastAsia="宋体" w:hAnsi="宋体" w:cs="宋体"/>
          <w:sz w:val="28"/>
          <w:u w:color="auto"/>
        </w:rPr>
        <w:t xml:space="preserve">万元，</w:t>
      </w:r>
      <w:r>
        <w:rPr>
          <w:rFonts w:ascii="宋体" w:eastAsia="宋体" w:hAnsi="宋体" w:cs="宋体"/>
          <w:sz w:val="28"/>
          <w:u w:color="auto"/>
        </w:rPr>
        <w:t xml:space="preserve">增长44.21%</w:t>
      </w:r>
      <w:r>
        <w:rPr>
          <w:rFonts w:ascii="宋体" w:eastAsia="宋体" w:hAnsi="宋体" w:cs="宋体"/>
          <w:sz w:val="28"/>
          <w:u w:color="auto"/>
        </w:rPr>
        <w:t xml:space="preserve">,主要原因是：中学公招人员增加,岗位提高，薪级晋升变化。</w:t>
      </w:r>
      <w:r>
        <w:rPr>
          <w:rFonts w:ascii="宋体" w:eastAsia="宋体" w:hAnsi="宋体" w:cs="宋体" w:hint="eastAsia"/>
          <w:sz w:val="28"/>
          <w:szCs w:val="28"/>
          <w:lang w:val="en-US" w:eastAsia="zh-CN"/>
        </w:rPr>
        <w:t xml:space="preserve">。</w:t>
      </w:r>
    </w:p>
    <w:p>
      <w:pPr>
        <w:pStyle w:val="Bodytext|3"/>
        <w:keepNext w:val="0"/>
        <w:keepLines w:val="0"/>
        <w:pageBreakBefore w:val="0"/>
        <w:widowControl w:val="0"/>
        <w:kinsoku/>
        <w:wordWrap/>
        <w:overflowPunct/>
        <w:topLinePunct w:val="0"/>
        <w:autoSpaceDE/>
        <w:autoSpaceDN/>
        <w:bidi w:val="0"/>
        <w:adjustRightInd/>
        <w:snapToGrid/>
        <w:spacing w:after="0" w:line="600" w:lineRule="exact"/>
        <w:ind w:firstLine="740"/>
        <w:jc w:val="left"/>
        <w:textAlignment w:val="auto"/>
        <w:rPr>
          <w:rFonts w:ascii="宋体" w:eastAsia="宋体" w:hAnsi="宋体" w:cs="宋体" w:hint="eastAsia"/>
          <w:sz w:val="28"/>
          <w:szCs w:val="28"/>
          <w:lang w:val="en-US" w:eastAsia="zh-CN"/>
        </w:rPr>
      </w:pPr>
      <w:r>
        <w:rPr>
          <w:rFonts w:ascii="宋体" w:eastAsia="宋体" w:hAnsi="宋体" w:cs="宋体" w:hint="eastAsia"/>
          <w:sz w:val="28"/>
          <w:szCs w:val="28"/>
        </w:rPr>
        <w:t xml:space="preserve">(</w:t>
      </w:r>
      <w:r>
        <w:rPr>
          <w:rFonts w:ascii="宋体" w:eastAsia="宋体" w:hAnsi="宋体" w:cs="宋体"/>
          <w:sz w:val="28"/>
          <w:u w:color="auto"/>
        </w:rPr>
        <w:t xml:space="preserve">2</w:t>
      </w:r>
      <w:r>
        <w:rPr>
          <w:rFonts w:ascii="宋体" w:eastAsia="宋体" w:hAnsi="宋体" w:cs="宋体"/>
          <w:sz w:val="28"/>
          <w:u w:color="auto"/>
        </w:rPr>
        <w:t xml:space="preserve">)</w:t>
      </w:r>
      <w:r>
        <w:rPr>
          <w:rFonts w:ascii="宋体" w:eastAsia="宋体" w:hAnsi="宋体" w:cs="宋体"/>
          <w:sz w:val="28"/>
          <w:u w:color="auto"/>
        </w:rPr>
        <w:t xml:space="preserve">对个人和家庭的补助</w:t>
      </w:r>
      <w:r>
        <w:rPr>
          <w:rFonts w:ascii="宋体" w:eastAsia="宋体" w:hAnsi="宋体" w:cs="宋体" w:hint="eastAsia"/>
          <w:sz w:val="28"/>
          <w:szCs w:val="28"/>
          <w:lang w:val="en-US" w:eastAsia="zh-CN"/>
        </w:rPr>
        <w:t xml:space="preserve">0.00</w:t>
      </w:r>
      <w:r>
        <w:rPr>
          <w:rFonts w:ascii="宋体" w:eastAsia="宋体" w:hAnsi="宋体" w:cs="宋体" w:hint="eastAsia"/>
          <w:sz w:val="28"/>
          <w:szCs w:val="28"/>
        </w:rPr>
        <w:t xml:space="preserve">万元，占基本支出总预算</w:t>
      </w:r>
      <w:r>
        <w:rPr>
          <w:rFonts w:ascii="宋体" w:eastAsia="宋体" w:hAnsi="宋体" w:cs="宋体" w:hint="eastAsia"/>
          <w:sz w:val="28"/>
          <w:szCs w:val="28"/>
          <w:lang w:val="en-US" w:eastAsia="zh-CN"/>
        </w:rPr>
        <w:t xml:space="preserve">0.00%</w:t>
      </w:r>
      <w:r>
        <w:rPr>
          <w:rFonts w:ascii="宋体" w:eastAsia="宋体" w:hAnsi="宋体" w:cs="宋体" w:hint="eastAsia"/>
          <w:sz w:val="28"/>
          <w:szCs w:val="28"/>
        </w:rPr>
        <w:t xml:space="preserve">,比上年</w:t>
      </w:r>
      <w:r>
        <w:rPr>
          <w:rFonts w:ascii="宋体" w:eastAsia="宋体" w:hAnsi="宋体" w:cs="宋体"/>
          <w:sz w:val="28"/>
          <w:u w:color="auto"/>
        </w:rPr>
        <w:t xml:space="preserve">减少9.19</w:t>
      </w:r>
      <w:r>
        <w:rPr>
          <w:rFonts w:ascii="宋体" w:eastAsia="宋体" w:hAnsi="宋体" w:cs="宋体"/>
          <w:sz w:val="28"/>
          <w:u w:color="auto"/>
        </w:rPr>
        <w:t xml:space="preserve">万元，</w:t>
      </w:r>
      <w:r>
        <w:rPr>
          <w:rFonts w:ascii="宋体" w:eastAsia="宋体" w:hAnsi="宋体" w:cs="宋体"/>
          <w:sz w:val="28"/>
          <w:u w:color="auto"/>
        </w:rPr>
        <w:t xml:space="preserve">减少100.00%</w:t>
      </w:r>
      <w:r>
        <w:rPr>
          <w:rFonts w:ascii="宋体" w:eastAsia="宋体" w:hAnsi="宋体" w:cs="宋体"/>
          <w:sz w:val="28"/>
          <w:u w:color="auto"/>
        </w:rPr>
        <w:t xml:space="preserve">,主要原因是：符合条件的补助对象减少</w:t>
      </w:r>
      <w:r>
        <w:rPr>
          <w:rFonts w:ascii="宋体" w:eastAsia="宋体" w:hAnsi="宋体" w:cs="宋体" w:hint="eastAsia"/>
          <w:sz w:val="28"/>
          <w:szCs w:val="28"/>
          <w:lang w:val="en-US" w:eastAsia="zh-CN"/>
        </w:rPr>
        <w:t xml:space="preserve">。</w:t>
      </w:r>
    </w:p>
    <w:p>
      <w:pPr>
        <w:pStyle w:val="Bodytext|3"/>
        <w:keepNext w:val="0"/>
        <w:keepLines w:val="0"/>
        <w:pageBreakBefore w:val="0"/>
        <w:widowControl w:val="0"/>
        <w:kinsoku/>
        <w:wordWrap/>
        <w:overflowPunct/>
        <w:topLinePunct w:val="0"/>
        <w:autoSpaceDE/>
        <w:autoSpaceDN/>
        <w:bidi w:val="0"/>
        <w:adjustRightInd/>
        <w:snapToGrid/>
        <w:spacing w:after="0" w:line="600" w:lineRule="exact"/>
        <w:ind w:firstLine="740"/>
        <w:jc w:val="left"/>
        <w:textAlignment w:val="auto"/>
        <w:rPr>
          <w:rFonts w:ascii="宋体" w:eastAsia="宋体" w:hAnsi="宋体" w:cs="宋体" w:hint="eastAsia"/>
          <w:sz w:val="28"/>
          <w:szCs w:val="28"/>
          <w:lang w:val="en-US" w:eastAsia="zh-CN"/>
        </w:rPr>
      </w:pPr>
      <w:r>
        <w:rPr>
          <w:rFonts w:ascii="宋体" w:eastAsia="宋体" w:hAnsi="宋体" w:cs="宋体" w:hint="eastAsia"/>
          <w:sz w:val="28"/>
          <w:szCs w:val="28"/>
        </w:rPr>
        <w:t xml:space="preserve">(</w:t>
      </w:r>
      <w:r>
        <w:rPr>
          <w:rFonts w:ascii="宋体" w:eastAsia="宋体" w:hAnsi="宋体" w:cs="宋体"/>
          <w:sz w:val="28"/>
          <w:u w:color="auto"/>
        </w:rPr>
        <w:t xml:space="preserve">3</w:t>
      </w:r>
      <w:r>
        <w:rPr>
          <w:rFonts w:ascii="宋体" w:eastAsia="宋体" w:hAnsi="宋体" w:cs="宋体"/>
          <w:sz w:val="28"/>
          <w:u w:color="auto"/>
        </w:rPr>
        <w:t xml:space="preserve">)</w:t>
      </w:r>
      <w:r>
        <w:rPr>
          <w:rFonts w:ascii="宋体" w:eastAsia="宋体" w:hAnsi="宋体" w:cs="宋体"/>
          <w:sz w:val="28"/>
          <w:u w:color="auto"/>
        </w:rPr>
        <w:t xml:space="preserve">商品和服务支出</w:t>
      </w:r>
      <w:r>
        <w:rPr>
          <w:rFonts w:ascii="宋体" w:eastAsia="宋体" w:hAnsi="宋体" w:cs="宋体" w:hint="eastAsia"/>
          <w:sz w:val="28"/>
          <w:szCs w:val="28"/>
          <w:lang w:val="en-US" w:eastAsia="zh-CN"/>
        </w:rPr>
        <w:t xml:space="preserve">20.77</w:t>
      </w:r>
      <w:r>
        <w:rPr>
          <w:rFonts w:ascii="宋体" w:eastAsia="宋体" w:hAnsi="宋体" w:cs="宋体" w:hint="eastAsia"/>
          <w:sz w:val="28"/>
          <w:szCs w:val="28"/>
        </w:rPr>
        <w:t xml:space="preserve">万元，占基本支出总预算</w:t>
      </w:r>
      <w:r>
        <w:rPr>
          <w:rFonts w:ascii="宋体" w:eastAsia="宋体" w:hAnsi="宋体" w:cs="宋体" w:hint="eastAsia"/>
          <w:sz w:val="28"/>
          <w:szCs w:val="28"/>
          <w:lang w:val="en-US" w:eastAsia="zh-CN"/>
        </w:rPr>
        <w:t xml:space="preserve">1.48%</w:t>
      </w:r>
      <w:r>
        <w:rPr>
          <w:rFonts w:ascii="宋体" w:eastAsia="宋体" w:hAnsi="宋体" w:cs="宋体" w:hint="eastAsia"/>
          <w:sz w:val="28"/>
          <w:szCs w:val="28"/>
        </w:rPr>
        <w:t xml:space="preserve">,比上年</w:t>
      </w:r>
      <w:r>
        <w:rPr>
          <w:rFonts w:ascii="宋体" w:eastAsia="宋体" w:hAnsi="宋体" w:cs="宋体"/>
          <w:sz w:val="28"/>
          <w:u w:color="auto"/>
        </w:rPr>
        <w:t xml:space="preserve">增长4.98</w:t>
      </w:r>
      <w:r>
        <w:rPr>
          <w:rFonts w:ascii="宋体" w:eastAsia="宋体" w:hAnsi="宋体" w:cs="宋体"/>
          <w:sz w:val="28"/>
          <w:u w:color="auto"/>
        </w:rPr>
        <w:t xml:space="preserve">万元，</w:t>
      </w:r>
      <w:r>
        <w:rPr>
          <w:rFonts w:ascii="宋体" w:eastAsia="宋体" w:hAnsi="宋体" w:cs="宋体"/>
          <w:sz w:val="28"/>
          <w:u w:color="auto"/>
        </w:rPr>
        <w:t xml:space="preserve">增长31.54%</w:t>
      </w:r>
      <w:r>
        <w:rPr>
          <w:rFonts w:ascii="宋体" w:eastAsia="宋体" w:hAnsi="宋体" w:cs="宋体"/>
          <w:sz w:val="28"/>
          <w:u w:color="auto"/>
        </w:rPr>
        <w:t xml:space="preserve">,主要原因是：1.全校教育系统业务工作增加；2.生均公用经费增加。</w:t>
      </w:r>
      <w:r>
        <w:rPr>
          <w:rFonts w:ascii="宋体" w:eastAsia="宋体" w:hAnsi="宋体" w:cs="宋体" w:hint="eastAsia"/>
          <w:sz w:val="28"/>
          <w:szCs w:val="28"/>
          <w:lang w:val="en-US" w:eastAsia="zh-CN"/>
        </w:rPr>
        <w:t xml:space="preserve">。</w:t>
      </w:r>
    </w:p>
    <w:p>
      <w:pPr>
        <w:pStyle w:val="Bodytext|1"/>
        <w:keepNext w:val="0"/>
        <w:keepLines w:val="0"/>
        <w:pageBreakBefore w:val="0"/>
        <w:widowControl w:val="0"/>
        <w:numPr>
          <w:ilvl w:val="0"/>
          <w:numId w:val="3"/>
        </w:numPr>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b w:val="0"/>
          <w:bCs w:val="0"/>
          <w:color w:val="000000"/>
          <w:sz w:val="28"/>
          <w:szCs w:val="28"/>
          <w:lang w:val="zh-TW" w:eastAsia="zh-TW" w:bidi="zh-TW"/>
        </w:rPr>
      </w:pPr>
      <w:r>
        <w:rPr>
          <w:rFonts w:ascii="宋体" w:eastAsia="宋体" w:hAnsi="宋体" w:cs="宋体" w:hint="eastAsia"/>
          <w:b w:val="0"/>
          <w:bCs w:val="0"/>
          <w:color w:val="000000"/>
          <w:sz w:val="28"/>
          <w:szCs w:val="28"/>
          <w:lang w:val="zh-TW" w:eastAsia="zh-TW" w:bidi="zh-TW"/>
        </w:rPr>
        <w:t xml:space="preserve">项目支出预算。</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0"/>
        <w:jc w:val="left"/>
        <w:textAlignment w:val="auto"/>
        <w:rPr>
          <w:rFonts w:ascii="宋体" w:eastAsia="宋体" w:hAnsi="宋体" w:cs="宋体" w:hint="eastAsia"/>
          <w:sz w:val="28"/>
          <w:szCs w:val="28"/>
          <w:lang w:val="en-US" w:eastAsia="zh-CN"/>
        </w:rPr>
      </w:pPr>
      <w:r>
        <w:rPr>
          <w:rFonts w:ascii="宋体" w:eastAsia="宋体" w:hAnsi="宋体" w:cs="宋体" w:hint="eastAsia"/>
          <w:sz w:val="28"/>
          <w:szCs w:val="28"/>
        </w:rPr>
        <w:t xml:space="preserve">项目支出预算</w:t>
      </w:r>
      <w:r>
        <w:rPr>
          <w:rFonts w:ascii="宋体" w:eastAsia="宋体" w:hAnsi="宋体" w:cs="宋体" w:hint="eastAsia"/>
          <w:sz w:val="28"/>
          <w:szCs w:val="28"/>
          <w:lang w:val="en-US" w:eastAsia="zh-CN"/>
        </w:rPr>
        <w:t xml:space="preserve">84.55</w:t>
      </w:r>
      <w:r>
        <w:rPr>
          <w:rFonts w:ascii="宋体" w:eastAsia="宋体" w:hAnsi="宋体" w:cs="宋体" w:hint="eastAsia"/>
          <w:sz w:val="28"/>
          <w:szCs w:val="28"/>
        </w:rPr>
        <w:t xml:space="preserve">万元，占支出预算</w:t>
      </w:r>
      <w:r>
        <w:rPr>
          <w:rFonts w:ascii="宋体" w:eastAsia="宋体" w:hAnsi="宋体" w:cs="宋体"/>
          <w:sz w:val="28"/>
          <w:u w:color="auto"/>
        </w:rPr>
        <w:t xml:space="preserve">5.68%</w:t>
      </w:r>
      <w:r>
        <w:rPr>
          <w:rFonts w:ascii="宋体" w:eastAsia="宋体" w:hAnsi="宋体" w:cs="宋体" w:hint="eastAsia"/>
          <w:sz w:val="28"/>
          <w:szCs w:val="28"/>
        </w:rPr>
        <w:t xml:space="preserve">,比上年</w:t>
      </w:r>
      <w:r>
        <w:rPr>
          <w:rFonts w:ascii="宋体" w:eastAsia="宋体" w:hAnsi="宋体" w:cs="宋体"/>
          <w:sz w:val="28"/>
          <w:u w:color="auto"/>
        </w:rPr>
        <w:t xml:space="preserve">增长11.59</w:t>
      </w:r>
      <w:r>
        <w:rPr>
          <w:rFonts w:ascii="宋体" w:eastAsia="宋体" w:hAnsi="宋体" w:cs="宋体" w:hint="eastAsia"/>
          <w:sz w:val="28"/>
          <w:szCs w:val="28"/>
        </w:rPr>
        <w:t xml:space="preserve">万元，</w:t>
      </w:r>
      <w:r>
        <w:rPr>
          <w:rFonts w:ascii="宋体" w:eastAsia="宋体" w:hAnsi="宋体" w:cs="宋体"/>
          <w:sz w:val="28"/>
          <w:u w:color="auto"/>
        </w:rPr>
        <w:t xml:space="preserve">增长15.89%</w:t>
      </w:r>
      <w:r>
        <w:rPr>
          <w:rFonts w:ascii="宋体" w:eastAsia="宋体" w:hAnsi="宋体" w:cs="宋体" w:hint="eastAsia"/>
          <w:sz w:val="28"/>
          <w:szCs w:val="28"/>
        </w:rPr>
        <w:t xml:space="preserve">。</w:t>
      </w:r>
      <w:r>
        <w:rPr>
          <w:rFonts w:ascii="宋体" w:eastAsia="宋体" w:hAnsi="宋体" w:cs="宋体" w:hint="eastAsia"/>
          <w:sz w:val="28"/>
          <w:szCs w:val="28"/>
          <w:lang w:val="en-US" w:eastAsia="zh-CN"/>
        </w:rPr>
        <w:t xml:space="preserve">其中：</w:t>
      </w:r>
    </w:p>
    <w:p>
      <w:pPr>
        <w:pStyle w:val="Bodytext|3"/>
        <w:keepNext w:val="0"/>
        <w:keepLines w:val="0"/>
        <w:pageBreakBefore w:val="0"/>
        <w:widowControl w:val="0"/>
        <w:kinsoku/>
        <w:wordWrap/>
        <w:overflowPunct/>
        <w:topLinePunct w:val="0"/>
        <w:autoSpaceDE/>
        <w:autoSpaceDN/>
        <w:bidi w:val="0"/>
        <w:adjustRightInd/>
        <w:snapToGrid/>
        <w:spacing w:after="0" w:line="600" w:lineRule="exact"/>
        <w:ind w:firstLine="740"/>
        <w:jc w:val="left"/>
        <w:textAlignment w:val="auto"/>
        <w:rPr>
          <w:rFonts w:ascii="宋体" w:eastAsia="宋体" w:hAnsi="宋体" w:cs="宋体" w:hint="eastAsia"/>
          <w:color w:val="000000"/>
          <w:sz w:val="28"/>
          <w:szCs w:val="28"/>
          <w:lang w:val="en-US" w:eastAsia="zh-CN" w:bidi="zh-TW"/>
        </w:rPr>
      </w:pPr>
      <w:r>
        <w:rPr>
          <w:rFonts w:ascii="宋体" w:eastAsia="宋体" w:hAnsi="宋体" w:cs="宋体" w:hint="eastAsia"/>
          <w:sz w:val="28"/>
          <w:szCs w:val="28"/>
        </w:rPr>
        <w:t xml:space="preserve">(</w:t>
      </w:r>
      <w:r>
        <w:rPr>
          <w:rFonts w:ascii="宋体" w:eastAsia="宋体" w:hAnsi="宋体" w:cs="宋体"/>
          <w:sz w:val="28"/>
          <w:u w:color="auto"/>
        </w:rPr>
        <w:t xml:space="preserve">1</w:t>
      </w:r>
      <w:r>
        <w:rPr>
          <w:rFonts w:ascii="宋体" w:eastAsia="宋体" w:hAnsi="宋体" w:cs="宋体"/>
          <w:sz w:val="28"/>
          <w:u w:color="auto"/>
        </w:rPr>
        <w:t xml:space="preserve">)</w:t>
      </w:r>
      <w:r>
        <w:rPr>
          <w:rFonts w:ascii="宋体" w:eastAsia="宋体" w:hAnsi="宋体" w:cs="宋体"/>
          <w:sz w:val="28"/>
          <w:u w:color="auto"/>
        </w:rPr>
        <w:t xml:space="preserve">商品和服务支出</w:t>
      </w:r>
      <w:r>
        <w:rPr>
          <w:rFonts w:ascii="宋体" w:eastAsia="宋体" w:hAnsi="宋体" w:cs="宋体" w:hint="eastAsia"/>
          <w:sz w:val="28"/>
          <w:szCs w:val="28"/>
          <w:lang w:val="en-US" w:eastAsia="zh-CN"/>
        </w:rPr>
        <w:t xml:space="preserve">62.48</w:t>
      </w:r>
      <w:r>
        <w:rPr>
          <w:rFonts w:ascii="宋体" w:eastAsia="宋体" w:hAnsi="宋体" w:cs="宋体" w:hint="eastAsia"/>
          <w:sz w:val="28"/>
          <w:szCs w:val="28"/>
        </w:rPr>
        <w:t xml:space="preserve">万元，占项</w:t>
      </w:r>
      <w:r>
        <w:rPr>
          <w:rFonts w:ascii="宋体" w:eastAsia="宋体" w:hAnsi="宋体" w:cs="宋体" w:hint="eastAsia"/>
          <w:color w:val="000000"/>
          <w:sz w:val="28"/>
          <w:szCs w:val="28"/>
          <w:lang w:val="zh-TW" w:eastAsia="zh-TW" w:bidi="zh-TW"/>
        </w:rPr>
        <w:t xml:space="preserve">目支出总预算</w:t>
      </w:r>
      <w:r>
        <w:rPr>
          <w:rFonts w:ascii="宋体" w:eastAsia="宋体" w:hAnsi="宋体" w:cs="宋体" w:hint="eastAsia"/>
          <w:color w:val="000000"/>
          <w:sz w:val="28"/>
          <w:szCs w:val="28"/>
          <w:lang w:val="en-US" w:eastAsia="zh-CN" w:bidi="zh-TW"/>
        </w:rPr>
        <w:t xml:space="preserve">73.90%</w:t>
      </w:r>
      <w:r>
        <w:rPr>
          <w:rFonts w:ascii="宋体" w:eastAsia="宋体" w:hAnsi="宋体" w:cs="宋体" w:hint="eastAsia"/>
          <w:color w:val="000000"/>
          <w:sz w:val="28"/>
          <w:szCs w:val="28"/>
          <w:lang w:val="zh-TW" w:eastAsia="zh-TW" w:bidi="zh-TW"/>
        </w:rPr>
        <w:t xml:space="preserve">,比上年</w:t>
      </w:r>
      <w:r>
        <w:rPr>
          <w:rFonts w:ascii="宋体" w:eastAsia="宋体" w:hAnsi="宋体" w:cs="宋体"/>
          <w:color w:val="000000"/>
          <w:sz w:val="28"/>
          <w:u w:color="auto"/>
        </w:rPr>
        <w:t xml:space="preserve">减少8.70</w:t>
      </w:r>
      <w:r>
        <w:rPr>
          <w:rFonts w:ascii="宋体" w:eastAsia="宋体" w:hAnsi="宋体" w:cs="宋体"/>
          <w:color w:val="000000"/>
          <w:sz w:val="28"/>
          <w:u w:color="auto"/>
        </w:rPr>
        <w:t xml:space="preserve">万元，</w:t>
      </w:r>
      <w:r>
        <w:rPr>
          <w:rFonts w:ascii="宋体" w:eastAsia="宋体" w:hAnsi="宋体" w:cs="宋体"/>
          <w:color w:val="000000"/>
          <w:sz w:val="28"/>
          <w:u w:color="auto"/>
        </w:rPr>
        <w:t xml:space="preserve">减少12.22%</w:t>
      </w:r>
      <w:r>
        <w:rPr>
          <w:rFonts w:ascii="宋体" w:eastAsia="宋体" w:hAnsi="宋体" w:cs="宋体"/>
          <w:color w:val="000000"/>
          <w:sz w:val="28"/>
          <w:u w:color="auto"/>
        </w:rPr>
        <w:t xml:space="preserve">,主要原因是：</w:t>
      </w:r>
      <w:r>
        <w:rPr>
          <w:rFonts w:ascii="宋体" w:eastAsia="宋体" w:hAnsi="宋体" w:cs="宋体" w:hint="eastAsia"/>
          <w:color w:val="000000"/>
          <w:sz w:val="28"/>
          <w:szCs w:val="28"/>
          <w:lang w:val="zh-TW" w:eastAsia="zh-TW" w:bidi="zh-TW"/>
        </w:rPr>
        <w:t xml:space="preserve">部分支出已在基本支出列支</w:t>
      </w:r>
      <w:r>
        <w:rPr>
          <w:rFonts w:ascii="宋体" w:eastAsia="宋体" w:hAnsi="宋体" w:cs="宋体" w:hint="eastAsia"/>
          <w:color w:val="000000"/>
          <w:sz w:val="28"/>
          <w:szCs w:val="28"/>
          <w:lang w:val="en-US" w:eastAsia="zh-CN" w:bidi="zh-TW"/>
        </w:rPr>
        <w:t xml:space="preserve">。</w:t>
      </w:r>
    </w:p>
    <w:p>
      <w:pPr>
        <w:pStyle w:val="Bodytext|3"/>
        <w:keepNext w:val="0"/>
        <w:keepLines w:val="0"/>
        <w:pageBreakBefore w:val="0"/>
        <w:widowControl w:val="0"/>
        <w:kinsoku/>
        <w:wordWrap/>
        <w:overflowPunct/>
        <w:topLinePunct w:val="0"/>
        <w:autoSpaceDE/>
        <w:autoSpaceDN/>
        <w:bidi w:val="0"/>
        <w:adjustRightInd/>
        <w:snapToGrid/>
        <w:spacing w:after="0" w:line="600" w:lineRule="exact"/>
        <w:ind w:firstLine="740"/>
        <w:jc w:val="left"/>
        <w:textAlignment w:val="auto"/>
        <w:rPr>
          <w:rFonts w:ascii="宋体" w:eastAsia="宋体" w:hAnsi="宋体" w:cs="宋体" w:hint="eastAsia"/>
          <w:color w:val="000000"/>
          <w:sz w:val="28"/>
          <w:szCs w:val="28"/>
          <w:lang w:val="en-US" w:eastAsia="zh-CN" w:bidi="zh-TW"/>
        </w:rPr>
      </w:pPr>
      <w:r>
        <w:rPr>
          <w:rFonts w:ascii="宋体" w:eastAsia="宋体" w:hAnsi="宋体" w:cs="宋体" w:hint="eastAsia"/>
          <w:sz w:val="28"/>
          <w:szCs w:val="28"/>
        </w:rPr>
        <w:t xml:space="preserve">(</w:t>
      </w:r>
      <w:r>
        <w:rPr>
          <w:rFonts w:ascii="宋体" w:eastAsia="宋体" w:hAnsi="宋体" w:cs="宋体"/>
          <w:sz w:val="28"/>
          <w:u w:color="auto"/>
        </w:rPr>
        <w:t xml:space="preserve">2</w:t>
      </w:r>
      <w:r>
        <w:rPr>
          <w:rFonts w:ascii="宋体" w:eastAsia="宋体" w:hAnsi="宋体" w:cs="宋体"/>
          <w:sz w:val="28"/>
          <w:u w:color="auto"/>
        </w:rPr>
        <w:t xml:space="preserve">)</w:t>
      </w:r>
      <w:r>
        <w:rPr>
          <w:rFonts w:ascii="宋体" w:eastAsia="宋体" w:hAnsi="宋体" w:cs="宋体"/>
          <w:sz w:val="28"/>
          <w:u w:color="auto"/>
        </w:rPr>
        <w:t xml:space="preserve">对个人和家庭的补助</w:t>
      </w:r>
      <w:r>
        <w:rPr>
          <w:rFonts w:ascii="宋体" w:eastAsia="宋体" w:hAnsi="宋体" w:cs="宋体" w:hint="eastAsia"/>
          <w:sz w:val="28"/>
          <w:szCs w:val="28"/>
          <w:lang w:val="en-US" w:eastAsia="zh-CN"/>
        </w:rPr>
        <w:t xml:space="preserve">18.49</w:t>
      </w:r>
      <w:r>
        <w:rPr>
          <w:rFonts w:ascii="宋体" w:eastAsia="宋体" w:hAnsi="宋体" w:cs="宋体" w:hint="eastAsia"/>
          <w:sz w:val="28"/>
          <w:szCs w:val="28"/>
        </w:rPr>
        <w:t xml:space="preserve">万元，占项</w:t>
      </w:r>
      <w:r>
        <w:rPr>
          <w:rFonts w:ascii="宋体" w:eastAsia="宋体" w:hAnsi="宋体" w:cs="宋体" w:hint="eastAsia"/>
          <w:color w:val="000000"/>
          <w:sz w:val="28"/>
          <w:szCs w:val="28"/>
          <w:lang w:val="zh-TW" w:eastAsia="zh-TW" w:bidi="zh-TW"/>
        </w:rPr>
        <w:t xml:space="preserve">目支出总预算</w:t>
      </w:r>
      <w:r>
        <w:rPr>
          <w:rFonts w:ascii="宋体" w:eastAsia="宋体" w:hAnsi="宋体" w:cs="宋体" w:hint="eastAsia"/>
          <w:color w:val="000000"/>
          <w:sz w:val="28"/>
          <w:szCs w:val="28"/>
          <w:lang w:val="en-US" w:eastAsia="zh-CN" w:bidi="zh-TW"/>
        </w:rPr>
        <w:t xml:space="preserve">21.87%</w:t>
      </w:r>
      <w:r>
        <w:rPr>
          <w:rFonts w:ascii="宋体" w:eastAsia="宋体" w:hAnsi="宋体" w:cs="宋体" w:hint="eastAsia"/>
          <w:color w:val="000000"/>
          <w:sz w:val="28"/>
          <w:szCs w:val="28"/>
          <w:lang w:val="zh-TW" w:eastAsia="zh-TW" w:bidi="zh-TW"/>
        </w:rPr>
        <w:t xml:space="preserve">,比上年</w:t>
      </w:r>
      <w:r>
        <w:rPr>
          <w:rFonts w:ascii="宋体" w:eastAsia="宋体" w:hAnsi="宋体" w:cs="宋体"/>
          <w:color w:val="000000"/>
          <w:sz w:val="28"/>
          <w:u w:color="auto"/>
        </w:rPr>
        <w:t xml:space="preserve">增长16.99</w:t>
      </w:r>
      <w:r>
        <w:rPr>
          <w:rFonts w:ascii="宋体" w:eastAsia="宋体" w:hAnsi="宋体" w:cs="宋体"/>
          <w:color w:val="000000"/>
          <w:sz w:val="28"/>
          <w:u w:color="auto"/>
        </w:rPr>
        <w:t xml:space="preserve">万元，</w:t>
      </w:r>
      <w:r>
        <w:rPr>
          <w:rFonts w:ascii="宋体" w:eastAsia="宋体" w:hAnsi="宋体" w:cs="宋体"/>
          <w:color w:val="000000"/>
          <w:sz w:val="28"/>
          <w:u w:color="auto"/>
        </w:rPr>
        <w:t xml:space="preserve">增长1132.67%</w:t>
      </w:r>
      <w:r>
        <w:rPr>
          <w:rFonts w:ascii="宋体" w:eastAsia="宋体" w:hAnsi="宋体" w:cs="宋体"/>
          <w:color w:val="000000"/>
          <w:sz w:val="28"/>
          <w:u w:color="auto"/>
        </w:rPr>
        <w:t xml:space="preserve">,主要原因是：</w:t>
      </w:r>
      <w:r>
        <w:rPr>
          <w:rFonts w:ascii="宋体" w:eastAsia="宋体" w:hAnsi="宋体" w:cs="宋体" w:hint="eastAsia"/>
          <w:color w:val="000000"/>
          <w:sz w:val="28"/>
          <w:szCs w:val="28"/>
          <w:lang w:val="zh-TW" w:eastAsia="zh-TW" w:bidi="zh-TW"/>
        </w:rPr>
        <w:t xml:space="preserve">因上年符合此类条件对象的支出较少</w:t>
      </w:r>
      <w:r>
        <w:rPr>
          <w:rFonts w:ascii="宋体" w:eastAsia="宋体" w:hAnsi="宋体" w:cs="宋体" w:hint="eastAsia"/>
          <w:color w:val="000000"/>
          <w:sz w:val="28"/>
          <w:szCs w:val="28"/>
          <w:lang w:val="en-US" w:eastAsia="zh-CN" w:bidi="zh-TW"/>
        </w:rPr>
        <w:t xml:space="preserve">。</w:t>
      </w:r>
    </w:p>
    <w:p>
      <w:pPr>
        <w:pStyle w:val="Bodytext|3"/>
        <w:keepNext w:val="0"/>
        <w:keepLines w:val="0"/>
        <w:pageBreakBefore w:val="0"/>
        <w:widowControl w:val="0"/>
        <w:kinsoku/>
        <w:wordWrap/>
        <w:overflowPunct/>
        <w:topLinePunct w:val="0"/>
        <w:autoSpaceDE/>
        <w:autoSpaceDN/>
        <w:bidi w:val="0"/>
        <w:adjustRightInd/>
        <w:snapToGrid/>
        <w:spacing w:after="0" w:line="600" w:lineRule="exact"/>
        <w:ind w:firstLine="740"/>
        <w:jc w:val="left"/>
        <w:textAlignment w:val="auto"/>
        <w:rPr>
          <w:rFonts w:ascii="宋体" w:eastAsia="宋体" w:hAnsi="宋体" w:cs="宋体" w:hint="eastAsia"/>
          <w:color w:val="000000"/>
          <w:sz w:val="28"/>
          <w:szCs w:val="28"/>
          <w:lang w:val="en-US" w:eastAsia="zh-CN" w:bidi="zh-TW"/>
        </w:rPr>
      </w:pPr>
      <w:r>
        <w:rPr>
          <w:rFonts w:ascii="宋体" w:eastAsia="宋体" w:hAnsi="宋体" w:cs="宋体" w:hint="eastAsia"/>
          <w:sz w:val="28"/>
          <w:szCs w:val="28"/>
        </w:rPr>
        <w:t xml:space="preserve">(</w:t>
      </w:r>
      <w:r>
        <w:rPr>
          <w:rFonts w:ascii="宋体" w:eastAsia="宋体" w:hAnsi="宋体" w:cs="宋体"/>
          <w:sz w:val="28"/>
          <w:u w:color="auto"/>
        </w:rPr>
        <w:t xml:space="preserve">3</w:t>
      </w:r>
      <w:r>
        <w:rPr>
          <w:rFonts w:ascii="宋体" w:eastAsia="宋体" w:hAnsi="宋体" w:cs="宋体"/>
          <w:sz w:val="28"/>
          <w:u w:color="auto"/>
        </w:rPr>
        <w:t xml:space="preserve">)</w:t>
      </w:r>
      <w:r>
        <w:rPr>
          <w:rFonts w:ascii="宋体" w:eastAsia="宋体" w:hAnsi="宋体" w:cs="宋体"/>
          <w:sz w:val="28"/>
          <w:u w:color="auto"/>
        </w:rPr>
        <w:t xml:space="preserve">资本性支出</w:t>
      </w:r>
      <w:r>
        <w:rPr>
          <w:rFonts w:ascii="宋体" w:eastAsia="宋体" w:hAnsi="宋体" w:cs="宋体" w:hint="eastAsia"/>
          <w:sz w:val="28"/>
          <w:szCs w:val="28"/>
          <w:lang w:val="en-US" w:eastAsia="zh-CN"/>
        </w:rPr>
        <w:t xml:space="preserve">3.58</w:t>
      </w:r>
      <w:r>
        <w:rPr>
          <w:rFonts w:ascii="宋体" w:eastAsia="宋体" w:hAnsi="宋体" w:cs="宋体" w:hint="eastAsia"/>
          <w:sz w:val="28"/>
          <w:szCs w:val="28"/>
        </w:rPr>
        <w:t xml:space="preserve">万元，占项</w:t>
      </w:r>
      <w:r>
        <w:rPr>
          <w:rFonts w:ascii="宋体" w:eastAsia="宋体" w:hAnsi="宋体" w:cs="宋体" w:hint="eastAsia"/>
          <w:color w:val="000000"/>
          <w:sz w:val="28"/>
          <w:szCs w:val="28"/>
          <w:lang w:val="zh-TW" w:eastAsia="zh-TW" w:bidi="zh-TW"/>
        </w:rPr>
        <w:t xml:space="preserve">目支出总预算</w:t>
      </w:r>
      <w:r>
        <w:rPr>
          <w:rFonts w:ascii="宋体" w:eastAsia="宋体" w:hAnsi="宋体" w:cs="宋体" w:hint="eastAsia"/>
          <w:color w:val="000000"/>
          <w:sz w:val="28"/>
          <w:szCs w:val="28"/>
          <w:lang w:val="en-US" w:eastAsia="zh-CN" w:bidi="zh-TW"/>
        </w:rPr>
        <w:t xml:space="preserve">4.23%</w:t>
      </w:r>
      <w:r>
        <w:rPr>
          <w:rFonts w:ascii="宋体" w:eastAsia="宋体" w:hAnsi="宋体" w:cs="宋体" w:hint="eastAsia"/>
          <w:color w:val="000000"/>
          <w:sz w:val="28"/>
          <w:szCs w:val="28"/>
          <w:lang w:val="zh-TW" w:eastAsia="zh-TW" w:bidi="zh-TW"/>
        </w:rPr>
        <w:t xml:space="preserve">,比上年</w:t>
      </w:r>
      <w:r>
        <w:rPr>
          <w:rFonts w:ascii="宋体" w:eastAsia="宋体" w:hAnsi="宋体" w:cs="宋体"/>
          <w:color w:val="000000"/>
          <w:sz w:val="28"/>
          <w:u w:color="auto"/>
        </w:rPr>
        <w:t xml:space="preserve">增长3.30</w:t>
      </w:r>
      <w:r>
        <w:rPr>
          <w:rFonts w:ascii="宋体" w:eastAsia="宋体" w:hAnsi="宋体" w:cs="宋体"/>
          <w:color w:val="000000"/>
          <w:sz w:val="28"/>
          <w:u w:color="auto"/>
        </w:rPr>
        <w:t xml:space="preserve">万元，</w:t>
      </w:r>
      <w:r>
        <w:rPr>
          <w:rFonts w:ascii="宋体" w:eastAsia="宋体" w:hAnsi="宋体" w:cs="宋体"/>
          <w:color w:val="000000"/>
          <w:sz w:val="28"/>
          <w:u w:color="auto"/>
        </w:rPr>
        <w:t xml:space="preserve">增长1178.57%</w:t>
      </w:r>
      <w:r>
        <w:rPr>
          <w:rFonts w:ascii="宋体" w:eastAsia="宋体" w:hAnsi="宋体" w:cs="宋体"/>
          <w:color w:val="000000"/>
          <w:sz w:val="28"/>
          <w:u w:color="auto"/>
        </w:rPr>
        <w:t xml:space="preserve">,主要原因是：</w:t>
      </w:r>
      <w:r>
        <w:rPr>
          <w:rFonts w:ascii="宋体" w:eastAsia="宋体" w:hAnsi="宋体" w:cs="宋体" w:hint="eastAsia"/>
          <w:color w:val="000000"/>
          <w:sz w:val="28"/>
          <w:szCs w:val="28"/>
          <w:lang w:val="zh-TW" w:eastAsia="zh-TW" w:bidi="zh-TW"/>
        </w:rPr>
        <w:t xml:space="preserve">1.全校教育系统业务工作增加；2.中学公招人员增加,增加五险；3.生均公用经费增加。</w:t>
      </w:r>
      <w:r>
        <w:rPr>
          <w:rFonts w:ascii="宋体" w:eastAsia="宋体" w:hAnsi="宋体" w:cs="宋体" w:hint="eastAsia"/>
          <w:color w:val="000000"/>
          <w:sz w:val="28"/>
          <w:szCs w:val="28"/>
          <w:lang w:val="en-US" w:eastAsia="zh-CN" w:bidi="zh-TW"/>
        </w:rPr>
        <w:t xml:space="preserve">。</w:t>
      </w:r>
    </w:p>
    <w:p>
      <w:pPr>
        <w:pStyle w:val="Bodytext|2"/>
        <w:spacing w:after="0" w:line="619" w:lineRule="exact"/>
        <w:ind w:firstLine="620"/>
        <w:jc w:val="left"/>
        <w:rPr>
          <w:rFonts w:hint="eastAsia"/>
          <w:b/>
          <w:bCs/>
          <w:lang w:val="en-US" w:eastAsia="zh-CN"/>
        </w:rPr>
      </w:pPr>
      <w:r>
        <w:rPr>
          <w:rFonts w:hint="eastAsia"/>
          <w:b/>
          <w:bCs/>
          <w:lang w:val="en-US" w:eastAsia="zh-CN"/>
        </w:rPr>
        <w:t xml:space="preserve">四、财政拨款收支总体情况说明</w:t>
      </w:r>
    </w:p>
    <w:p>
      <w:pPr>
        <w:pStyle w:val="Bodytext|1"/>
        <w:spacing w:line="240" w:lineRule="auto"/>
        <w:ind w:firstLine="0"/>
        <w:jc w:val="left"/>
        <w:rPr>
          <w:lang w:val="en-US" w:eastAsia="zh-CN"/>
        </w:rPr>
      </w:pPr>
      <w:r>
        <w:rPr>
          <w:rFonts w:hint="eastAsia"/>
          <w:lang w:val="en-US" w:eastAsia="zh-CN"/>
        </w:rPr>
        <w:drawing>
          <wp:inline distT="0" distB="0" distL="114300" distR="114300">
            <wp:extent cx="5080000" cy="3810000"/>
            <wp:effectExtent l="4445" t="4445" r="5715" b="10795"/>
            <wp:docPr id="2554" name="图表 13" title="{{img_sz_cb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10"/>
              </a:graphicData>
            </a:graphic>
          </wp:inline>
        </w:drawing>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hint="eastAsia"/>
          <w:sz w:val="28"/>
          <w:szCs w:val="28"/>
        </w:rPr>
      </w:pPr>
      <w:r>
        <w:rPr>
          <w:rFonts w:ascii="宋体" w:eastAsia="宋体" w:hAnsi="宋体" w:cs="宋体" w:hint="eastAsia"/>
          <w:sz w:val="28"/>
          <w:szCs w:val="28"/>
          <w:lang w:eastAsia="zh-CN"/>
        </w:rPr>
        <w:t xml:space="preserve">2024</w:t>
      </w:r>
      <w:r>
        <w:rPr>
          <w:rFonts w:ascii="宋体" w:eastAsia="宋体" w:hAnsi="宋体" w:cs="宋体" w:hint="eastAsia"/>
          <w:sz w:val="28"/>
          <w:szCs w:val="28"/>
          <w:u w:color="auto"/>
        </w:rPr>
        <w:t xml:space="preserve">年</w:t>
      </w:r>
      <w:r>
        <w:rPr>
          <w:rFonts w:ascii="宋体" w:eastAsia="宋体" w:hAnsi="宋体" w:cs="宋体" w:hint="eastAsia"/>
          <w:sz w:val="28"/>
          <w:szCs w:val="28"/>
        </w:rPr>
        <w:t xml:space="preserve">财政拨款收入我部门财政拨款总收入</w:t>
      </w:r>
      <w:r>
        <w:rPr>
          <w:rFonts w:ascii="宋体" w:eastAsia="宋体" w:hAnsi="宋体" w:cs="宋体" w:hint="eastAsia"/>
          <w:sz w:val="28"/>
          <w:szCs w:val="28"/>
          <w:lang w:val="en-US" w:eastAsia="zh-CN" w:bidi="en-US"/>
        </w:rPr>
        <w:t xml:space="preserve">1489.19</w:t>
      </w:r>
      <w:r>
        <w:rPr>
          <w:rFonts w:ascii="宋体" w:eastAsia="宋体" w:hAnsi="宋体" w:cs="宋体" w:hint="eastAsia"/>
          <w:sz w:val="28"/>
          <w:szCs w:val="28"/>
        </w:rPr>
        <w:t xml:space="preserve">万元，总支出</w:t>
      </w:r>
      <w:r>
        <w:rPr>
          <w:rFonts w:ascii="宋体" w:eastAsia="宋体" w:hAnsi="宋体" w:cs="宋体" w:hint="eastAsia"/>
          <w:sz w:val="28"/>
          <w:szCs w:val="28"/>
          <w:lang w:val="en-US" w:eastAsia="zh-CN" w:bidi="en-US"/>
        </w:rPr>
        <w:t xml:space="preserve">1489.19</w:t>
      </w:r>
      <w:r>
        <w:rPr>
          <w:rFonts w:ascii="宋体" w:eastAsia="宋体" w:hAnsi="宋体" w:cs="宋体" w:hint="eastAsia"/>
          <w:sz w:val="28"/>
          <w:szCs w:val="28"/>
        </w:rPr>
        <w:t xml:space="preserve">万元。财政拨款总收入较2023年度预算数</w:t>
      </w:r>
      <w:r>
        <w:rPr>
          <w:rFonts w:ascii="宋体" w:eastAsia="宋体" w:hAnsi="宋体" w:cs="宋体" w:hint="eastAsia"/>
          <w:sz w:val="28"/>
          <w:szCs w:val="28"/>
          <w:lang w:val="en-US" w:eastAsia="zh-CN" w:bidi="en-US"/>
        </w:rPr>
        <w:t xml:space="preserve">1057.58</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bidi="en-US"/>
        </w:rPr>
        <w:t xml:space="preserve">增加431.61</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bidi="en-US"/>
        </w:rPr>
        <w:t xml:space="preserve">增长40.81%</w:t>
      </w:r>
      <w:r>
        <w:rPr>
          <w:rFonts w:ascii="宋体" w:eastAsia="宋体" w:hAnsi="宋体" w:cs="宋体" w:hint="eastAsia"/>
          <w:sz w:val="28"/>
          <w:szCs w:val="28"/>
        </w:rPr>
        <w:t xml:space="preserve">，主要原因是</w:t>
      </w:r>
      <w:r>
        <w:rPr>
          <w:rFonts w:hint="eastAsia"/>
          <w:highlight w:val="none"/>
          <w:lang w:val="en-US" w:eastAsia="zh-CN"/>
        </w:rPr>
        <w:t xml:space="preserve">1.全校教育系统业务工作增加；2.中学公招人员增加,增加五险；3.生均公用经费增加。</w:t>
      </w:r>
      <w:r>
        <w:rPr>
          <w:rFonts w:ascii="宋体" w:eastAsia="宋体" w:hAnsi="宋体" w:cs="宋体" w:hint="eastAsia"/>
          <w:sz w:val="28"/>
          <w:szCs w:val="28"/>
        </w:rPr>
        <w:t xml:space="preserve">。财政拨款总支出较2023年度预算数</w:t>
      </w:r>
      <w:r>
        <w:rPr>
          <w:rFonts w:ascii="宋体" w:eastAsia="宋体" w:hAnsi="宋体" w:cs="宋体" w:hint="eastAsia"/>
          <w:sz w:val="28"/>
          <w:szCs w:val="28"/>
          <w:lang w:val="en-US" w:eastAsia="zh-CN" w:bidi="en-US"/>
        </w:rPr>
        <w:t xml:space="preserve">1057.58</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bidi="en-US"/>
        </w:rPr>
        <w:t xml:space="preserve">增加431.61</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bidi="en-US"/>
        </w:rPr>
        <w:t xml:space="preserve">增长40.81%</w:t>
      </w:r>
      <w:r>
        <w:rPr>
          <w:rFonts w:ascii="宋体" w:eastAsia="宋体" w:hAnsi="宋体" w:cs="宋体" w:hint="eastAsia"/>
          <w:sz w:val="28"/>
          <w:szCs w:val="28"/>
        </w:rPr>
        <w:t xml:space="preserve">，主要原因是</w:t>
      </w:r>
      <w:r>
        <w:rPr>
          <w:rFonts w:hint="eastAsia"/>
          <w:highlight w:val="none"/>
          <w:lang w:val="en-US" w:eastAsia="zh-CN"/>
        </w:rPr>
        <w:t xml:space="preserve">1.全校教育系统业务工作增加；2.中学公招人员增加,增加五险；3.生均公用经费增加。</w:t>
      </w:r>
      <w:r>
        <w:rPr>
          <w:rFonts w:ascii="宋体" w:eastAsia="宋体" w:hAnsi="宋体" w:cs="宋体" w:hint="eastAsia"/>
          <w:sz w:val="28"/>
          <w:szCs w:val="28"/>
        </w:rPr>
        <w:t xml:space="preserve">。</w:t>
      </w:r>
    </w:p>
    <w:p>
      <w:pPr>
        <w:pStyle w:val="Bodytext|2"/>
        <w:spacing w:after="0" w:line="619" w:lineRule="exact"/>
        <w:ind w:firstLine="620"/>
        <w:jc w:val="left"/>
        <w:rPr>
          <w:rFonts w:hint="eastAsia"/>
          <w:b/>
          <w:bCs/>
          <w:lang w:val="en-US" w:eastAsia="zh-CN"/>
        </w:rPr>
      </w:pPr>
      <w:r>
        <w:rPr>
          <w:rFonts w:hint="eastAsia"/>
          <w:b/>
          <w:bCs/>
          <w:lang w:val="en-US" w:eastAsia="zh-CN"/>
        </w:rPr>
        <w:t xml:space="preserve">五、一般公共预算支出情况说明</w:t>
      </w:r>
    </w:p>
    <w:p>
      <w:pPr>
        <w:pStyle w:val="Bodytext|1"/>
        <w:spacing w:line="240" w:lineRule="auto"/>
        <w:ind w:firstLine="0"/>
        <w:jc w:val="left"/>
        <w:rPr>
          <w:lang w:eastAsia="zh-CN"/>
        </w:rPr>
      </w:pPr>
      <w:r>
        <w:rPr>
          <w:lang w:eastAsia="zh-CN"/>
        </w:rPr>
        <w:drawing>
          <wp:inline distT="0" distB="0" distL="114300" distR="114300">
            <wp:extent cx="5080000" cy="3810000"/>
            <wp:effectExtent l="4445" t="4445" r="20955" b="14605"/>
            <wp:docPr id="2555" name="图表 10" title="{{img_zc_yb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11"/>
              </a:graphicData>
            </a:graphic>
          </wp:inline>
        </w:drawing>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lang w:eastAsia="zh-CN"/>
        </w:rPr>
        <w:t xml:space="preserve">2024</w:t>
      </w:r>
      <w:r>
        <w:rPr>
          <w:rFonts w:ascii="宋体" w:eastAsia="宋体" w:hAnsi="宋体" w:cs="宋体" w:hint="eastAsia"/>
          <w:sz w:val="28"/>
          <w:szCs w:val="28"/>
          <w:lang w:val="en-US" w:eastAsia="zh-CN"/>
        </w:rPr>
        <w:t xml:space="preserve">年</w:t>
      </w:r>
      <w:r>
        <w:rPr>
          <w:rFonts w:ascii="宋体" w:eastAsia="宋体" w:hAnsi="宋体" w:cs="宋体" w:hint="eastAsia"/>
          <w:sz w:val="28"/>
          <w:szCs w:val="28"/>
        </w:rPr>
        <w:t xml:space="preserve">一般公共预算支出共</w:t>
      </w:r>
      <w:r>
        <w:rPr>
          <w:rFonts w:ascii="宋体" w:eastAsia="宋体" w:hAnsi="宋体" w:cs="宋体" w:hint="eastAsia"/>
          <w:sz w:val="28"/>
          <w:szCs w:val="28"/>
          <w:lang w:val="en-US" w:eastAsia="zh-CN"/>
        </w:rPr>
        <w:t xml:space="preserve">1489.19</w:t>
      </w:r>
      <w:r>
        <w:rPr>
          <w:rFonts w:ascii="宋体" w:eastAsia="宋体" w:hAnsi="宋体" w:cs="宋体" w:hint="eastAsia"/>
          <w:sz w:val="28"/>
          <w:szCs w:val="28"/>
        </w:rPr>
        <w:t xml:space="preserve">万元，较2023年度预算数</w:t>
      </w:r>
      <w:r>
        <w:rPr>
          <w:rFonts w:ascii="宋体" w:eastAsia="宋体" w:hAnsi="宋体" w:cs="宋体" w:hint="eastAsia"/>
          <w:sz w:val="28"/>
          <w:szCs w:val="28"/>
          <w:lang w:val="en-US" w:eastAsia="zh-CN"/>
        </w:rPr>
        <w:t xml:space="preserve">1057.58</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rPr>
        <w:t xml:space="preserve">增加431.61</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rPr>
        <w:t xml:space="preserve">增长40.81%</w:t>
      </w:r>
      <w:r>
        <w:rPr>
          <w:rFonts w:ascii="宋体" w:eastAsia="宋体" w:hAnsi="宋体" w:cs="宋体" w:hint="eastAsia"/>
          <w:sz w:val="28"/>
          <w:szCs w:val="28"/>
        </w:rPr>
        <w:t xml:space="preserve">，主要原因是</w:t>
      </w:r>
      <w:r>
        <w:rPr>
          <w:rFonts w:hint="eastAsia"/>
          <w:highlight w:val="none"/>
          <w:lang w:val="en-US" w:eastAsia="zh-CN"/>
        </w:rPr>
        <w:t xml:space="preserve">1.全校教育系统业务工作增加；2.中学公招人员增加,增加五险；3.生均公用经费增加。</w:t>
      </w:r>
      <w:r>
        <w:rPr>
          <w:rFonts w:ascii="宋体" w:eastAsia="宋体" w:hAnsi="宋体" w:cs="宋体" w:hint="eastAsia"/>
          <w:sz w:val="28"/>
          <w:szCs w:val="28"/>
        </w:rPr>
        <w:t xml:space="preserve">。中央提前下达2024年一般公共预算转移支付资金安排的支出</w:t>
      </w:r>
      <w:r>
        <w:rPr>
          <w:rFonts w:ascii="宋体" w:eastAsia="宋体" w:hAnsi="宋体" w:cs="宋体" w:hint="eastAsia"/>
          <w:sz w:val="28"/>
          <w:szCs w:val="28"/>
          <w:lang w:val="en-US" w:eastAsia="zh-CN"/>
        </w:rPr>
        <w:t xml:space="preserve">0.00</w:t>
      </w:r>
      <w:r>
        <w:rPr>
          <w:rFonts w:ascii="宋体" w:eastAsia="宋体" w:hAnsi="宋体" w:cs="宋体" w:hint="eastAsia"/>
          <w:sz w:val="28"/>
          <w:szCs w:val="28"/>
        </w:rPr>
        <w:t xml:space="preserve">万元。具体情况为：</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一般公共服务支出</w:t>
      </w:r>
      <w:r>
        <w:rPr>
          <w:rFonts w:ascii="宋体" w:eastAsia="宋体" w:hAnsi="宋体" w:cs="宋体" w:hint="eastAsia"/>
          <w:sz w:val="28"/>
          <w:szCs w:val="28"/>
        </w:rPr>
        <w:t xml:space="preserve">（类）支出</w:t>
      </w:r>
      <w:r>
        <w:rPr>
          <w:rFonts w:ascii="宋体" w:eastAsia="宋体" w:hAnsi="宋体" w:cs="宋体"/>
          <w:sz w:val="28"/>
          <w:u w:color="auto"/>
        </w:rPr>
        <w:t xml:space="preserve">20.77</w:t>
      </w:r>
      <w:r>
        <w:rPr>
          <w:rFonts w:ascii="宋体" w:eastAsia="宋体" w:hAnsi="宋体" w:cs="宋体" w:hint="eastAsia"/>
          <w:sz w:val="28"/>
          <w:szCs w:val="28"/>
        </w:rPr>
        <w:t xml:space="preserve">万元，占支出总预算的</w:t>
      </w:r>
      <w:r>
        <w:rPr>
          <w:rFonts w:ascii="宋体" w:eastAsia="宋体" w:hAnsi="宋体" w:cs="宋体"/>
          <w:sz w:val="28"/>
          <w:u w:color="auto"/>
        </w:rPr>
        <w:t xml:space="preserve">1.39%</w:t>
      </w:r>
      <w:r>
        <w:rPr>
          <w:rFonts w:ascii="宋体" w:eastAsia="宋体" w:hAnsi="宋体" w:cs="宋体" w:hint="eastAsia"/>
          <w:sz w:val="28"/>
          <w:szCs w:val="28"/>
          <w:lang w:eastAsia="zh-CN"/>
        </w:rPr>
        <w:t xml:space="preserve">，</w:t>
      </w:r>
      <w:r>
        <w:rPr>
          <w:rFonts w:ascii="宋体" w:eastAsia="宋体" w:hAnsi="宋体" w:cs="宋体" w:hint="eastAsia"/>
          <w:sz w:val="28"/>
          <w:szCs w:val="28"/>
        </w:rPr>
        <w:t xml:space="preserve">较2023年度预算数</w:t>
      </w:r>
      <w:r>
        <w:rPr>
          <w:rFonts w:ascii="宋体" w:eastAsia="宋体" w:hAnsi="宋体" w:cs="宋体"/>
          <w:sz w:val="28"/>
          <w:u w:color="auto"/>
        </w:rPr>
        <w:t xml:space="preserve">15.79</w:t>
      </w:r>
      <w:r>
        <w:rPr>
          <w:rFonts w:ascii="宋体" w:eastAsia="宋体" w:hAnsi="宋体" w:cs="宋体" w:hint="eastAsia"/>
          <w:sz w:val="28"/>
          <w:szCs w:val="28"/>
        </w:rPr>
        <w:t xml:space="preserve">万元，</w:t>
      </w:r>
      <w:r>
        <w:rPr>
          <w:rFonts w:ascii="宋体" w:eastAsia="宋体" w:hAnsi="宋体" w:cs="宋体"/>
          <w:sz w:val="28"/>
          <w:u w:color="auto"/>
        </w:rPr>
        <w:t xml:space="preserve">增长4.98</w:t>
      </w:r>
      <w:r>
        <w:rPr>
          <w:rFonts w:ascii="宋体" w:eastAsia="宋体" w:hAnsi="宋体" w:cs="宋体" w:hint="eastAsia"/>
          <w:sz w:val="28"/>
          <w:szCs w:val="28"/>
        </w:rPr>
        <w:t xml:space="preserve">万元，</w:t>
      </w:r>
      <w:r>
        <w:rPr>
          <w:rFonts w:ascii="宋体" w:eastAsia="宋体" w:hAnsi="宋体" w:cs="宋体"/>
          <w:sz w:val="28"/>
          <w:u w:color="auto"/>
        </w:rPr>
        <w:t xml:space="preserve">增长31.54%</w:t>
      </w:r>
      <w:r>
        <w:rPr>
          <w:rFonts w:ascii="宋体" w:eastAsia="宋体" w:hAnsi="宋体" w:cs="宋体" w:hint="eastAsia"/>
          <w:sz w:val="28"/>
          <w:szCs w:val="28"/>
        </w:rPr>
        <w:t xml:space="preserve">，主要原因是：</w:t>
      </w:r>
      <w:r>
        <w:rPr>
          <w:rFonts w:hint="eastAsia"/>
          <w:highlight w:val="none"/>
        </w:rPr>
        <w:t xml:space="preserve">1.全校教育系统业务工作增加；2.中学公招人员增加,增加五险；3.生均公用经费增加。</w:t>
      </w:r>
      <w:r>
        <w:rPr>
          <w:rFonts w:ascii="宋体" w:eastAsia="宋体" w:hAnsi="宋体" w:cs="宋体" w:hint="eastAsia"/>
          <w:sz w:val="28"/>
          <w:szCs w:val="28"/>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住房保障支出</w:t>
      </w:r>
      <w:r>
        <w:rPr>
          <w:rFonts w:ascii="宋体" w:eastAsia="宋体" w:hAnsi="宋体" w:cs="宋体" w:hint="eastAsia"/>
          <w:sz w:val="28"/>
          <w:szCs w:val="28"/>
        </w:rPr>
        <w:t xml:space="preserve">（类）支出</w:t>
      </w:r>
      <w:r>
        <w:rPr>
          <w:rFonts w:ascii="宋体" w:eastAsia="宋体" w:hAnsi="宋体" w:cs="宋体"/>
          <w:sz w:val="28"/>
          <w:u w:color="auto"/>
        </w:rPr>
        <w:t xml:space="preserve">141.18</w:t>
      </w:r>
      <w:r>
        <w:rPr>
          <w:rFonts w:ascii="宋体" w:eastAsia="宋体" w:hAnsi="宋体" w:cs="宋体" w:hint="eastAsia"/>
          <w:sz w:val="28"/>
          <w:szCs w:val="28"/>
        </w:rPr>
        <w:t xml:space="preserve">万元，占支出总预算的</w:t>
      </w:r>
      <w:r>
        <w:rPr>
          <w:rFonts w:ascii="宋体" w:eastAsia="宋体" w:hAnsi="宋体" w:cs="宋体"/>
          <w:sz w:val="28"/>
          <w:u w:color="auto"/>
        </w:rPr>
        <w:t xml:space="preserve">9.48%</w:t>
      </w:r>
      <w:r>
        <w:rPr>
          <w:rFonts w:ascii="宋体" w:eastAsia="宋体" w:hAnsi="宋体" w:cs="宋体" w:hint="eastAsia"/>
          <w:sz w:val="28"/>
          <w:szCs w:val="28"/>
          <w:lang w:eastAsia="zh-CN"/>
        </w:rPr>
        <w:t xml:space="preserve">，</w:t>
      </w:r>
      <w:r>
        <w:rPr>
          <w:rFonts w:ascii="宋体" w:eastAsia="宋体" w:hAnsi="宋体" w:cs="宋体" w:hint="eastAsia"/>
          <w:sz w:val="28"/>
          <w:szCs w:val="28"/>
        </w:rPr>
        <w:t xml:space="preserve">较2023年度预算数</w:t>
      </w:r>
      <w:r>
        <w:rPr>
          <w:rFonts w:ascii="宋体" w:eastAsia="宋体" w:hAnsi="宋体" w:cs="宋体"/>
          <w:sz w:val="28"/>
          <w:u w:color="auto"/>
        </w:rPr>
        <w:t xml:space="preserve">98.27</w:t>
      </w:r>
      <w:r>
        <w:rPr>
          <w:rFonts w:ascii="宋体" w:eastAsia="宋体" w:hAnsi="宋体" w:cs="宋体" w:hint="eastAsia"/>
          <w:sz w:val="28"/>
          <w:szCs w:val="28"/>
        </w:rPr>
        <w:t xml:space="preserve">万元，</w:t>
      </w:r>
      <w:r>
        <w:rPr>
          <w:rFonts w:ascii="宋体" w:eastAsia="宋体" w:hAnsi="宋体" w:cs="宋体"/>
          <w:sz w:val="28"/>
          <w:u w:color="auto"/>
        </w:rPr>
        <w:t xml:space="preserve">增长42.91</w:t>
      </w:r>
      <w:r>
        <w:rPr>
          <w:rFonts w:ascii="宋体" w:eastAsia="宋体" w:hAnsi="宋体" w:cs="宋体" w:hint="eastAsia"/>
          <w:sz w:val="28"/>
          <w:szCs w:val="28"/>
        </w:rPr>
        <w:t xml:space="preserve">万元，</w:t>
      </w:r>
      <w:r>
        <w:rPr>
          <w:rFonts w:ascii="宋体" w:eastAsia="宋体" w:hAnsi="宋体" w:cs="宋体"/>
          <w:sz w:val="28"/>
          <w:u w:color="auto"/>
        </w:rPr>
        <w:t xml:space="preserve">增长43.67%</w:t>
      </w:r>
      <w:r>
        <w:rPr>
          <w:rFonts w:ascii="宋体" w:eastAsia="宋体" w:hAnsi="宋体" w:cs="宋体" w:hint="eastAsia"/>
          <w:sz w:val="28"/>
          <w:szCs w:val="28"/>
        </w:rPr>
        <w:t xml:space="preserve">，主要原因是：</w:t>
      </w:r>
      <w:r>
        <w:rPr>
          <w:rFonts w:hint="eastAsia"/>
          <w:highlight w:val="none"/>
        </w:rPr>
        <w:t xml:space="preserve">1.工资标准比2023年有所提高；2.养老保险及住房公积金缴纳基数提高；3.教育系统干部职工年终绩效考评增量奖励金基数增加;4.公开招聘教师增加。</w:t>
      </w:r>
      <w:r>
        <w:rPr>
          <w:rFonts w:ascii="宋体" w:eastAsia="宋体" w:hAnsi="宋体" w:cs="宋体" w:hint="eastAsia"/>
          <w:sz w:val="28"/>
          <w:szCs w:val="28"/>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教育支出</w:t>
      </w:r>
      <w:r>
        <w:rPr>
          <w:rFonts w:ascii="宋体" w:eastAsia="宋体" w:hAnsi="宋体" w:cs="宋体" w:hint="eastAsia"/>
          <w:sz w:val="28"/>
          <w:szCs w:val="28"/>
        </w:rPr>
        <w:t xml:space="preserve">（类）支出</w:t>
      </w:r>
      <w:r>
        <w:rPr>
          <w:rFonts w:ascii="宋体" w:eastAsia="宋体" w:hAnsi="宋体" w:cs="宋体"/>
          <w:sz w:val="28"/>
          <w:u w:color="auto"/>
        </w:rPr>
        <w:t xml:space="preserve">1161.07</w:t>
      </w:r>
      <w:r>
        <w:rPr>
          <w:rFonts w:ascii="宋体" w:eastAsia="宋体" w:hAnsi="宋体" w:cs="宋体" w:hint="eastAsia"/>
          <w:sz w:val="28"/>
          <w:szCs w:val="28"/>
        </w:rPr>
        <w:t xml:space="preserve">万元，占支出总预算的</w:t>
      </w:r>
      <w:r>
        <w:rPr>
          <w:rFonts w:ascii="宋体" w:eastAsia="宋体" w:hAnsi="宋体" w:cs="宋体"/>
          <w:sz w:val="28"/>
          <w:u w:color="auto"/>
        </w:rPr>
        <w:t xml:space="preserve">77.97%</w:t>
      </w:r>
      <w:r>
        <w:rPr>
          <w:rFonts w:ascii="宋体" w:eastAsia="宋体" w:hAnsi="宋体" w:cs="宋体" w:hint="eastAsia"/>
          <w:sz w:val="28"/>
          <w:szCs w:val="28"/>
          <w:lang w:eastAsia="zh-CN"/>
        </w:rPr>
        <w:t xml:space="preserve">，</w:t>
      </w:r>
      <w:r>
        <w:rPr>
          <w:rFonts w:ascii="宋体" w:eastAsia="宋体" w:hAnsi="宋体" w:cs="宋体" w:hint="eastAsia"/>
          <w:sz w:val="28"/>
          <w:szCs w:val="28"/>
        </w:rPr>
        <w:t xml:space="preserve">较2023年度预算数</w:t>
      </w:r>
      <w:r>
        <w:rPr>
          <w:rFonts w:ascii="宋体" w:eastAsia="宋体" w:hAnsi="宋体" w:cs="宋体"/>
          <w:sz w:val="28"/>
          <w:u w:color="auto"/>
        </w:rPr>
        <w:t xml:space="preserve">812.50</w:t>
      </w:r>
      <w:r>
        <w:rPr>
          <w:rFonts w:ascii="宋体" w:eastAsia="宋体" w:hAnsi="宋体" w:cs="宋体" w:hint="eastAsia"/>
          <w:sz w:val="28"/>
          <w:szCs w:val="28"/>
        </w:rPr>
        <w:t xml:space="preserve">万元，</w:t>
      </w:r>
      <w:r>
        <w:rPr>
          <w:rFonts w:ascii="宋体" w:eastAsia="宋体" w:hAnsi="宋体" w:cs="宋体"/>
          <w:sz w:val="28"/>
          <w:u w:color="auto"/>
        </w:rPr>
        <w:t xml:space="preserve">增长348.57</w:t>
      </w:r>
      <w:r>
        <w:rPr>
          <w:rFonts w:ascii="宋体" w:eastAsia="宋体" w:hAnsi="宋体" w:cs="宋体" w:hint="eastAsia"/>
          <w:sz w:val="28"/>
          <w:szCs w:val="28"/>
        </w:rPr>
        <w:t xml:space="preserve">万元，</w:t>
      </w:r>
      <w:r>
        <w:rPr>
          <w:rFonts w:ascii="宋体" w:eastAsia="宋体" w:hAnsi="宋体" w:cs="宋体"/>
          <w:sz w:val="28"/>
          <w:u w:color="auto"/>
        </w:rPr>
        <w:t xml:space="preserve">增长42.90%</w:t>
      </w:r>
      <w:r>
        <w:rPr>
          <w:rFonts w:ascii="宋体" w:eastAsia="宋体" w:hAnsi="宋体" w:cs="宋体" w:hint="eastAsia"/>
          <w:sz w:val="28"/>
          <w:szCs w:val="28"/>
        </w:rPr>
        <w:t xml:space="preserve">，主要原因是：</w:t>
      </w:r>
      <w:r>
        <w:rPr>
          <w:rFonts w:hint="eastAsia"/>
          <w:highlight w:val="none"/>
        </w:rPr>
        <w:t xml:space="preserve">1.全校教育系统业务工作增加；2.中学公招人员增加,增加五险；3.生均公用经费增加。</w:t>
      </w:r>
      <w:r>
        <w:rPr>
          <w:rFonts w:ascii="宋体" w:eastAsia="宋体" w:hAnsi="宋体" w:cs="宋体" w:hint="eastAsia"/>
          <w:sz w:val="28"/>
          <w:szCs w:val="28"/>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社会保障和就业支出</w:t>
      </w:r>
      <w:r>
        <w:rPr>
          <w:rFonts w:ascii="宋体" w:eastAsia="宋体" w:hAnsi="宋体" w:cs="宋体" w:hint="eastAsia"/>
          <w:sz w:val="28"/>
          <w:szCs w:val="28"/>
        </w:rPr>
        <w:t xml:space="preserve">（类）支出</w:t>
      </w:r>
      <w:r>
        <w:rPr>
          <w:rFonts w:ascii="宋体" w:eastAsia="宋体" w:hAnsi="宋体" w:cs="宋体"/>
          <w:sz w:val="28"/>
          <w:u w:color="auto"/>
        </w:rPr>
        <w:t xml:space="preserve">166.17</w:t>
      </w:r>
      <w:r>
        <w:rPr>
          <w:rFonts w:ascii="宋体" w:eastAsia="宋体" w:hAnsi="宋体" w:cs="宋体" w:hint="eastAsia"/>
          <w:sz w:val="28"/>
          <w:szCs w:val="28"/>
        </w:rPr>
        <w:t xml:space="preserve">万元，占支出总预算的</w:t>
      </w:r>
      <w:r>
        <w:rPr>
          <w:rFonts w:ascii="宋体" w:eastAsia="宋体" w:hAnsi="宋体" w:cs="宋体"/>
          <w:sz w:val="28"/>
          <w:u w:color="auto"/>
        </w:rPr>
        <w:t xml:space="preserve">11.16%</w:t>
      </w:r>
      <w:r>
        <w:rPr>
          <w:rFonts w:ascii="宋体" w:eastAsia="宋体" w:hAnsi="宋体" w:cs="宋体" w:hint="eastAsia"/>
          <w:sz w:val="28"/>
          <w:szCs w:val="28"/>
          <w:lang w:eastAsia="zh-CN"/>
        </w:rPr>
        <w:t xml:space="preserve">，</w:t>
      </w:r>
      <w:r>
        <w:rPr>
          <w:rFonts w:ascii="宋体" w:eastAsia="宋体" w:hAnsi="宋体" w:cs="宋体" w:hint="eastAsia"/>
          <w:sz w:val="28"/>
          <w:szCs w:val="28"/>
        </w:rPr>
        <w:t xml:space="preserve">较2023年度预算数</w:t>
      </w:r>
      <w:r>
        <w:rPr>
          <w:rFonts w:ascii="宋体" w:eastAsia="宋体" w:hAnsi="宋体" w:cs="宋体"/>
          <w:sz w:val="28"/>
          <w:u w:color="auto"/>
        </w:rPr>
        <w:t xml:space="preserve">131.02</w:t>
      </w:r>
      <w:r>
        <w:rPr>
          <w:rFonts w:ascii="宋体" w:eastAsia="宋体" w:hAnsi="宋体" w:cs="宋体" w:hint="eastAsia"/>
          <w:sz w:val="28"/>
          <w:szCs w:val="28"/>
        </w:rPr>
        <w:t xml:space="preserve">万元，</w:t>
      </w:r>
      <w:r>
        <w:rPr>
          <w:rFonts w:ascii="宋体" w:eastAsia="宋体" w:hAnsi="宋体" w:cs="宋体"/>
          <w:sz w:val="28"/>
          <w:u w:color="auto"/>
        </w:rPr>
        <w:t xml:space="preserve">增长35.15</w:t>
      </w:r>
      <w:r>
        <w:rPr>
          <w:rFonts w:ascii="宋体" w:eastAsia="宋体" w:hAnsi="宋体" w:cs="宋体" w:hint="eastAsia"/>
          <w:sz w:val="28"/>
          <w:szCs w:val="28"/>
        </w:rPr>
        <w:t xml:space="preserve">万元，</w:t>
      </w:r>
      <w:r>
        <w:rPr>
          <w:rFonts w:ascii="宋体" w:eastAsia="宋体" w:hAnsi="宋体" w:cs="宋体"/>
          <w:sz w:val="28"/>
          <w:u w:color="auto"/>
        </w:rPr>
        <w:t xml:space="preserve">增长26.83%</w:t>
      </w:r>
      <w:r>
        <w:rPr>
          <w:rFonts w:ascii="宋体" w:eastAsia="宋体" w:hAnsi="宋体" w:cs="宋体" w:hint="eastAsia"/>
          <w:sz w:val="28"/>
          <w:szCs w:val="28"/>
        </w:rPr>
        <w:t xml:space="preserve">，主要原因是：</w:t>
      </w:r>
      <w:r>
        <w:rPr>
          <w:rFonts w:hint="eastAsia"/>
          <w:highlight w:val="none"/>
        </w:rPr>
        <w:t xml:space="preserve">1.中学公招教师人员增加,增加五险；2.生均公用经费增加。</w:t>
      </w:r>
      <w:r>
        <w:rPr>
          <w:rFonts w:ascii="宋体" w:eastAsia="宋体" w:hAnsi="宋体" w:cs="宋体" w:hint="eastAsia"/>
          <w:sz w:val="28"/>
          <w:szCs w:val="28"/>
        </w:rPr>
        <w:t xml:space="preserve">。</w:t>
      </w:r>
    </w:p>
    <w:p>
      <w:pPr>
        <w:pStyle w:val="Bodytext|2"/>
        <w:keepNext w:val="0"/>
        <w:keepLines w:val="0"/>
        <w:pageBreakBefore w:val="0"/>
        <w:widowControl w:val="0"/>
        <w:kinsoku/>
        <w:wordWrap/>
        <w:overflowPunct/>
        <w:topLinePunct w:val="0"/>
        <w:autoSpaceDE/>
        <w:autoSpaceDN/>
        <w:bidi w:val="0"/>
        <w:adjustRightInd/>
        <w:snapToGrid/>
        <w:spacing w:before="120" w:after="0" w:line="600" w:lineRule="exact"/>
        <w:ind w:firstLine="618"/>
        <w:jc w:val="left"/>
        <w:textAlignment w:val="auto"/>
        <w:rPr>
          <w:rFonts w:hint="eastAsia"/>
          <w:b/>
          <w:bCs/>
          <w:lang w:val="en-US" w:eastAsia="zh-CN"/>
        </w:rPr>
      </w:pPr>
      <w:r>
        <w:rPr>
          <w:rFonts w:hint="eastAsia"/>
          <w:b/>
          <w:bCs/>
          <w:lang w:val="en-US" w:eastAsia="zh-CN"/>
        </w:rPr>
        <w:t xml:space="preserve">六、一般公共预算基本支出情况说明</w:t>
      </w:r>
    </w:p>
    <w:p>
      <w:pPr>
        <w:pStyle w:val="Bodytext|2"/>
        <w:spacing w:after="0"/>
        <w:ind w:firstLine="0"/>
        <w:jc w:val="left"/>
        <w:rPr>
          <w:highlight w:val="yellow"/>
          <w:lang w:val="en-US" w:eastAsia="zh-CN"/>
        </w:rPr>
      </w:pPr>
      <w:r>
        <w:rPr>
          <w:highlight w:val="none"/>
          <w:lang w:val="en-US" w:eastAsia="zh-CN"/>
        </w:rPr>
        <w:drawing>
          <wp:inline distT="0" distB="0" distL="114300" distR="114300">
            <wp:extent cx="5080000" cy="3810000"/>
            <wp:effectExtent l="4445" t="4445" r="20955" b="14605"/>
            <wp:docPr id="2556" name="图表 3" title="{{rep6_yb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12"/>
              </a:graphicData>
            </a:graphic>
          </wp:inline>
        </w:drawing>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hint="eastAsia"/>
          <w:lang w:val="en-US" w:eastAsia="zh-CN"/>
        </w:rPr>
      </w:pPr>
      <w:r>
        <w:rPr>
          <w:rFonts w:hint="eastAsia"/>
          <w:lang w:val="en-US" w:eastAsia="zh-CN"/>
        </w:rPr>
        <w:t xml:space="preserve">2024</w:t>
      </w:r>
      <w:r>
        <w:rPr>
          <w:u w:color="auto"/>
        </w:rPr>
        <w:t xml:space="preserve">年</w:t>
      </w:r>
      <w:r>
        <w:rPr>
          <w:rFonts w:hint="eastAsia"/>
        </w:rPr>
        <w:t xml:space="preserve">一般公共预算基本支出共</w:t>
      </w:r>
      <w:r>
        <w:rPr>
          <w:rFonts w:hint="eastAsia"/>
          <w:lang w:val="en-US" w:eastAsia="zh-CN"/>
        </w:rPr>
        <w:t xml:space="preserve">1404.64</w:t>
      </w:r>
      <w:r>
        <w:rPr>
          <w:rFonts w:hint="eastAsia"/>
        </w:rPr>
        <w:t xml:space="preserve">万元，较2023年度预算数</w:t>
      </w:r>
      <w:r>
        <w:rPr>
          <w:rFonts w:hint="eastAsia"/>
          <w:lang w:val="en-US" w:eastAsia="zh-CN"/>
        </w:rPr>
        <w:t xml:space="preserve">984.62</w:t>
      </w:r>
      <w:r>
        <w:rPr>
          <w:rFonts w:hint="eastAsia"/>
        </w:rPr>
        <w:t xml:space="preserve">万元</w:t>
      </w:r>
      <w:r>
        <w:rPr>
          <w:rFonts w:hint="eastAsia"/>
          <w:lang w:val="en-US" w:eastAsia="zh-CN"/>
        </w:rPr>
        <w:t xml:space="preserve">,</w:t>
      </w:r>
      <w:r>
        <w:rPr>
          <w:u w:color="auto"/>
        </w:rPr>
        <w:t xml:space="preserve">增加420.02</w:t>
      </w:r>
      <w:r>
        <w:rPr>
          <w:rFonts w:hint="eastAsia"/>
        </w:rPr>
        <w:t xml:space="preserve">万元，</w:t>
      </w:r>
      <w:r>
        <w:rPr>
          <w:rFonts w:hint="eastAsia"/>
          <w:lang w:val="en-US" w:eastAsia="zh-CN"/>
        </w:rPr>
        <w:t xml:space="preserve">增长42.66%</w:t>
      </w:r>
      <w:r>
        <w:rPr>
          <w:rFonts w:hint="eastAsia"/>
        </w:rPr>
        <w:t xml:space="preserve">，主要原因是</w:t>
      </w:r>
      <w:r>
        <w:rPr>
          <w:rFonts w:hint="eastAsia"/>
          <w:highlight w:val="none"/>
          <w:lang w:val="en-US" w:eastAsia="zh-CN"/>
        </w:rPr>
        <w:t xml:space="preserve">中学公招人员增加,岗位提高，薪级晋升变化。</w:t>
      </w:r>
      <w:r>
        <w:rPr>
          <w:rFonts w:hint="eastAsia"/>
        </w:rPr>
        <w:t xml:space="preserve">具体情况为：</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0"/>
        <w:jc w:val="left"/>
        <w:textAlignment w:val="auto"/>
        <w:rPr>
          <w:rFonts w:hint="default"/>
          <w:lang w:val="en-US" w:eastAsia="zh-CN"/>
        </w:rPr>
      </w:pPr>
      <w:r>
        <w:rPr>
          <w:rFonts w:hint="eastAsia"/>
          <w:lang w:val="en-US" w:eastAsia="zh-CN"/>
        </w:rPr>
        <w:t xml:space="preserve">工资福利支出</w:t>
      </w:r>
      <w:r>
        <w:rPr>
          <w:rFonts w:hint="eastAsia"/>
        </w:rPr>
        <w:t xml:space="preserve">支出预算</w:t>
      </w:r>
      <w:r>
        <w:rPr>
          <w:rFonts w:hint="eastAsia"/>
          <w:lang w:val="en-US" w:eastAsia="zh-CN"/>
        </w:rPr>
        <w:t xml:space="preserve">1383.87</w:t>
      </w:r>
      <w:r>
        <w:t xml:space="preserve">万元</w:t>
      </w:r>
      <w:r>
        <w:rPr>
          <w:rFonts w:hint="eastAsia"/>
          <w:lang w:eastAsia="zh-CN"/>
        </w:rPr>
        <w:t xml:space="preserve">，</w:t>
      </w:r>
      <w:r>
        <w:rPr>
          <w:rFonts w:hint="eastAsia"/>
        </w:rPr>
        <w:t xml:space="preserve">占基本支出预算的</w:t>
      </w:r>
      <w:r>
        <w:rPr>
          <w:rFonts w:hint="eastAsia"/>
          <w:lang w:val="en-US" w:eastAsia="zh-CN"/>
        </w:rPr>
        <w:t xml:space="preserve">98.52%</w:t>
      </w:r>
      <w:r>
        <w:rPr>
          <w:rFonts w:hint="eastAsia"/>
        </w:rPr>
        <w:t xml:space="preserve">，较2023年度预算数</w:t>
      </w:r>
      <w:r>
        <w:rPr>
          <w:rFonts w:hint="eastAsia"/>
          <w:lang w:val="en-US" w:eastAsia="zh-CN"/>
        </w:rPr>
        <w:t xml:space="preserve">959.64</w:t>
      </w:r>
      <w:r>
        <w:rPr>
          <w:rFonts w:hint="eastAsia"/>
        </w:rPr>
        <w:t xml:space="preserve">万元，</w:t>
      </w:r>
      <w:r>
        <w:rPr>
          <w:rFonts w:hint="eastAsia"/>
          <w:lang w:val="en-US" w:eastAsia="zh-CN"/>
        </w:rPr>
        <w:t xml:space="preserve">增长424.23</w:t>
      </w:r>
      <w:r>
        <w:rPr>
          <w:rFonts w:hint="eastAsia"/>
        </w:rPr>
        <w:t xml:space="preserve">万元，</w:t>
      </w:r>
      <w:r>
        <w:rPr>
          <w:rFonts w:hint="eastAsia"/>
          <w:lang w:val="en-US" w:eastAsia="zh-CN"/>
        </w:rPr>
        <w:t xml:space="preserve">增长44.21%</w:t>
      </w:r>
      <w:r>
        <w:rPr>
          <w:rFonts w:hint="eastAsia"/>
        </w:rPr>
        <w:t xml:space="preserve">，主要原因是：</w:t>
      </w:r>
      <w:r>
        <w:rPr>
          <w:rFonts w:hint="eastAsia"/>
          <w:highlight w:val="none"/>
        </w:rPr>
        <w:t xml:space="preserve">中学公招人员增加,岗位提高，薪级晋升变化。</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0"/>
        <w:jc w:val="left"/>
        <w:textAlignment w:val="auto"/>
        <w:rPr>
          <w:rFonts w:hint="default"/>
          <w:lang w:val="en-US" w:eastAsia="zh-CN"/>
        </w:rPr>
      </w:pPr>
      <w:r>
        <w:rPr>
          <w:rFonts w:hint="eastAsia"/>
          <w:lang w:val="en-US" w:eastAsia="zh-CN"/>
        </w:rPr>
        <w:t xml:space="preserve">对个人和家庭的补助</w:t>
      </w:r>
      <w:r>
        <w:rPr>
          <w:rFonts w:hint="eastAsia"/>
        </w:rPr>
        <w:t xml:space="preserve">支出预算</w:t>
      </w:r>
      <w:r>
        <w:rPr>
          <w:rFonts w:hint="eastAsia"/>
          <w:lang w:val="en-US" w:eastAsia="zh-CN"/>
        </w:rPr>
        <w:t xml:space="preserve">0.00</w:t>
      </w:r>
      <w:r>
        <w:t xml:space="preserve">万元</w:t>
      </w:r>
      <w:r>
        <w:rPr>
          <w:rFonts w:hint="eastAsia"/>
          <w:lang w:eastAsia="zh-CN"/>
        </w:rPr>
        <w:t xml:space="preserve">，</w:t>
      </w:r>
      <w:r>
        <w:rPr>
          <w:rFonts w:hint="eastAsia"/>
        </w:rPr>
        <w:t xml:space="preserve">占基本支出预算的</w:t>
      </w:r>
      <w:r>
        <w:rPr>
          <w:rFonts w:hint="eastAsia"/>
          <w:lang w:val="en-US" w:eastAsia="zh-CN"/>
        </w:rPr>
        <w:t xml:space="preserve">0.00%</w:t>
      </w:r>
      <w:r>
        <w:rPr>
          <w:rFonts w:hint="eastAsia"/>
        </w:rPr>
        <w:t xml:space="preserve">，较2023年度预算数</w:t>
      </w:r>
      <w:r>
        <w:rPr>
          <w:rFonts w:hint="eastAsia"/>
          <w:lang w:val="en-US" w:eastAsia="zh-CN"/>
        </w:rPr>
        <w:t xml:space="preserve">9.19</w:t>
      </w:r>
      <w:r>
        <w:rPr>
          <w:rFonts w:hint="eastAsia"/>
        </w:rPr>
        <w:t xml:space="preserve">万元，</w:t>
      </w:r>
      <w:r>
        <w:rPr>
          <w:rFonts w:hint="eastAsia"/>
          <w:lang w:val="en-US" w:eastAsia="zh-CN"/>
        </w:rPr>
        <w:t xml:space="preserve">减少9.19</w:t>
      </w:r>
      <w:r>
        <w:rPr>
          <w:rFonts w:hint="eastAsia"/>
        </w:rPr>
        <w:t xml:space="preserve">万元，</w:t>
      </w:r>
      <w:r>
        <w:rPr>
          <w:rFonts w:hint="eastAsia"/>
          <w:lang w:val="en-US" w:eastAsia="zh-CN"/>
        </w:rPr>
        <w:t xml:space="preserve">减少100.00%</w:t>
      </w:r>
      <w:r>
        <w:rPr>
          <w:rFonts w:hint="eastAsia"/>
        </w:rPr>
        <w:t xml:space="preserve">，主要原因是：</w:t>
      </w:r>
      <w:r>
        <w:rPr>
          <w:rFonts w:hint="eastAsia"/>
          <w:highlight w:val="none"/>
        </w:rPr>
        <w:t xml:space="preserve">符合条件的补助对象减少</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0"/>
        <w:jc w:val="left"/>
        <w:textAlignment w:val="auto"/>
        <w:rPr>
          <w:rFonts w:hint="default"/>
          <w:lang w:val="en-US" w:eastAsia="zh-CN"/>
        </w:rPr>
      </w:pPr>
      <w:r>
        <w:rPr>
          <w:rFonts w:hint="eastAsia"/>
          <w:lang w:val="en-US" w:eastAsia="zh-CN"/>
        </w:rPr>
        <w:t xml:space="preserve">商品和服务支出</w:t>
      </w:r>
      <w:r>
        <w:rPr>
          <w:rFonts w:hint="eastAsia"/>
        </w:rPr>
        <w:t xml:space="preserve">支出预算</w:t>
      </w:r>
      <w:r>
        <w:rPr>
          <w:rFonts w:hint="eastAsia"/>
          <w:lang w:val="en-US" w:eastAsia="zh-CN"/>
        </w:rPr>
        <w:t xml:space="preserve">20.77</w:t>
      </w:r>
      <w:r>
        <w:t xml:space="preserve">万元</w:t>
      </w:r>
      <w:r>
        <w:rPr>
          <w:rFonts w:hint="eastAsia"/>
          <w:lang w:eastAsia="zh-CN"/>
        </w:rPr>
        <w:t xml:space="preserve">，</w:t>
      </w:r>
      <w:r>
        <w:rPr>
          <w:rFonts w:hint="eastAsia"/>
        </w:rPr>
        <w:t xml:space="preserve">占基本支出预算的</w:t>
      </w:r>
      <w:r>
        <w:rPr>
          <w:rFonts w:hint="eastAsia"/>
          <w:lang w:val="en-US" w:eastAsia="zh-CN"/>
        </w:rPr>
        <w:t xml:space="preserve">1.48%</w:t>
      </w:r>
      <w:r>
        <w:rPr>
          <w:rFonts w:hint="eastAsia"/>
        </w:rPr>
        <w:t xml:space="preserve">，较2023年度预算数</w:t>
      </w:r>
      <w:r>
        <w:rPr>
          <w:rFonts w:hint="eastAsia"/>
          <w:lang w:val="en-US" w:eastAsia="zh-CN"/>
        </w:rPr>
        <w:t xml:space="preserve">15.79</w:t>
      </w:r>
      <w:r>
        <w:rPr>
          <w:rFonts w:hint="eastAsia"/>
        </w:rPr>
        <w:t xml:space="preserve">万元，</w:t>
      </w:r>
      <w:r>
        <w:rPr>
          <w:rFonts w:hint="eastAsia"/>
          <w:lang w:val="en-US" w:eastAsia="zh-CN"/>
        </w:rPr>
        <w:t xml:space="preserve">增长4.98</w:t>
      </w:r>
      <w:r>
        <w:rPr>
          <w:rFonts w:hint="eastAsia"/>
        </w:rPr>
        <w:t xml:space="preserve">万元，</w:t>
      </w:r>
      <w:r>
        <w:rPr>
          <w:rFonts w:hint="eastAsia"/>
          <w:lang w:val="en-US" w:eastAsia="zh-CN"/>
        </w:rPr>
        <w:t xml:space="preserve">增长31.54%</w:t>
      </w:r>
      <w:r>
        <w:rPr>
          <w:rFonts w:hint="eastAsia"/>
        </w:rPr>
        <w:t xml:space="preserve">，主要原因是：</w:t>
      </w:r>
      <w:r>
        <w:rPr>
          <w:rFonts w:hint="eastAsia"/>
          <w:highlight w:val="none"/>
        </w:rPr>
        <w:t xml:space="preserve">1.全校教育系统业务工作增加；2.生均公用经费增加。</w:t>
      </w:r>
    </w:p>
    <w:p>
      <w:pPr>
        <w:pStyle w:val="Bodytext|2"/>
        <w:spacing w:after="0" w:line="619" w:lineRule="exact"/>
        <w:ind w:firstLine="620"/>
        <w:jc w:val="left"/>
        <w:rPr>
          <w:rFonts w:hint="eastAsia"/>
          <w:b/>
          <w:bCs/>
        </w:rPr>
      </w:pPr>
      <w:r>
        <w:rPr>
          <w:rFonts w:hint="eastAsia"/>
          <w:b/>
          <w:bCs/>
          <w:lang w:val="en-US" w:eastAsia="zh-CN"/>
        </w:rPr>
        <w:t xml:space="preserve">七、一般公共预算</w:t>
      </w:r>
      <w:r>
        <w:rPr>
          <w:rFonts w:hint="eastAsia"/>
          <w:b/>
          <w:bCs/>
          <w:lang w:val="zh-CN" w:eastAsia="zh-CN"/>
        </w:rPr>
        <w:t xml:space="preserve">“三</w:t>
      </w:r>
      <w:r>
        <w:rPr>
          <w:rFonts w:hint="eastAsia"/>
          <w:b/>
          <w:bCs/>
          <w:lang w:val="en-US" w:eastAsia="zh-CN"/>
        </w:rPr>
        <w:t xml:space="preserve">公”经费支出情况说明</w:t>
      </w:r>
    </w:p>
    <w:p>
      <w:pPr>
        <w:pStyle w:val="Bodytext|2"/>
        <w:spacing w:after="0"/>
        <w:ind w:firstLine="0"/>
        <w:jc w:val="left"/>
        <w:rPr>
          <w:highlight w:val="yellow"/>
          <w:lang w:val="en-US" w:eastAsia="zh-CN"/>
        </w:rPr>
      </w:pPr>
      <w:r>
        <w:rPr>
          <w:rFonts w:hint="eastAsia"/>
          <w:highlight w:val="none"/>
          <w:lang w:val="en-US" w:eastAsia="zh-CN"/>
        </w:rPr>
        <w:drawing>
          <wp:inline distT="0" distB="0" distL="114300" distR="114300">
            <wp:extent cx="5080000" cy="3810000"/>
            <wp:effectExtent l="4445" t="4445" r="5715" b="10795"/>
            <wp:docPr id="2557" name="图表 23" title="{{img_sgzc_ys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13"/>
              </a:graphicData>
            </a:graphic>
          </wp:inline>
        </w:drawing>
      </w:r>
    </w:p>
    <w:p>
      <w:pPr>
        <w:pStyle w:val="Bodytext|2"/>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hint="eastAsia"/>
          <w:b w:val="0"/>
          <w:bCs w:val="0"/>
          <w:sz w:val="28"/>
          <w:szCs w:val="28"/>
          <w:lang w:eastAsia="zh-CN"/>
        </w:rPr>
      </w:pPr>
      <w:bookmarkStart w:id="15" w:name="bookmark90"/>
      <w:r>
        <w:rPr>
          <w:rFonts w:hint="eastAsia"/>
          <w:b w:val="0"/>
          <w:bCs w:val="0"/>
          <w:sz w:val="28"/>
          <w:szCs w:val="28"/>
          <w:lang w:eastAsia="zh-CN"/>
        </w:rPr>
        <w:t xml:space="preserve">（</w:t>
      </w:r>
      <w:r>
        <w:rPr>
          <w:rFonts w:hint="eastAsia"/>
          <w:b w:val="0"/>
          <w:bCs w:val="0"/>
          <w:sz w:val="28"/>
          <w:szCs w:val="28"/>
          <w:lang w:val="en-US" w:eastAsia="zh-CN"/>
        </w:rPr>
        <w:t xml:space="preserve">一</w:t>
      </w:r>
      <w:r>
        <w:rPr>
          <w:rFonts w:hint="eastAsia"/>
          <w:b w:val="0"/>
          <w:bCs w:val="0"/>
          <w:sz w:val="28"/>
          <w:szCs w:val="28"/>
          <w:lang w:eastAsia="zh-CN"/>
        </w:rPr>
        <w:t xml:space="preserve">）</w:t>
      </w:r>
      <w:r>
        <w:rPr>
          <w:sz w:val="28"/>
          <w:u w:color="auto"/>
        </w:rPr>
        <w:t xml:space="preserve">2024</w:t>
      </w:r>
      <w:r>
        <w:rPr>
          <w:sz w:val="28"/>
          <w:u w:color="auto"/>
        </w:rPr>
        <w:t xml:space="preserve">年部门预算共安排</w:t>
      </w:r>
      <w:r>
        <w:rPr>
          <w:rFonts w:hint="eastAsia"/>
          <w:b w:val="0"/>
          <w:bCs w:val="0"/>
          <w:sz w:val="28"/>
          <w:szCs w:val="28"/>
          <w:lang w:val="zh-CN" w:eastAsia="zh-CN"/>
        </w:rPr>
        <w:t xml:space="preserve">“三公</w:t>
      </w:r>
      <w:r>
        <w:rPr>
          <w:rFonts w:hint="eastAsia"/>
          <w:b w:val="0"/>
          <w:bCs w:val="0"/>
          <w:sz w:val="28"/>
          <w:szCs w:val="28"/>
          <w:lang w:val="en-US" w:eastAsia="zh-CN"/>
        </w:rPr>
        <w:t xml:space="preserve">"</w:t>
      </w:r>
      <w:r>
        <w:rPr>
          <w:rFonts w:hint="eastAsia"/>
          <w:b w:val="0"/>
          <w:bCs w:val="0"/>
          <w:sz w:val="28"/>
          <w:szCs w:val="28"/>
          <w:lang w:eastAsia="zh-CN"/>
        </w:rPr>
        <w:t xml:space="preserve">经费支出预算</w:t>
      </w:r>
      <w:r>
        <w:rPr>
          <w:rFonts w:hint="eastAsia"/>
          <w:b w:val="0"/>
          <w:bCs w:val="0"/>
          <w:sz w:val="28"/>
          <w:szCs w:val="28"/>
          <w:lang w:val="en-US" w:eastAsia="zh-CN"/>
        </w:rPr>
        <w:t xml:space="preserve">0.00</w:t>
      </w:r>
      <w:r>
        <w:rPr>
          <w:rFonts w:hint="eastAsia"/>
          <w:b w:val="0"/>
          <w:bCs w:val="0"/>
          <w:sz w:val="28"/>
          <w:szCs w:val="28"/>
          <w:lang w:eastAsia="zh-CN"/>
        </w:rPr>
        <w:t xml:space="preserve">万元（全口径），其中：因公出国（境）经费支出预算</w:t>
      </w:r>
      <w:r>
        <w:rPr>
          <w:rFonts w:hint="eastAsia"/>
          <w:b w:val="0"/>
          <w:bCs w:val="0"/>
          <w:sz w:val="28"/>
          <w:szCs w:val="28"/>
          <w:lang w:val="en-US" w:eastAsia="zh-CN"/>
        </w:rPr>
        <w:t xml:space="preserve">0.00</w:t>
      </w:r>
      <w:r>
        <w:rPr>
          <w:rFonts w:hint="eastAsia"/>
          <w:b w:val="0"/>
          <w:bCs w:val="0"/>
          <w:sz w:val="28"/>
          <w:szCs w:val="28"/>
          <w:lang w:eastAsia="zh-CN"/>
        </w:rPr>
        <w:t xml:space="preserve">万元，公务接待费支出预算</w:t>
      </w:r>
      <w:r>
        <w:rPr>
          <w:rFonts w:hint="eastAsia"/>
          <w:b w:val="0"/>
          <w:bCs w:val="0"/>
          <w:sz w:val="28"/>
          <w:szCs w:val="28"/>
          <w:lang w:val="en-US" w:eastAsia="zh-CN"/>
        </w:rPr>
        <w:t xml:space="preserve">0.00</w:t>
      </w:r>
      <w:r>
        <w:rPr>
          <w:rFonts w:hint="eastAsia"/>
          <w:b w:val="0"/>
          <w:bCs w:val="0"/>
          <w:sz w:val="28"/>
          <w:szCs w:val="28"/>
          <w:lang w:eastAsia="zh-CN"/>
        </w:rPr>
        <w:t xml:space="preserve">万元，公务用车购置及运行费支出预算</w:t>
      </w:r>
      <w:r>
        <w:rPr>
          <w:rFonts w:hint="eastAsia"/>
          <w:b w:val="0"/>
          <w:bCs w:val="0"/>
          <w:sz w:val="28"/>
          <w:szCs w:val="28"/>
          <w:lang w:val="en-US" w:eastAsia="zh-CN"/>
        </w:rPr>
        <w:t xml:space="preserve">0.00</w:t>
      </w:r>
      <w:r>
        <w:rPr>
          <w:rFonts w:hint="eastAsia"/>
          <w:b w:val="0"/>
          <w:bCs w:val="0"/>
          <w:sz w:val="28"/>
          <w:szCs w:val="28"/>
          <w:lang w:eastAsia="zh-CN"/>
        </w:rPr>
        <w:t xml:space="preserve">万元（公务用车购置费</w:t>
      </w:r>
      <w:r>
        <w:rPr>
          <w:rFonts w:hint="eastAsia"/>
          <w:b w:val="0"/>
          <w:bCs w:val="0"/>
          <w:sz w:val="28"/>
          <w:szCs w:val="28"/>
          <w:lang w:val="en-US" w:eastAsia="zh-CN"/>
        </w:rPr>
        <w:t xml:space="preserve">0.00</w:t>
      </w:r>
      <w:r>
        <w:rPr>
          <w:rFonts w:hint="eastAsia"/>
          <w:b w:val="0"/>
          <w:bCs w:val="0"/>
          <w:sz w:val="28"/>
          <w:szCs w:val="28"/>
          <w:lang w:eastAsia="zh-CN"/>
        </w:rPr>
        <w:t xml:space="preserve">万元,公务用车运行维护费</w:t>
      </w:r>
      <w:r>
        <w:rPr>
          <w:rFonts w:hint="eastAsia"/>
          <w:b w:val="0"/>
          <w:bCs w:val="0"/>
          <w:sz w:val="28"/>
          <w:szCs w:val="28"/>
          <w:lang w:val="en-US" w:eastAsia="zh-CN"/>
        </w:rPr>
        <w:t xml:space="preserve">0.00</w:t>
      </w:r>
      <w:r>
        <w:rPr>
          <w:rFonts w:hint="eastAsia"/>
          <w:b w:val="0"/>
          <w:bCs w:val="0"/>
          <w:sz w:val="28"/>
          <w:szCs w:val="28"/>
          <w:lang w:eastAsia="zh-CN"/>
        </w:rPr>
        <w:t xml:space="preserve">万元）。</w:t>
      </w:r>
    </w:p>
    <w:p>
      <w:pPr>
        <w:pStyle w:val="Bodytext|2"/>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hint="eastAsia"/>
          <w:b w:val="0"/>
          <w:bCs w:val="0"/>
          <w:sz w:val="28"/>
          <w:szCs w:val="28"/>
        </w:rPr>
      </w:pPr>
      <w:r>
        <w:rPr>
          <w:rFonts w:hint="eastAsia"/>
          <w:b w:val="0"/>
          <w:bCs w:val="0"/>
          <w:sz w:val="28"/>
          <w:szCs w:val="28"/>
          <w:lang w:eastAsia="zh-CN"/>
        </w:rPr>
        <w:t xml:space="preserve">（</w:t>
      </w:r>
      <w:r>
        <w:rPr>
          <w:rFonts w:hint="eastAsia"/>
          <w:b w:val="0"/>
          <w:bCs w:val="0"/>
          <w:sz w:val="28"/>
          <w:szCs w:val="28"/>
          <w:lang w:val="en-US" w:eastAsia="zh-CN"/>
        </w:rPr>
        <w:t xml:space="preserve">二</w:t>
      </w:r>
      <w:r>
        <w:rPr>
          <w:rFonts w:hint="eastAsia"/>
          <w:b w:val="0"/>
          <w:bCs w:val="0"/>
          <w:sz w:val="28"/>
          <w:szCs w:val="28"/>
          <w:lang w:eastAsia="zh-CN"/>
        </w:rPr>
        <w:t xml:space="preserve">）</w:t>
      </w:r>
      <w:r>
        <w:rPr>
          <w:sz w:val="28"/>
          <w:u w:color="auto"/>
        </w:rPr>
        <w:t xml:space="preserve">2024</w:t>
      </w:r>
      <w:r>
        <w:rPr>
          <w:rFonts w:hint="eastAsia"/>
          <w:b w:val="0"/>
          <w:bCs w:val="0"/>
          <w:sz w:val="28"/>
          <w:szCs w:val="28"/>
        </w:rPr>
        <w:t xml:space="preserve">年一般公共预算安排的“三公”经费支出预算</w:t>
      </w:r>
      <w:r>
        <w:rPr>
          <w:rFonts w:hint="eastAsia"/>
          <w:b w:val="0"/>
          <w:bCs w:val="0"/>
          <w:sz w:val="28"/>
          <w:szCs w:val="28"/>
          <w:lang w:val="en-US" w:eastAsia="zh-CN"/>
        </w:rPr>
        <w:t xml:space="preserve">0.00</w:t>
      </w:r>
      <w:r>
        <w:rPr>
          <w:rFonts w:hint="eastAsia"/>
          <w:b w:val="0"/>
          <w:bCs w:val="0"/>
          <w:sz w:val="28"/>
          <w:szCs w:val="28"/>
        </w:rPr>
        <w:t xml:space="preserve">万元，同口径较2023年度预算数</w:t>
      </w:r>
      <w:r>
        <w:rPr>
          <w:rFonts w:hint="eastAsia"/>
          <w:b w:val="0"/>
          <w:bCs w:val="0"/>
          <w:sz w:val="28"/>
          <w:szCs w:val="28"/>
          <w:lang w:val="en-US" w:eastAsia="zh-CN"/>
        </w:rPr>
        <w:t xml:space="preserve">0.00</w:t>
      </w:r>
      <w:r>
        <w:rPr>
          <w:rFonts w:hint="eastAsia"/>
          <w:b w:val="0"/>
          <w:bCs w:val="0"/>
          <w:sz w:val="28"/>
          <w:szCs w:val="28"/>
        </w:rPr>
        <w:t xml:space="preserve">万元，</w:t>
      </w:r>
      <w:r>
        <w:rPr>
          <w:rFonts w:hint="eastAsia"/>
          <w:b w:val="0"/>
          <w:bCs w:val="0"/>
          <w:sz w:val="28"/>
          <w:szCs w:val="28"/>
          <w:lang w:val="en-US" w:eastAsia="zh-CN"/>
        </w:rPr>
        <w:t xml:space="preserve">增长0.00</w:t>
      </w:r>
      <w:r>
        <w:rPr>
          <w:rFonts w:hint="eastAsia"/>
          <w:b w:val="0"/>
          <w:bCs w:val="0"/>
          <w:sz w:val="28"/>
          <w:szCs w:val="28"/>
        </w:rPr>
        <w:t xml:space="preserve">万元，</w:t>
      </w:r>
      <w:r>
        <w:rPr>
          <w:rFonts w:hint="eastAsia"/>
          <w:b w:val="0"/>
          <w:bCs w:val="0"/>
          <w:sz w:val="28"/>
          <w:szCs w:val="28"/>
          <w:lang w:val="en-US" w:eastAsia="zh-CN"/>
        </w:rPr>
        <w:t xml:space="preserve">增长0%</w:t>
      </w:r>
      <w:r>
        <w:rPr>
          <w:rFonts w:hint="eastAsia"/>
          <w:b w:val="0"/>
          <w:bCs w:val="0"/>
          <w:sz w:val="28"/>
          <w:szCs w:val="28"/>
        </w:rPr>
        <w:t xml:space="preserve">，具体如下：</w:t>
      </w:r>
    </w:p>
    <w:p>
      <w:pPr>
        <w:pStyle w:val="Bodytext|2"/>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eastAsia="宋体" w:hint="eastAsia"/>
          <w:b w:val="0"/>
          <w:bCs w:val="0"/>
          <w:sz w:val="28"/>
          <w:szCs w:val="28"/>
          <w:lang w:eastAsia="zh-CN"/>
        </w:rPr>
      </w:pPr>
      <w:r>
        <w:rPr>
          <w:rFonts w:hint="eastAsia"/>
          <w:b w:val="0"/>
          <w:bCs w:val="0"/>
          <w:sz w:val="28"/>
          <w:szCs w:val="28"/>
        </w:rPr>
        <w:t xml:space="preserve">1.因公出国（境）费</w:t>
      </w:r>
      <w:r>
        <w:rPr>
          <w:rFonts w:hint="eastAsia"/>
          <w:b w:val="0"/>
          <w:bCs w:val="0"/>
          <w:sz w:val="28"/>
          <w:szCs w:val="28"/>
          <w:lang w:eastAsia="zh-CN"/>
        </w:rPr>
        <w:t xml:space="preserve">2024</w:t>
      </w:r>
      <w:r>
        <w:rPr>
          <w:rFonts w:hint="eastAsia"/>
          <w:b w:val="0"/>
          <w:bCs w:val="0"/>
          <w:sz w:val="28"/>
          <w:szCs w:val="28"/>
        </w:rPr>
        <w:t xml:space="preserve">年预算安排</w:t>
      </w:r>
      <w:r>
        <w:rPr>
          <w:sz w:val="28"/>
          <w:u w:color="auto"/>
        </w:rPr>
        <w:t xml:space="preserve">0.00</w:t>
      </w:r>
      <w:r>
        <w:rPr>
          <w:rFonts w:hint="eastAsia"/>
          <w:b w:val="0"/>
          <w:bCs w:val="0"/>
          <w:sz w:val="28"/>
          <w:szCs w:val="28"/>
        </w:rPr>
        <w:t xml:space="preserve">万元，较2023年度预算数</w:t>
      </w:r>
      <w:r>
        <w:rPr>
          <w:sz w:val="28"/>
          <w:u w:color="auto"/>
        </w:rPr>
        <w:t xml:space="preserve">0.00</w:t>
      </w:r>
      <w:r>
        <w:rPr>
          <w:rFonts w:hint="eastAsia"/>
          <w:b w:val="0"/>
          <w:bCs w:val="0"/>
          <w:sz w:val="28"/>
          <w:szCs w:val="28"/>
        </w:rPr>
        <w:t xml:space="preserve">万元，</w:t>
      </w:r>
      <w:r>
        <w:rPr>
          <w:sz w:val="28"/>
          <w:u w:color="auto"/>
        </w:rPr>
        <w:t xml:space="preserve">增长0.00</w:t>
      </w:r>
      <w:r>
        <w:rPr>
          <w:rFonts w:hint="eastAsia"/>
          <w:b w:val="0"/>
          <w:bCs w:val="0"/>
          <w:sz w:val="28"/>
          <w:szCs w:val="28"/>
        </w:rPr>
        <w:t xml:space="preserve">万元，</w:t>
      </w:r>
      <w:r>
        <w:rPr>
          <w:sz w:val="28"/>
          <w:u w:color="auto"/>
        </w:rPr>
        <w:t xml:space="preserve">增长0%</w:t>
      </w:r>
      <w:r>
        <w:rPr>
          <w:rFonts w:hint="eastAsia"/>
          <w:b w:val="0"/>
          <w:bCs w:val="0"/>
          <w:sz w:val="28"/>
          <w:szCs w:val="28"/>
        </w:rPr>
        <w:t xml:space="preserve">，主要原因是</w:t>
      </w:r>
      <w:r>
        <w:rPr>
          <w:rFonts w:hint="eastAsia"/>
          <w:sz w:val="28"/>
          <w:szCs w:val="28"/>
          <w:highlight w:val="none"/>
          <w:lang w:val="en-US" w:eastAsia="zh-CN"/>
        </w:rPr>
        <w:t xml:space="preserve">本单位无此项活动支出</w:t>
      </w:r>
      <w:r>
        <w:rPr>
          <w:rFonts w:hint="eastAsia"/>
          <w:b w:val="0"/>
          <w:bCs w:val="0"/>
          <w:sz w:val="28"/>
          <w:szCs w:val="28"/>
        </w:rPr>
        <w:t xml:space="preserve">。</w:t>
      </w:r>
    </w:p>
    <w:p>
      <w:pPr>
        <w:pStyle w:val="Bodytext|2"/>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eastAsia="宋体" w:hint="eastAsia"/>
          <w:b w:val="0"/>
          <w:bCs w:val="0"/>
          <w:sz w:val="28"/>
          <w:szCs w:val="28"/>
          <w:lang w:eastAsia="zh-CN"/>
        </w:rPr>
      </w:pPr>
      <w:r>
        <w:rPr>
          <w:rFonts w:hint="eastAsia"/>
          <w:b w:val="0"/>
          <w:bCs w:val="0"/>
          <w:sz w:val="28"/>
          <w:szCs w:val="28"/>
        </w:rPr>
        <w:t xml:space="preserve">2.公务接待费</w:t>
      </w:r>
      <w:r>
        <w:rPr>
          <w:rFonts w:hint="eastAsia"/>
          <w:b w:val="0"/>
          <w:bCs w:val="0"/>
          <w:sz w:val="28"/>
          <w:szCs w:val="28"/>
          <w:lang w:eastAsia="zh-CN"/>
        </w:rPr>
        <w:t xml:space="preserve">2024</w:t>
      </w:r>
      <w:r>
        <w:rPr>
          <w:rFonts w:hint="eastAsia"/>
          <w:b w:val="0"/>
          <w:bCs w:val="0"/>
          <w:sz w:val="28"/>
          <w:szCs w:val="28"/>
        </w:rPr>
        <w:t xml:space="preserve">年预算安排</w:t>
      </w:r>
      <w:r>
        <w:rPr>
          <w:sz w:val="28"/>
          <w:u w:color="auto"/>
        </w:rPr>
        <w:t xml:space="preserve">0.00</w:t>
      </w:r>
      <w:r>
        <w:rPr>
          <w:rFonts w:hint="eastAsia"/>
          <w:b w:val="0"/>
          <w:bCs w:val="0"/>
          <w:sz w:val="28"/>
          <w:szCs w:val="28"/>
        </w:rPr>
        <w:t xml:space="preserve">万元，较2023年度预算数</w:t>
      </w:r>
      <w:r>
        <w:rPr>
          <w:sz w:val="28"/>
          <w:u w:color="auto"/>
        </w:rPr>
        <w:t xml:space="preserve">0.00</w:t>
      </w:r>
      <w:r>
        <w:rPr>
          <w:rFonts w:hint="eastAsia"/>
          <w:b w:val="0"/>
          <w:bCs w:val="0"/>
          <w:sz w:val="28"/>
          <w:szCs w:val="28"/>
        </w:rPr>
        <w:t xml:space="preserve">万元，</w:t>
      </w:r>
      <w:r>
        <w:rPr>
          <w:sz w:val="28"/>
          <w:u w:color="auto"/>
        </w:rPr>
        <w:t xml:space="preserve">增长0.00</w:t>
      </w:r>
      <w:r>
        <w:rPr>
          <w:rFonts w:hint="eastAsia"/>
          <w:b w:val="0"/>
          <w:bCs w:val="0"/>
          <w:sz w:val="28"/>
          <w:szCs w:val="28"/>
        </w:rPr>
        <w:t xml:space="preserve">万元，</w:t>
      </w:r>
      <w:r>
        <w:rPr>
          <w:sz w:val="28"/>
          <w:u w:color="auto"/>
        </w:rPr>
        <w:t xml:space="preserve">增长0%</w:t>
      </w:r>
      <w:r>
        <w:rPr>
          <w:rFonts w:hint="eastAsia"/>
          <w:b w:val="0"/>
          <w:bCs w:val="0"/>
          <w:sz w:val="28"/>
          <w:szCs w:val="28"/>
        </w:rPr>
        <w:t xml:space="preserve">，主要原因是</w:t>
      </w:r>
      <w:r>
        <w:rPr>
          <w:rFonts w:hint="eastAsia"/>
          <w:sz w:val="28"/>
          <w:szCs w:val="28"/>
          <w:highlight w:val="none"/>
          <w:lang w:val="en-US" w:eastAsia="zh-CN"/>
        </w:rPr>
        <w:t xml:space="preserve">本单位无此项支出</w:t>
      </w:r>
      <w:r>
        <w:rPr>
          <w:rFonts w:hint="eastAsia"/>
          <w:b w:val="0"/>
          <w:bCs w:val="0"/>
          <w:sz w:val="28"/>
          <w:szCs w:val="28"/>
        </w:rPr>
        <w:t xml:space="preserve">。</w:t>
      </w:r>
    </w:p>
    <w:p>
      <w:pPr>
        <w:pStyle w:val="Bodytext|2"/>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hint="eastAsia"/>
          <w:b w:val="0"/>
          <w:bCs w:val="0"/>
          <w:sz w:val="28"/>
          <w:szCs w:val="28"/>
        </w:rPr>
      </w:pPr>
      <w:r>
        <w:rPr>
          <w:rFonts w:hint="eastAsia"/>
          <w:b w:val="0"/>
          <w:bCs w:val="0"/>
          <w:sz w:val="28"/>
          <w:szCs w:val="28"/>
        </w:rPr>
        <w:t xml:space="preserve">3.公务用车购置及运行费</w:t>
      </w:r>
      <w:r>
        <w:rPr>
          <w:rFonts w:hint="eastAsia"/>
          <w:b w:val="0"/>
          <w:bCs w:val="0"/>
          <w:sz w:val="28"/>
          <w:szCs w:val="28"/>
          <w:lang w:eastAsia="zh-CN"/>
        </w:rPr>
        <w:t xml:space="preserve">2024</w:t>
      </w:r>
      <w:r>
        <w:rPr>
          <w:rFonts w:hint="eastAsia"/>
          <w:b w:val="0"/>
          <w:bCs w:val="0"/>
          <w:sz w:val="28"/>
          <w:szCs w:val="28"/>
        </w:rPr>
        <w:t xml:space="preserve">年预算安排</w:t>
      </w:r>
      <w:r>
        <w:rPr>
          <w:sz w:val="28"/>
          <w:u w:color="auto"/>
        </w:rPr>
        <w:t xml:space="preserve">0.00</w:t>
      </w:r>
      <w:r>
        <w:rPr>
          <w:rFonts w:hint="eastAsia"/>
          <w:b w:val="0"/>
          <w:bCs w:val="0"/>
          <w:sz w:val="28"/>
          <w:szCs w:val="28"/>
        </w:rPr>
        <w:t xml:space="preserve">万元，较2023年度预算数</w:t>
      </w:r>
      <w:r>
        <w:rPr>
          <w:sz w:val="28"/>
          <w:u w:color="auto"/>
        </w:rPr>
        <w:t xml:space="preserve">0.00</w:t>
      </w:r>
      <w:r>
        <w:rPr>
          <w:rFonts w:hint="eastAsia"/>
          <w:b w:val="0"/>
          <w:bCs w:val="0"/>
          <w:sz w:val="28"/>
          <w:szCs w:val="28"/>
        </w:rPr>
        <w:t xml:space="preserve">万元，</w:t>
      </w:r>
      <w:r>
        <w:rPr>
          <w:sz w:val="28"/>
          <w:u w:color="auto"/>
        </w:rPr>
        <w:t xml:space="preserve">增长0.00</w:t>
      </w:r>
      <w:r>
        <w:rPr>
          <w:rFonts w:hint="eastAsia"/>
          <w:b w:val="0"/>
          <w:bCs w:val="0"/>
          <w:sz w:val="28"/>
          <w:szCs w:val="28"/>
        </w:rPr>
        <w:t xml:space="preserve">万元，</w:t>
      </w:r>
      <w:r>
        <w:rPr>
          <w:sz w:val="28"/>
          <w:u w:color="auto"/>
        </w:rPr>
        <w:t xml:space="preserve">增长0%</w:t>
      </w:r>
      <w:r>
        <w:rPr>
          <w:rFonts w:hint="eastAsia"/>
          <w:b w:val="0"/>
          <w:bCs w:val="0"/>
          <w:sz w:val="28"/>
          <w:szCs w:val="28"/>
        </w:rPr>
        <w:t xml:space="preserve">，其中：</w:t>
      </w:r>
    </w:p>
    <w:p>
      <w:pPr>
        <w:pStyle w:val="Bodytext|2"/>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eastAsia="宋体" w:hint="eastAsia"/>
          <w:b w:val="0"/>
          <w:bCs w:val="0"/>
          <w:sz w:val="28"/>
          <w:szCs w:val="28"/>
          <w:lang w:eastAsia="zh-CN"/>
        </w:rPr>
      </w:pPr>
      <w:r>
        <w:rPr>
          <w:rFonts w:hint="eastAsia"/>
          <w:b w:val="0"/>
          <w:bCs w:val="0"/>
          <w:sz w:val="28"/>
          <w:szCs w:val="28"/>
        </w:rPr>
        <w:t xml:space="preserve">公务用车购置费</w:t>
      </w:r>
      <w:r>
        <w:rPr>
          <w:rFonts w:hint="eastAsia"/>
          <w:b w:val="0"/>
          <w:bCs w:val="0"/>
          <w:sz w:val="28"/>
          <w:szCs w:val="28"/>
          <w:lang w:eastAsia="zh-CN"/>
        </w:rPr>
        <w:t xml:space="preserve">2024</w:t>
      </w:r>
      <w:r>
        <w:rPr>
          <w:rFonts w:hint="eastAsia"/>
          <w:b w:val="0"/>
          <w:bCs w:val="0"/>
          <w:sz w:val="28"/>
          <w:szCs w:val="28"/>
        </w:rPr>
        <w:t xml:space="preserve">年预算安排</w:t>
      </w:r>
      <w:r>
        <w:rPr>
          <w:sz w:val="28"/>
          <w:u w:color="auto"/>
        </w:rPr>
        <w:t xml:space="preserve">0.00</w:t>
      </w:r>
      <w:r>
        <w:rPr>
          <w:rFonts w:hint="eastAsia"/>
          <w:b w:val="0"/>
          <w:bCs w:val="0"/>
          <w:sz w:val="28"/>
          <w:szCs w:val="28"/>
        </w:rPr>
        <w:t xml:space="preserve">万元，较2023年度预算数</w:t>
      </w:r>
      <w:r>
        <w:rPr>
          <w:sz w:val="28"/>
          <w:u w:color="auto"/>
        </w:rPr>
        <w:t xml:space="preserve">0.00</w:t>
      </w:r>
      <w:r>
        <w:rPr>
          <w:rFonts w:hint="eastAsia"/>
          <w:b w:val="0"/>
          <w:bCs w:val="0"/>
          <w:sz w:val="28"/>
          <w:szCs w:val="28"/>
        </w:rPr>
        <w:t xml:space="preserve">万元，</w:t>
      </w:r>
      <w:r>
        <w:rPr>
          <w:sz w:val="28"/>
          <w:u w:color="auto"/>
        </w:rPr>
        <w:t xml:space="preserve">增长0.00</w:t>
      </w:r>
      <w:r>
        <w:rPr>
          <w:rFonts w:hint="eastAsia"/>
          <w:b w:val="0"/>
          <w:bCs w:val="0"/>
          <w:sz w:val="28"/>
          <w:szCs w:val="28"/>
        </w:rPr>
        <w:t xml:space="preserve">万元，</w:t>
      </w:r>
      <w:r>
        <w:rPr>
          <w:sz w:val="28"/>
          <w:u w:color="auto"/>
        </w:rPr>
        <w:t xml:space="preserve">增长0%</w:t>
      </w:r>
      <w:r>
        <w:rPr>
          <w:rFonts w:hint="eastAsia"/>
          <w:b w:val="0"/>
          <w:bCs w:val="0"/>
          <w:sz w:val="28"/>
          <w:szCs w:val="28"/>
        </w:rPr>
        <w:t xml:space="preserve">，主要原因是</w:t>
      </w:r>
      <w:r>
        <w:rPr>
          <w:rFonts w:hint="eastAsia"/>
          <w:sz w:val="28"/>
          <w:szCs w:val="28"/>
          <w:highlight w:val="none"/>
          <w:lang w:val="en-US" w:eastAsia="zh-CN"/>
        </w:rPr>
        <w:t xml:space="preserve">本单位无此项支出</w:t>
      </w:r>
      <w:r>
        <w:rPr>
          <w:rFonts w:hint="eastAsia"/>
          <w:b w:val="0"/>
          <w:bCs w:val="0"/>
          <w:sz w:val="28"/>
          <w:szCs w:val="28"/>
        </w:rPr>
        <w:t xml:space="preserve">。</w:t>
      </w:r>
    </w:p>
    <w:p>
      <w:pPr>
        <w:pStyle w:val="Bodytext|2"/>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hint="eastAsia"/>
          <w:b w:val="0"/>
          <w:bCs w:val="0"/>
          <w:sz w:val="28"/>
          <w:szCs w:val="28"/>
        </w:rPr>
      </w:pPr>
      <w:r>
        <w:rPr>
          <w:rFonts w:hint="eastAsia"/>
          <w:b w:val="0"/>
          <w:bCs w:val="0"/>
          <w:sz w:val="28"/>
          <w:szCs w:val="28"/>
        </w:rPr>
        <w:t xml:space="preserve">公务用车运行维护费</w:t>
      </w:r>
      <w:r>
        <w:rPr>
          <w:rFonts w:hint="eastAsia"/>
          <w:b w:val="0"/>
          <w:bCs w:val="0"/>
          <w:sz w:val="28"/>
          <w:szCs w:val="28"/>
          <w:lang w:eastAsia="zh-CN"/>
        </w:rPr>
        <w:t xml:space="preserve">2024</w:t>
      </w:r>
      <w:r>
        <w:rPr>
          <w:rFonts w:hint="eastAsia"/>
          <w:b w:val="0"/>
          <w:bCs w:val="0"/>
          <w:sz w:val="28"/>
          <w:szCs w:val="28"/>
        </w:rPr>
        <w:t xml:space="preserve">年预算安排</w:t>
      </w:r>
      <w:r>
        <w:rPr>
          <w:sz w:val="28"/>
          <w:u w:color="auto"/>
        </w:rPr>
        <w:t xml:space="preserve">0.00</w:t>
      </w:r>
      <w:r>
        <w:rPr>
          <w:rFonts w:hint="eastAsia"/>
          <w:b w:val="0"/>
          <w:bCs w:val="0"/>
          <w:sz w:val="28"/>
          <w:szCs w:val="28"/>
        </w:rPr>
        <w:t xml:space="preserve">万元，较2023年度预算数</w:t>
      </w:r>
      <w:r>
        <w:rPr>
          <w:sz w:val="28"/>
          <w:u w:color="auto"/>
        </w:rPr>
        <w:t xml:space="preserve">0.00</w:t>
      </w:r>
      <w:r>
        <w:rPr>
          <w:rFonts w:hint="eastAsia"/>
          <w:b w:val="0"/>
          <w:bCs w:val="0"/>
          <w:sz w:val="28"/>
          <w:szCs w:val="28"/>
        </w:rPr>
        <w:t xml:space="preserve">万元，</w:t>
      </w:r>
      <w:r>
        <w:rPr>
          <w:sz w:val="28"/>
          <w:u w:color="auto"/>
        </w:rPr>
        <w:t xml:space="preserve">增长0.00</w:t>
      </w:r>
      <w:r>
        <w:rPr>
          <w:rFonts w:hint="eastAsia"/>
          <w:b w:val="0"/>
          <w:bCs w:val="0"/>
          <w:sz w:val="28"/>
          <w:szCs w:val="28"/>
        </w:rPr>
        <w:t xml:space="preserve">万元，</w:t>
      </w:r>
      <w:r>
        <w:rPr>
          <w:sz w:val="28"/>
          <w:u w:color="auto"/>
        </w:rPr>
        <w:t xml:space="preserve">增长0%</w:t>
      </w:r>
      <w:r>
        <w:rPr>
          <w:rFonts w:hint="eastAsia"/>
          <w:b w:val="0"/>
          <w:bCs w:val="0"/>
          <w:sz w:val="28"/>
          <w:szCs w:val="28"/>
        </w:rPr>
        <w:t xml:space="preserve">，主要原因是</w:t>
      </w:r>
      <w:r>
        <w:rPr>
          <w:rFonts w:hint="eastAsia"/>
          <w:sz w:val="28"/>
          <w:szCs w:val="28"/>
          <w:highlight w:val="none"/>
          <w:lang w:val="en-US" w:eastAsia="zh-CN"/>
        </w:rPr>
        <w:t xml:space="preserve">本单位无此项支出</w:t>
      </w:r>
      <w:r>
        <w:rPr>
          <w:rFonts w:hint="eastAsia"/>
          <w:b w:val="0"/>
          <w:bCs w:val="0"/>
          <w:sz w:val="28"/>
          <w:szCs w:val="28"/>
        </w:rPr>
        <w:t xml:space="preserve">。</w:t>
      </w:r>
    </w:p>
    <w:p>
      <w:pPr>
        <w:pStyle w:val="Bodytext|2"/>
        <w:keepNext w:val="0"/>
        <w:keepLines w:val="0"/>
        <w:pageBreakBefore w:val="0"/>
        <w:widowControl w:val="0"/>
        <w:kinsoku/>
        <w:wordWrap/>
        <w:overflowPunct/>
        <w:topLinePunct w:val="0"/>
        <w:autoSpaceDE/>
        <w:autoSpaceDN/>
        <w:bidi w:val="0"/>
        <w:adjustRightInd/>
        <w:snapToGrid/>
        <w:spacing w:before="120" w:after="0" w:line="600" w:lineRule="exact"/>
        <w:ind w:firstLine="618"/>
        <w:jc w:val="left"/>
        <w:textAlignment w:val="auto"/>
        <w:rPr>
          <w:rFonts w:hint="eastAsia"/>
          <w:b/>
          <w:bCs/>
          <w:lang w:val="en-US" w:eastAsia="zh-CN"/>
        </w:rPr>
      </w:pPr>
      <w:r>
        <w:rPr>
          <w:rFonts w:hint="eastAsia"/>
          <w:b/>
          <w:bCs/>
          <w:lang w:val="en-US" w:eastAsia="zh-CN"/>
        </w:rPr>
        <w:t xml:space="preserve">八</w:t>
      </w:r>
      <w:bookmarkEnd w:id="15"/>
      <w:r>
        <w:rPr>
          <w:rFonts w:hint="eastAsia"/>
          <w:b/>
          <w:bCs/>
          <w:lang w:val="en-US" w:eastAsia="zh-CN"/>
        </w:rPr>
        <w:t xml:space="preserve">、政府性基金预算支出情况说明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eastAsia="宋体" w:hint="eastAsia"/>
          <w:sz w:val="28"/>
          <w:szCs w:val="28"/>
          <w:lang w:eastAsia="zh-CN"/>
        </w:rPr>
      </w:pPr>
      <w:r>
        <w:rPr>
          <w:rFonts w:hint="eastAsia"/>
          <w:sz w:val="28"/>
          <w:szCs w:val="28"/>
        </w:rPr>
        <w:t xml:space="preserve">我部门</w:t>
      </w:r>
      <w:r>
        <w:rPr>
          <w:rFonts w:hint="eastAsia"/>
          <w:b w:val="0"/>
          <w:bCs w:val="0"/>
          <w:sz w:val="28"/>
          <w:szCs w:val="28"/>
          <w:lang w:eastAsia="zh-CN"/>
        </w:rPr>
        <w:t xml:space="preserve">2024</w:t>
      </w:r>
      <w:r>
        <w:rPr>
          <w:rFonts w:hint="eastAsia"/>
          <w:sz w:val="28"/>
          <w:szCs w:val="28"/>
        </w:rPr>
        <w:t xml:space="preserve">年政府性基金预算支出共</w:t>
      </w:r>
      <w:r>
        <w:rPr>
          <w:rFonts w:hint="eastAsia"/>
          <w:b w:val="0"/>
          <w:bCs w:val="0"/>
          <w:sz w:val="28"/>
          <w:szCs w:val="28"/>
          <w:lang w:eastAsia="zh-CN"/>
        </w:rPr>
        <w:t xml:space="preserve">0.00</w:t>
      </w:r>
      <w:r>
        <w:rPr>
          <w:rFonts w:hint="eastAsia"/>
          <w:sz w:val="28"/>
          <w:szCs w:val="28"/>
        </w:rPr>
        <w:t xml:space="preserve">万元，较2023年度预算数</w:t>
      </w:r>
      <w:r>
        <w:rPr>
          <w:rFonts w:hint="eastAsia"/>
          <w:b w:val="0"/>
          <w:bCs w:val="0"/>
          <w:sz w:val="28"/>
          <w:szCs w:val="28"/>
          <w:lang w:eastAsia="zh-CN"/>
        </w:rPr>
        <w:t xml:space="preserve">0.00</w:t>
      </w:r>
      <w:r>
        <w:rPr>
          <w:rFonts w:hint="eastAsia"/>
          <w:sz w:val="28"/>
          <w:szCs w:val="28"/>
        </w:rPr>
        <w:t xml:space="preserve">万元，</w:t>
      </w:r>
      <w:r>
        <w:rPr>
          <w:rFonts w:hint="eastAsia"/>
          <w:b w:val="0"/>
          <w:bCs w:val="0"/>
          <w:sz w:val="28"/>
          <w:szCs w:val="28"/>
          <w:lang w:eastAsia="zh-CN"/>
        </w:rPr>
        <w:t xml:space="preserve">增加0.00</w:t>
      </w:r>
      <w:r>
        <w:rPr>
          <w:rFonts w:hint="eastAsia"/>
          <w:sz w:val="28"/>
          <w:szCs w:val="28"/>
        </w:rPr>
        <w:t xml:space="preserve">万元，</w:t>
      </w:r>
      <w:r>
        <w:rPr>
          <w:rFonts w:hint="eastAsia"/>
          <w:b w:val="0"/>
          <w:bCs w:val="0"/>
          <w:sz w:val="28"/>
          <w:szCs w:val="28"/>
          <w:lang w:eastAsia="zh-CN"/>
        </w:rPr>
        <w:t xml:space="preserve">增长0%</w:t>
      </w:r>
      <w:r>
        <w:rPr>
          <w:rFonts w:hint="eastAsia"/>
          <w:sz w:val="28"/>
          <w:szCs w:val="28"/>
        </w:rPr>
        <w:t xml:space="preserve">，主要原因是</w:t>
      </w:r>
      <w:r>
        <w:rPr>
          <w:rFonts w:hint="eastAsia"/>
          <w:sz w:val="28"/>
          <w:szCs w:val="28"/>
          <w:highlight w:val="none"/>
          <w:lang w:val="en-US" w:eastAsia="zh-CN"/>
        </w:rPr>
        <w:t xml:space="preserve">本单位无此项支出</w:t>
      </w:r>
      <w:r>
        <w:rPr>
          <w:rFonts w:hint="eastAsia"/>
          <w:sz w:val="28"/>
          <w:szCs w:val="28"/>
        </w:rPr>
        <w:t xml:space="preserve">。</w:t>
      </w:r>
    </w:p>
    <w:p>
      <w:pPr>
        <w:pStyle w:val="Bodytext|2"/>
        <w:keepNext w:val="0"/>
        <w:keepLines w:val="0"/>
        <w:pageBreakBefore w:val="0"/>
        <w:widowControl w:val="0"/>
        <w:kinsoku/>
        <w:wordWrap/>
        <w:overflowPunct/>
        <w:topLinePunct w:val="0"/>
        <w:autoSpaceDE/>
        <w:autoSpaceDN/>
        <w:bidi w:val="0"/>
        <w:adjustRightInd/>
        <w:snapToGrid/>
        <w:spacing w:before="120" w:after="0" w:line="600" w:lineRule="exact"/>
        <w:ind w:firstLine="618"/>
        <w:jc w:val="left"/>
        <w:textAlignment w:val="auto"/>
        <w:rPr>
          <w:rFonts w:hint="eastAsia"/>
          <w:b/>
          <w:bCs/>
          <w:lang w:val="en-US" w:eastAsia="zh-CN"/>
        </w:rPr>
      </w:pPr>
      <w:bookmarkStart w:id="16" w:name="bookmark91"/>
      <w:r>
        <w:rPr>
          <w:rFonts w:hint="eastAsia"/>
          <w:b/>
          <w:bCs/>
          <w:lang w:val="en-US" w:eastAsia="zh-CN"/>
        </w:rPr>
        <w:t xml:space="preserve">九</w:t>
      </w:r>
      <w:bookmarkEnd w:id="16"/>
      <w:r>
        <w:rPr>
          <w:rFonts w:hint="eastAsia"/>
          <w:b/>
          <w:bCs/>
          <w:lang w:val="en-US" w:eastAsia="zh-CN"/>
        </w:rPr>
        <w:t xml:space="preserve">、国有资本经营预算支出情况说明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eastAsia="宋体" w:hint="eastAsia"/>
          <w:sz w:val="28"/>
          <w:szCs w:val="28"/>
          <w:lang w:eastAsia="zh-CN"/>
        </w:rPr>
      </w:pPr>
      <w:r>
        <w:rPr>
          <w:rFonts w:hint="eastAsia"/>
          <w:sz w:val="28"/>
          <w:szCs w:val="28"/>
        </w:rPr>
        <w:t xml:space="preserve">我部门</w:t>
      </w:r>
      <w:r>
        <w:rPr>
          <w:rFonts w:hint="eastAsia"/>
          <w:sz w:val="28"/>
          <w:szCs w:val="28"/>
          <w:lang w:eastAsia="zh-CN"/>
        </w:rPr>
        <w:t xml:space="preserve">2024</w:t>
      </w:r>
      <w:r>
        <w:rPr>
          <w:rFonts w:hint="eastAsia"/>
          <w:sz w:val="28"/>
          <w:szCs w:val="28"/>
        </w:rPr>
        <w:t xml:space="preserve">年国有资本经营预算支出共</w:t>
      </w:r>
      <w:r>
        <w:rPr>
          <w:rFonts w:hint="eastAsia"/>
          <w:sz w:val="28"/>
          <w:szCs w:val="28"/>
          <w:lang w:eastAsia="zh-CN"/>
        </w:rPr>
        <w:t xml:space="preserve">0.00</w:t>
      </w:r>
      <w:r>
        <w:rPr>
          <w:rFonts w:hint="eastAsia"/>
          <w:sz w:val="28"/>
          <w:szCs w:val="28"/>
        </w:rPr>
        <w:t xml:space="preserve">万元，较2023年度预算数</w:t>
      </w:r>
      <w:r>
        <w:rPr>
          <w:rFonts w:hint="eastAsia"/>
          <w:sz w:val="28"/>
          <w:szCs w:val="28"/>
          <w:lang w:eastAsia="zh-CN"/>
        </w:rPr>
        <w:t xml:space="preserve">0.00</w:t>
      </w:r>
      <w:r>
        <w:rPr>
          <w:rFonts w:hint="eastAsia"/>
          <w:sz w:val="28"/>
          <w:szCs w:val="28"/>
        </w:rPr>
        <w:t xml:space="preserve">万元，</w:t>
      </w:r>
      <w:r>
        <w:rPr>
          <w:rFonts w:hint="eastAsia"/>
          <w:sz w:val="28"/>
          <w:szCs w:val="28"/>
          <w:lang w:eastAsia="zh-CN"/>
        </w:rPr>
        <w:t xml:space="preserve">增加0.00</w:t>
      </w:r>
      <w:r>
        <w:rPr>
          <w:rFonts w:hint="eastAsia"/>
          <w:sz w:val="28"/>
          <w:szCs w:val="28"/>
        </w:rPr>
        <w:t xml:space="preserve">万元，</w:t>
      </w:r>
      <w:r>
        <w:rPr>
          <w:rFonts w:hint="eastAsia"/>
          <w:sz w:val="28"/>
          <w:szCs w:val="28"/>
          <w:lang w:eastAsia="zh-CN"/>
        </w:rPr>
        <w:t xml:space="preserve">增长0%</w:t>
      </w:r>
      <w:r>
        <w:rPr>
          <w:rFonts w:hint="eastAsia"/>
          <w:sz w:val="28"/>
          <w:szCs w:val="28"/>
        </w:rPr>
        <w:t xml:space="preserve">，主要原因是</w:t>
      </w:r>
      <w:r>
        <w:rPr>
          <w:rFonts w:hint="eastAsia"/>
          <w:sz w:val="28"/>
          <w:szCs w:val="28"/>
          <w:lang w:val="en-US" w:eastAsia="zh-CN"/>
        </w:rPr>
        <w:t xml:space="preserve">本单位无此项支出</w:t>
      </w:r>
      <w:r>
        <w:rPr>
          <w:rFonts w:hint="eastAsia"/>
          <w:sz w:val="28"/>
          <w:szCs w:val="28"/>
        </w:rPr>
        <w:t xml:space="preserve">。</w:t>
      </w:r>
    </w:p>
    <w:p>
      <w:pPr>
        <w:pStyle w:val="Bodytext|2"/>
        <w:keepNext w:val="0"/>
        <w:keepLines w:val="0"/>
        <w:pageBreakBefore w:val="0"/>
        <w:widowControl w:val="0"/>
        <w:tabs>
          <w:tab w:val="left" w:pos="1235"/>
        </w:tabs>
        <w:kinsoku/>
        <w:wordWrap/>
        <w:overflowPunct/>
        <w:topLinePunct w:val="0"/>
        <w:autoSpaceDE/>
        <w:autoSpaceDN/>
        <w:bidi w:val="0"/>
        <w:adjustRightInd/>
        <w:snapToGrid/>
        <w:spacing w:before="120" w:after="0" w:line="600" w:lineRule="exact"/>
        <w:ind w:firstLine="578"/>
        <w:jc w:val="left"/>
        <w:textAlignment w:val="auto"/>
        <w:rPr>
          <w:b/>
          <w:bCs/>
        </w:rPr>
      </w:pPr>
      <w:r>
        <w:rPr>
          <w:b/>
          <w:bCs/>
        </w:rPr>
        <w:t xml:space="preserve">十、其他重要事项</w:t>
      </w:r>
      <w:r>
        <w:rPr>
          <w:rFonts w:hint="eastAsia"/>
          <w:b/>
          <w:bCs/>
          <w:lang w:val="en-US" w:eastAsia="zh-CN"/>
        </w:rPr>
        <w:t xml:space="preserve">情况</w:t>
      </w:r>
      <w:r>
        <w:rPr>
          <w:b/>
          <w:bCs/>
        </w:rPr>
        <w:t xml:space="preserve">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（一）事业单位相关运行经费安排情况说明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2024</w:t>
      </w:r>
      <w:r>
        <w:rPr>
          <w:rFonts w:ascii="宋体" w:eastAsia="宋体" w:hAnsi="宋体" w:cs="宋体"/>
          <w:sz w:val="28"/>
          <w:u w:color="auto"/>
        </w:rPr>
        <w:t xml:space="preserve">年本部门机关运行经费预算</w:t>
      </w:r>
      <w:r>
        <w:rPr>
          <w:rFonts w:ascii="宋体" w:eastAsia="宋体" w:hAnsi="宋体" w:cs="宋体" w:hint="eastAsia"/>
          <w:sz w:val="28"/>
          <w:szCs w:val="28"/>
          <w:lang w:val="en-US" w:eastAsia="zh-CN"/>
        </w:rPr>
        <w:t xml:space="preserve">20.77</w:t>
      </w:r>
      <w:r>
        <w:rPr>
          <w:rFonts w:ascii="宋体" w:eastAsia="宋体" w:hAnsi="宋体" w:cs="宋体" w:hint="eastAsia"/>
          <w:sz w:val="28"/>
          <w:szCs w:val="28"/>
          <w:lang w:eastAsia="zh-CN"/>
        </w:rPr>
        <w:t xml:space="preserve">万元，较2023年度预算数</w:t>
      </w:r>
      <w:r>
        <w:rPr>
          <w:rFonts w:ascii="宋体" w:eastAsia="宋体" w:hAnsi="宋体" w:cs="宋体" w:hint="eastAsia"/>
          <w:sz w:val="28"/>
          <w:szCs w:val="28"/>
          <w:lang w:val="en-US" w:eastAsia="zh-CN"/>
        </w:rPr>
        <w:t xml:space="preserve">15.79</w:t>
      </w:r>
      <w:r>
        <w:rPr>
          <w:rFonts w:ascii="宋体" w:eastAsia="宋体" w:hAnsi="宋体" w:cs="宋体" w:hint="eastAsia"/>
          <w:sz w:val="28"/>
          <w:szCs w:val="28"/>
          <w:lang w:eastAsia="zh-CN"/>
        </w:rPr>
        <w:t xml:space="preserve">万元，</w:t>
      </w:r>
      <w:r>
        <w:rPr>
          <w:rFonts w:ascii="宋体" w:eastAsia="宋体" w:hAnsi="宋体" w:cs="宋体" w:hint="eastAsia"/>
          <w:sz w:val="28"/>
          <w:szCs w:val="28"/>
          <w:lang w:val="en-US" w:eastAsia="zh-CN"/>
        </w:rPr>
        <w:t xml:space="preserve">增加4.98</w:t>
      </w:r>
      <w:r>
        <w:rPr>
          <w:rFonts w:ascii="宋体" w:eastAsia="宋体" w:hAnsi="宋体" w:cs="宋体" w:hint="eastAsia"/>
          <w:sz w:val="28"/>
          <w:szCs w:val="28"/>
          <w:lang w:eastAsia="zh-CN"/>
        </w:rPr>
        <w:t xml:space="preserve">万元，</w:t>
      </w:r>
      <w:r>
        <w:rPr>
          <w:rFonts w:ascii="宋体" w:eastAsia="宋体" w:hAnsi="宋体" w:cs="宋体" w:hint="eastAsia"/>
          <w:sz w:val="28"/>
          <w:szCs w:val="28"/>
          <w:lang w:val="en-US" w:eastAsia="zh-CN"/>
        </w:rPr>
        <w:t xml:space="preserve">增长31.54%</w:t>
      </w:r>
      <w:r>
        <w:rPr>
          <w:rFonts w:ascii="宋体" w:eastAsia="宋体" w:hAnsi="宋体" w:cs="宋体" w:hint="eastAsia"/>
          <w:sz w:val="28"/>
          <w:szCs w:val="28"/>
          <w:lang w:eastAsia="zh-CN"/>
        </w:rPr>
        <w:t xml:space="preserve">，主要原因是：</w:t>
      </w:r>
      <w:r>
        <w:rPr>
          <w:rFonts w:ascii="宋体" w:eastAsia="宋体" w:hAnsi="宋体" w:cs="宋体" w:hint="eastAsia"/>
          <w:sz w:val="28"/>
          <w:szCs w:val="28"/>
          <w:lang w:val="en-US" w:eastAsia="zh-CN"/>
        </w:rPr>
        <w:t xml:space="preserve">1.全校教育系统业务工作增加；2.中学公招人员增加,增加五险；3.生均公用经费增加。</w:t>
      </w:r>
      <w:r>
        <w:rPr>
          <w:rFonts w:ascii="宋体" w:eastAsia="宋体" w:hAnsi="宋体" w:cs="宋体" w:hint="eastAsia"/>
          <w:sz w:val="28"/>
          <w:szCs w:val="28"/>
          <w:lang w:eastAsia="zh-CN"/>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（二）政府采购预算安排情况说明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default"/>
          <w:sz w:val="28"/>
          <w:szCs w:val="28"/>
          <w:lang w:val="en-US" w:eastAsia="zh-CN"/>
        </w:rPr>
      </w:pPr>
      <w:r>
        <w:rPr>
          <w:rFonts w:ascii="宋体" w:eastAsia="宋体" w:hAnsi="宋体" w:cs="宋体" w:hint="eastAsia"/>
          <w:sz w:val="28"/>
          <w:szCs w:val="28"/>
          <w:lang w:eastAsia="zh-CN"/>
        </w:rPr>
        <w:t xml:space="preserve">我部门2024年政府采购预算总金额</w:t>
      </w:r>
      <w:r>
        <w:rPr>
          <w:rFonts w:ascii="宋体" w:eastAsia="宋体" w:hAnsi="宋体" w:cs="宋体" w:hint="eastAsia"/>
          <w:sz w:val="28"/>
          <w:szCs w:val="28"/>
          <w:lang w:val="en-US" w:eastAsia="zh-CN"/>
        </w:rPr>
        <w:t xml:space="preserve">152.79</w:t>
      </w:r>
      <w:r>
        <w:rPr>
          <w:rFonts w:ascii="宋体" w:eastAsia="宋体" w:hAnsi="宋体" w:cs="宋体" w:hint="eastAsia"/>
          <w:sz w:val="28"/>
          <w:szCs w:val="28"/>
          <w:lang w:eastAsia="zh-CN"/>
        </w:rPr>
        <w:t xml:space="preserve">万元。其中：货物类采购</w:t>
      </w:r>
      <w:r>
        <w:rPr>
          <w:rFonts w:ascii="宋体" w:eastAsia="宋体" w:hAnsi="宋体" w:cs="宋体" w:hint="eastAsia"/>
          <w:sz w:val="28"/>
          <w:szCs w:val="28"/>
          <w:lang w:val="en-US" w:eastAsia="zh-CN"/>
        </w:rPr>
        <w:t xml:space="preserve">152.79</w:t>
      </w:r>
      <w:r>
        <w:rPr>
          <w:rFonts w:ascii="宋体" w:eastAsia="宋体" w:hAnsi="宋体" w:cs="宋体" w:hint="eastAsia"/>
          <w:sz w:val="28"/>
          <w:szCs w:val="28"/>
          <w:lang w:eastAsia="zh-CN"/>
        </w:rPr>
        <w:t xml:space="preserve">万元、工程类采购</w:t>
      </w:r>
      <w:r>
        <w:rPr>
          <w:rFonts w:ascii="宋体" w:eastAsia="宋体" w:hAnsi="宋体" w:cs="宋体" w:hint="eastAsia"/>
          <w:sz w:val="28"/>
          <w:szCs w:val="28"/>
          <w:lang w:val="en-US" w:eastAsia="zh-CN"/>
        </w:rPr>
        <w:t xml:space="preserve">0</w:t>
      </w:r>
      <w:r>
        <w:rPr>
          <w:rFonts w:ascii="宋体" w:eastAsia="宋体" w:hAnsi="宋体" w:cs="宋体" w:hint="eastAsia"/>
          <w:sz w:val="28"/>
          <w:szCs w:val="28"/>
          <w:lang w:eastAsia="zh-CN"/>
        </w:rPr>
        <w:t xml:space="preserve">万元、服务类采购</w:t>
      </w:r>
      <w:r>
        <w:rPr>
          <w:rFonts w:ascii="宋体" w:eastAsia="宋体" w:hAnsi="宋体" w:cs="宋体" w:hint="eastAsia"/>
          <w:sz w:val="28"/>
          <w:szCs w:val="28"/>
          <w:lang w:val="en-US" w:eastAsia="zh-CN"/>
        </w:rPr>
        <w:t xml:space="preserve">0</w:t>
      </w:r>
      <w:r>
        <w:rPr>
          <w:rFonts w:ascii="宋体" w:eastAsia="宋体" w:hAnsi="宋体" w:cs="宋体" w:hint="eastAsia"/>
          <w:sz w:val="28"/>
          <w:szCs w:val="28"/>
          <w:lang w:eastAsia="zh-CN"/>
        </w:rPr>
        <w:t xml:space="preserve">万元。</w:t>
      </w:r>
      <w:r>
        <w:rPr>
          <w:rFonts w:ascii="宋体" w:eastAsia="宋体" w:hAnsi="宋体" w:cs="宋体" w:hint="eastAsia"/>
          <w:sz w:val="28"/>
          <w:szCs w:val="28"/>
          <w:lang w:val="en-US" w:eastAsia="zh-CN"/>
        </w:rPr>
        <w:t xml:space="preserve">主要用于：办公设备和办公用品</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（三）国有资产占用情况说明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截至2023年12月31日，本部门共有车辆</w:t>
      </w:r>
      <w:r>
        <w:rPr>
          <w:rFonts w:hint="eastAsia"/>
          <w:sz w:val="28"/>
          <w:szCs w:val="28"/>
          <w:highlight w:val="none"/>
          <w:lang w:val="en-US" w:eastAsia="zh-CN"/>
        </w:rPr>
        <w:t xml:space="preserve">0</w:t>
      </w:r>
      <w:r>
        <w:rPr>
          <w:rFonts w:ascii="宋体" w:eastAsia="宋体" w:hAnsi="宋体" w:cs="宋体" w:hint="eastAsia"/>
          <w:sz w:val="28"/>
          <w:szCs w:val="28"/>
          <w:lang w:eastAsia="zh-CN"/>
        </w:rPr>
        <w:t xml:space="preserve">辆，其中，应急机要通信用车</w:t>
      </w:r>
      <w:r>
        <w:rPr>
          <w:rFonts w:hint="eastAsia"/>
          <w:sz w:val="28"/>
          <w:szCs w:val="28"/>
          <w:highlight w:val="none"/>
          <w:lang w:val="en-US" w:eastAsia="zh-CN"/>
        </w:rPr>
        <w:t xml:space="preserve">0</w:t>
      </w:r>
      <w:r>
        <w:rPr>
          <w:rFonts w:ascii="宋体" w:eastAsia="宋体" w:hAnsi="宋体" w:cs="宋体" w:hint="eastAsia"/>
          <w:sz w:val="28"/>
          <w:szCs w:val="28"/>
          <w:lang w:eastAsia="zh-CN"/>
        </w:rPr>
        <w:t xml:space="preserve">辆、一般执法执勤用车</w:t>
      </w:r>
      <w:r>
        <w:rPr>
          <w:rFonts w:hint="eastAsia"/>
          <w:sz w:val="28"/>
          <w:szCs w:val="28"/>
          <w:highlight w:val="none"/>
          <w:lang w:val="en-US" w:eastAsia="zh-CN"/>
        </w:rPr>
        <w:t xml:space="preserve">0</w:t>
      </w:r>
      <w:r>
        <w:rPr>
          <w:rFonts w:ascii="宋体" w:eastAsia="宋体" w:hAnsi="宋体" w:cs="宋体" w:hint="eastAsia"/>
          <w:sz w:val="28"/>
          <w:szCs w:val="28"/>
          <w:lang w:eastAsia="zh-CN"/>
        </w:rPr>
        <w:t xml:space="preserve">辆、特种专业技术用车</w:t>
      </w:r>
      <w:r>
        <w:rPr>
          <w:rFonts w:hint="eastAsia"/>
          <w:sz w:val="28"/>
          <w:szCs w:val="28"/>
          <w:highlight w:val="none"/>
          <w:lang w:val="en-US" w:eastAsia="zh-CN"/>
        </w:rPr>
        <w:t xml:space="preserve">0</w:t>
      </w:r>
      <w:r>
        <w:rPr>
          <w:rFonts w:ascii="宋体" w:eastAsia="宋体" w:hAnsi="宋体" w:cs="宋体" w:hint="eastAsia"/>
          <w:sz w:val="28"/>
          <w:szCs w:val="28"/>
          <w:lang w:eastAsia="zh-CN"/>
        </w:rPr>
        <w:t xml:space="preserve">辆、其他用车</w:t>
      </w:r>
      <w:r>
        <w:rPr>
          <w:rFonts w:hint="eastAsia"/>
          <w:sz w:val="28"/>
          <w:szCs w:val="28"/>
          <w:highlight w:val="none"/>
          <w:lang w:val="en-US" w:eastAsia="zh-CN"/>
        </w:rPr>
        <w:t xml:space="preserve">0</w:t>
      </w:r>
      <w:r>
        <w:rPr>
          <w:rFonts w:ascii="宋体" w:eastAsia="宋体" w:hAnsi="宋体" w:cs="宋体" w:hint="eastAsia"/>
          <w:sz w:val="28"/>
          <w:szCs w:val="28"/>
          <w:lang w:eastAsia="zh-CN"/>
        </w:rPr>
        <w:t xml:space="preserve">辆，单位价值200万元以上大型设备</w:t>
      </w:r>
      <w:r>
        <w:rPr>
          <w:rFonts w:hint="eastAsia"/>
          <w:sz w:val="28"/>
          <w:szCs w:val="28"/>
          <w:highlight w:val="none"/>
          <w:lang w:val="en-US" w:eastAsia="zh-CN"/>
        </w:rPr>
        <w:t xml:space="preserve">0</w:t>
      </w:r>
      <w:r>
        <w:rPr>
          <w:rFonts w:ascii="宋体" w:eastAsia="宋体" w:hAnsi="宋体" w:cs="宋体" w:hint="eastAsia"/>
          <w:sz w:val="28"/>
          <w:szCs w:val="28"/>
          <w:lang w:eastAsia="zh-CN"/>
        </w:rPr>
        <w:t xml:space="preserve">台（套）。</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（四）预算绩效目标情况说明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1.我部门2024年所有项目支出全面实施绩效目标管理，涉及项目</w:t>
      </w:r>
      <w:r>
        <w:rPr>
          <w:rFonts w:hint="eastAsia"/>
          <w:sz w:val="28"/>
          <w:szCs w:val="28"/>
          <w:highlight w:val="none"/>
          <w:lang w:val="en-US" w:eastAsia="zh-CN"/>
        </w:rPr>
        <w:t xml:space="preserve">1</w:t>
      </w:r>
      <w:r>
        <w:rPr>
          <w:rFonts w:ascii="宋体" w:eastAsia="宋体" w:hAnsi="宋体" w:cs="宋体" w:hint="eastAsia"/>
          <w:sz w:val="28"/>
          <w:szCs w:val="28"/>
          <w:lang w:eastAsia="zh-CN"/>
        </w:rPr>
        <w:t xml:space="preserve">个，预算资金</w:t>
      </w:r>
      <w:r>
        <w:rPr>
          <w:rFonts w:hint="eastAsia"/>
          <w:sz w:val="28"/>
          <w:szCs w:val="28"/>
          <w:highlight w:val="none"/>
          <w:lang w:val="en-US" w:eastAsia="zh-CN"/>
        </w:rPr>
        <w:t xml:space="preserve">34</w:t>
      </w:r>
      <w:r>
        <w:rPr>
          <w:rFonts w:ascii="宋体" w:eastAsia="宋体" w:hAnsi="宋体" w:cs="宋体" w:hint="eastAsia"/>
          <w:sz w:val="28"/>
          <w:szCs w:val="28"/>
          <w:lang w:eastAsia="zh-CN"/>
        </w:rPr>
        <w:t xml:space="preserve">万元。绩效目标情况详见报表（日常运转类项目、工资类人员经费项目和涉密项目等除外）。</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2.重点项目预算绩效目标说明。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hint="eastAsia"/>
          <w:sz w:val="28"/>
          <w:szCs w:val="28"/>
          <w:highlight w:val="none"/>
          <w:lang w:val="en-US" w:eastAsia="zh-CN"/>
        </w:rPr>
      </w:pPr>
      <w:r>
        <w:rPr>
          <w:rFonts w:hint="eastAsia"/>
          <w:sz w:val="28"/>
          <w:szCs w:val="28"/>
          <w:highlight w:val="none"/>
          <w:lang w:val="en-US" w:eastAsia="zh-CN"/>
        </w:rPr>
        <w:t xml:space="preserve">重点项目：门面（小卖部）租金，预算资金34万元，2024年度绩效目标项目资金为县级预算内资金，我单位按资金管理制度工作要求，进一步增强资金管理，项目资金用于维持学校正常运转所需开支的业务费、公务费、设备购置费、日常修缮费和其他属于公用性质的费用，用于聘请人员等方面的开支。一、产出指标，1、数量指标，经销店数量1个：2、质量指标，学校工作正常运转率100%；3、时效指标，按学期拨付，2个学期；4、成本指标，项目成本≤155400元；二、效益指标1、社会效益指标，保障学校日常办公正常运转，效果明显，达成年度指标；2、可持续影响指标，持续改善学校基本办学条件，促进教育健康发，效果明显，达成年度指标；三、服务对象满意度，师生对学校工作的满意度≥98%。</w:t>
      </w:r>
    </w:p>
    <w:p>
      <w:pPr>
        <w:pStyle w:val="Bodytext|1"/>
        <w:spacing w:line="624" w:lineRule="exact"/>
        <w:ind w:firstLine="600"/>
        <w:jc w:val="left"/>
        <w:rPr>
          <w:rFonts w:hint="eastAsia"/>
          <w:sz w:val="28"/>
          <w:szCs w:val="28"/>
          <w:highlight w:val="none"/>
          <w:lang w:val="en-US" w:eastAsia="zh-CN"/>
        </w:rPr>
      </w:pPr>
    </w:p>
    <w:p>
      <w:pPr>
        <w:pStyle w:val="Bodytext|1"/>
        <w:spacing w:line="624" w:lineRule="exact"/>
        <w:jc w:val="left"/>
        <w:rPr>
          <w:rFonts w:hint="default"/>
          <w:sz w:val="28"/>
          <w:szCs w:val="28"/>
          <w:highlight w:val="none"/>
          <w:lang w:val="en-US" w:eastAsia="zh-CN"/>
        </w:rPr>
        <w:sectPr>
          <w:headerReference w:type="default" r:id="rId14"/>
          <w:footerReference w:type="default" r:id="rId15"/>
          <w:pgSz w:w="11900" w:h="16840" w:orient="portrait"/>
          <w:pgMar w:top="1440" w:right="1800" w:bottom="1440" w:left="1800" w:header="0" w:footer="1077" w:gutter="0"/>
          <w:pgBorders>
            <w:top w:val="none" w:sz="0" w:space="0" w:color="auto"/>
            <w:left w:val="none" w:sz="0" w:space="0" w:color="auto"/>
            <w:bottom w:val="none" w:sz="0" w:space="0" w:color="auto"/>
            <w:right w:val="none" w:sz="0" w:space="0" w:color="auto"/>
          </w:pgBorders>
          <w:pgNumType w:fmt="decimal"/>
          <w:cols w:num="1" w:space="720">
            <w:col w:w="8300" w:space="720"/>
          </w:cols>
          <w:docGrid w:linePitch="360" w:charSpace="0"/>
        </w:sectPr>
      </w:pPr>
    </w:p>
    <w:p>
      <w:pPr>
        <w:pStyle w:val="Heading#1|1"/>
        <w:keepNext/>
        <w:keepLines/>
        <w:spacing w:after="980"/>
        <w:jc w:val="center"/>
        <w:rPr>
          <w:rFonts w:ascii="宋体" w:eastAsia="宋体" w:hAnsi="宋体" w:cs="宋体" w:hint="eastAsia"/>
          <w:b/>
          <w:bCs/>
          <w:sz w:val="36"/>
          <w:szCs w:val="36"/>
        </w:rPr>
      </w:pPr>
      <w:bookmarkEnd w:id="11"/>
      <w:bookmarkEnd w:id="12"/>
      <w:bookmarkEnd w:id="13"/>
      <w:r>
        <w:rPr>
          <w:rFonts w:ascii="宋体" w:eastAsia="宋体" w:hAnsi="宋体" w:cs="宋体" w:hint="eastAsia"/>
          <w:b/>
          <w:bCs/>
          <w:sz w:val="36"/>
          <w:szCs w:val="36"/>
        </w:rPr>
        <w:t xml:space="preserve">第</w:t>
      </w:r>
      <w:r>
        <w:rPr>
          <w:rFonts w:ascii="宋体" w:eastAsia="宋体" w:hAnsi="宋体" w:cs="宋体" w:hint="eastAsia"/>
          <w:b/>
          <w:bCs/>
          <w:sz w:val="36"/>
          <w:szCs w:val="36"/>
          <w:lang w:val="en-US" w:eastAsia="zh-CN"/>
        </w:rPr>
        <w:t xml:space="preserve">三</w:t>
      </w:r>
      <w:r>
        <w:rPr>
          <w:rFonts w:ascii="宋体" w:eastAsia="宋体" w:hAnsi="宋体" w:cs="宋体" w:hint="eastAsia"/>
          <w:b/>
          <w:bCs/>
          <w:sz w:val="36"/>
          <w:szCs w:val="36"/>
        </w:rPr>
        <w:t xml:space="preserve">部分</w:t>
      </w:r>
      <w:r>
        <w:rPr>
          <w:rFonts w:ascii="宋体" w:eastAsia="宋体" w:hAnsi="宋体" w:cs="宋体" w:hint="eastAsia"/>
          <w:b/>
          <w:bCs/>
          <w:sz w:val="36"/>
          <w:szCs w:val="36"/>
          <w:lang w:eastAsia="zh-CN"/>
        </w:rPr>
        <w:t xml:space="preserve">环江毛南族自治县第四初级中学</w:t>
      </w:r>
      <w:r>
        <w:rPr>
          <w:rFonts w:ascii="宋体" w:eastAsia="宋体" w:hAnsi="宋体" w:cs="宋体"/>
          <w:b/>
          <w:sz w:val="36"/>
          <w:u w:color="auto"/>
        </w:rPr>
        <w:t xml:space="preserve">2024</w:t>
      </w:r>
      <w:r>
        <w:rPr>
          <w:rFonts w:ascii="宋体" w:eastAsia="宋体" w:hAnsi="宋体" w:cs="宋体"/>
          <w:b/>
          <w:sz w:val="36"/>
          <w:u w:color="auto"/>
        </w:rPr>
        <w:t xml:space="preserve">年</w:t>
      </w:r>
      <w:r>
        <w:rPr>
          <w:rFonts w:ascii="宋体" w:eastAsia="宋体" w:hAnsi="宋体" w:cs="宋体" w:hint="eastAsia"/>
          <w:b/>
          <w:bCs/>
          <w:sz w:val="36"/>
          <w:szCs w:val="36"/>
        </w:rPr>
        <w:t xml:space="preserve">部门预算表</w:t>
      </w:r>
    </w:p>
    <w:p>
      <w:pPr>
        <w:pStyle w:val="Heading#2|1"/>
        <w:keepNext/>
        <w:keepLines/>
        <w:spacing w:after="240"/>
        <w:jc w:val="center"/>
      </w:pPr>
      <w:bookmarkStart w:id="17" w:name="bookmark31"/>
      <w:bookmarkStart w:id="18" w:name="bookmark30"/>
      <w:bookmarkStart w:id="19" w:name="bookmark29"/>
      <w:r>
        <w:t xml:space="preserve">收支总体情况表</w:t>
      </w:r>
      <w:bookmarkEnd w:id="17"/>
      <w:bookmarkEnd w:id="18"/>
      <w:bookmarkEnd w:id="19"/>
    </w:p>
    <w:tbl>
      <w:tblPr>
        <w:tblStyle w:val="NormalTable"/>
        <w:tblW w:w="0" w:type="auto"/>
        <w:tblInd w:w="0" w:type="dxa"/>
        <w:tblLayout w:type="fixed"/>
        <w:tblCellMar>
          <w:top w:w="0" w:type="dxa"/>
          <w:left w:w="10" w:type="dxa"/>
          <w:bottom w:w="0" w:type="dxa"/>
          <w:right w:w="10" w:type="dxa"/>
        </w:tblCellMar>
        <w:tblLook w:firstRow="0" w:lastRow="0" w:firstColumn="0" w:lastColumn="0" w:noHBand="1" w:noVBand="1"/>
      </w:tblPr>
      <w:tblGrid>
        <w:gridCol w:w="3339"/>
        <w:gridCol w:w="3760"/>
        <w:gridCol w:w="3542"/>
        <w:gridCol w:w="3571"/>
      </w:tblGrid>
      <w:tr>
        <w:tblPrEx>
          <w:tblW w:w="0" w:type="auto"/>
          <w:tblInd w:w="0" w:type="dxa"/>
          <w:tblLayout w:type="fixed"/>
          <w:tblCellMar>
            <w:top w:w="0" w:type="dxa"/>
            <w:left w:w="10" w:type="dxa"/>
            <w:bottom w:w="0" w:type="dxa"/>
            <w:right w:w="10" w:type="dxa"/>
          </w:tblCellMar>
        </w:tblPrEx>
        <w:trPr>
          <w:cantSplit/>
          <w:trHeight w:hRule="exact" w:val="331"/>
        </w:trPr>
        <w:tc>
          <w:tcPr>
            <w:tcW w:w="10641" w:type="dxa"/>
            <w:gridSpan w:val="3"/>
            <w:tcBorders>
              <w:bottom w:val="single" w:sz="4" w:space="0" w:color="auto"/>
            </w:tcBorders>
            <w:shd w:val="clear" w:color="auto" w:fill="FFFFFF"/>
          </w:tcPr>
          <w:p>
            <w:pPr>
              <w:pStyle w:val="Other|1"/>
              <w:spacing w:line="240" w:lineRule="auto"/>
              <w:ind w:firstLine="0"/>
              <w:jc w:val="left"/>
              <w:rPr>
                <w:sz w:val="17"/>
                <w:szCs w:val="17"/>
              </w:rPr>
            </w:pPr>
            <w:r>
              <w:rPr>
                <w:sz w:val="17"/>
                <w:szCs w:val="17"/>
              </w:rPr>
              <w:t xml:space="preserve">单位名称：</w:t>
            </w:r>
            <w:r>
              <w:rPr>
                <w:rFonts w:hint="eastAsia"/>
                <w:sz w:val="17"/>
                <w:szCs w:val="17"/>
                <w:lang w:eastAsia="zh-CN"/>
              </w:rPr>
              <w:t xml:space="preserve">环江毛南族自治县第四初级中学</w:t>
            </w:r>
          </w:p>
        </w:tc>
        <w:tc>
          <w:tcPr>
            <w:tcW w:w="3571" w:type="dxa"/>
            <w:tcBorders>
              <w:bottom w:val="single" w:sz="4" w:space="0" w:color="auto"/>
            </w:tcBorders>
            <w:shd w:val="clear" w:color="auto" w:fill="FFFFFF"/>
          </w:tcPr>
          <w:p>
            <w:pPr>
              <w:pStyle w:val="Other|1"/>
              <w:spacing w:line="240" w:lineRule="auto"/>
              <w:ind w:firstLine="2380" w:firstLineChars="1400"/>
              <w:jc w:val="left"/>
              <w:rPr>
                <w:sz w:val="17"/>
                <w:szCs w:val="17"/>
              </w:rPr>
            </w:pPr>
            <w:r>
              <w:rPr>
                <w:sz w:val="17"/>
                <w:szCs w:val="17"/>
              </w:rPr>
              <w:t xml:space="preserve">单位：万元</w:t>
            </w:r>
          </w:p>
        </w:tc>
      </w:tr>
      <w:tr>
        <w:tblPrEx>
          <w:tblW w:w="0" w:type="auto"/>
          <w:tblInd w:w="0" w:type="dxa"/>
          <w:tblLayout w:type="fixed"/>
          <w:tblCellMar>
            <w:top w:w="0" w:type="dxa"/>
            <w:left w:w="10" w:type="dxa"/>
            <w:bottom w:w="0" w:type="dxa"/>
            <w:right w:w="10" w:type="dxa"/>
          </w:tblCellMar>
        </w:tblPrEx>
        <w:trPr>
          <w:cantSplit/>
          <w:trHeight w:hRule="exact" w:val="456"/>
        </w:trPr>
        <w:tc>
          <w:tcPr>
            <w:tcW w:w="7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2890" w:firstLineChars="1700"/>
              <w:jc w:val="both"/>
              <w:rPr>
                <w:sz w:val="17"/>
                <w:szCs w:val="17"/>
              </w:rPr>
            </w:pPr>
            <w:r>
              <w:rPr>
                <w:sz w:val="17"/>
                <w:szCs w:val="17"/>
              </w:rPr>
              <w:t xml:space="preserve">收入</w:t>
            </w:r>
          </w:p>
        </w:tc>
        <w:tc>
          <w:tcPr>
            <w:tcW w:w="71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right="340" w:firstLine="2890" w:firstLineChars="1700"/>
              <w:jc w:val="both"/>
              <w:rPr>
                <w:sz w:val="17"/>
                <w:szCs w:val="17"/>
              </w:rPr>
            </w:pPr>
            <w:r>
              <w:rPr>
                <w:sz w:val="17"/>
                <w:szCs w:val="17"/>
              </w:rPr>
              <w:t xml:space="preserve">支出</w:t>
            </w:r>
          </w:p>
        </w:tc>
      </w:tr>
      <w:tr>
        <w:tblPrEx>
          <w:tblW w:w="0" w:type="auto"/>
          <w:tblInd w:w="0" w:type="dxa"/>
          <w:tblLayout w:type="fixed"/>
          <w:tblCellMar>
            <w:top w:w="0" w:type="dxa"/>
            <w:left w:w="10" w:type="dxa"/>
            <w:bottom w:w="0" w:type="dxa"/>
            <w:right w:w="10" w:type="dxa"/>
          </w:tblCellMar>
        </w:tblPrEx>
        <w:trPr>
          <w:cantSplit/>
          <w:trHeight w:hRule="exact" w:val="432"/>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sz w:val="17"/>
                <w:szCs w:val="17"/>
              </w:rPr>
            </w:pPr>
            <w:r>
              <w:rPr>
                <w:sz w:val="17"/>
                <w:szCs w:val="17"/>
              </w:rPr>
              <w:t xml:space="preserve">项目</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sz w:val="17"/>
                <w:szCs w:val="17"/>
              </w:rPr>
            </w:pPr>
            <w:r>
              <w:rPr>
                <w:sz w:val="17"/>
                <w:szCs w:val="17"/>
              </w:rPr>
              <w:t xml:space="preserve">预算数</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tabs>
                <w:tab w:val="left" w:pos="894"/>
              </w:tabs>
              <w:spacing w:line="240" w:lineRule="auto"/>
              <w:jc w:val="left"/>
              <w:rPr>
                <w:sz w:val="17"/>
                <w:szCs w:val="17"/>
              </w:rPr>
            </w:pPr>
            <w:r>
              <w:rPr>
                <w:sz w:val="17"/>
                <w:szCs w:val="17"/>
              </w:rPr>
              <w:t xml:space="preserve">项</w:t>
            </w:r>
            <w:r>
              <w:rPr>
                <w:sz w:val="17"/>
                <w:szCs w:val="17"/>
              </w:rPr>
              <w:tab/>
            </w:r>
            <w:r>
              <w:rPr>
                <w:sz w:val="17"/>
                <w:szCs w:val="17"/>
              </w:rPr>
              <w:t xml:space="preserve">目（按支出功能科目分类）</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sz w:val="17"/>
                <w:szCs w:val="17"/>
              </w:rPr>
            </w:pPr>
            <w:r>
              <w:rPr>
                <w:sz w:val="17"/>
                <w:szCs w:val="17"/>
              </w:rPr>
              <w:t xml:space="preserve">预算数</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一、一般公共预算拨款</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1435.24</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一、一般公共服务支出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20.77</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1、上级补助</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二、外交支出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2、本级</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1435.24</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三、国防支出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二、政府性基金预算拨款</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四、公共安全支出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1、上级补助</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五、教育支出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1161.07</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2、本级</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六、科学技术支出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三、国有资本经营预算拨款</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七、文化旅游体育与传媒支出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1、上级补助</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八、社会保障和就业支出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166.17</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2、本级</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九、卫生健康支出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四、财政专户管理资金收入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十、节能环保支出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五、事业收入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十一、城乡社区支出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六、事业单位经营收入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十二、农林水支出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七、上级补助收入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十三、交通运输支出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八、附属单位上缴收入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十四、资源勘探工业信息等支出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九、其他收入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十五、商业服务业等支出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十六、金融支出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十七、援助其他地区支出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十八、自然资源海洋气象等支出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十九、住房保障支出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141.18</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二十、粮油物资储备支出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二十一、国有资本经营预算支出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二十二、灾害防治及应急管理支出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二十三、其他支出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二十四、债务还本支出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二十五、债务付息支出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二十六、债务发行费用支出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本年收入合计</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1435.24</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本年支出合计</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1489.19</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上年结转结余</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53.95</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结转下年支出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收入总计</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1489.19</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支出总计</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1489.19</w:t>
            </w:r>
          </w:p>
        </w:tc>
      </w:tr>
    </w:tbl>
    <w:p>
      <w:pPr>
        <w:pStyle w:val="Tablecaption|1"/>
        <w:ind w:left="101"/>
        <w:jc w:val="left"/>
      </w:pPr>
      <w:r>
        <w:t xml:space="preserve">注：报表金额单位转换时可能存在四舍五入尾数误差。</w:t>
      </w:r>
    </w:p>
    <w:p>
      <w:pPr>
        <w:tabs>
          <w:tab w:val="left" w:pos="859"/>
        </w:tabs>
        <w:jc w:val="left"/>
        <w:rPr>
          <w:rFonts w:eastAsia="宋体"/>
          <w:lang w:eastAsia="zh-CN"/>
        </w:rPr>
      </w:pPr>
    </w:p>
    <w:p>
      <w:pPr>
        <w:tabs>
          <w:tab w:val="left" w:pos="859"/>
        </w:tabs>
        <w:jc w:val="left"/>
        <w:rPr>
          <w:rFonts w:eastAsia="宋体"/>
          <w:lang w:eastAsia="zh-CN"/>
        </w:rPr>
      </w:pPr>
    </w:p>
    <w:p>
      <w:pPr>
        <w:tabs>
          <w:tab w:val="left" w:pos="859"/>
        </w:tabs>
        <w:jc w:val="left"/>
        <w:rPr>
          <w:rFonts w:eastAsia="宋体"/>
          <w:lang w:eastAsia="zh-CN"/>
        </w:rPr>
      </w:pPr>
    </w:p>
    <w:p>
      <w:pPr>
        <w:tabs>
          <w:tab w:val="left" w:pos="859"/>
        </w:tabs>
        <w:jc w:val="left"/>
        <w:rPr>
          <w:rFonts w:eastAsia="宋体"/>
          <w:lang w:eastAsia="zh-CN"/>
        </w:rPr>
        <w:sectPr>
          <w:headerReference w:type="default" r:id="rId16"/>
          <w:footerReference w:type="default" r:id="rId17"/>
          <w:pgSz w:w="16840" w:h="11900" w:orient="landscape"/>
          <w:pgMar w:top="2397" w:right="761" w:bottom="1966" w:left="739" w:header="0" w:footer="1474" w:gutter="0"/>
          <w:pgBorders>
            <w:top w:val="none" w:sz="0" w:space="0" w:color="auto"/>
            <w:left w:val="none" w:sz="0" w:space="0" w:color="auto"/>
            <w:bottom w:val="none" w:sz="0" w:space="0" w:color="auto"/>
            <w:right w:val="none" w:sz="0" w:space="0" w:color="auto"/>
          </w:pgBorders>
          <w:pgNumType w:fmt="decimal"/>
          <w:cols w:num="1" w:space="720">
            <w:col w:w="15340" w:space="720"/>
          </w:cols>
          <w:docGrid w:linePitch="360" w:charSpace="0"/>
        </w:sectPr>
      </w:pPr>
    </w:p>
    <w:p>
      <w:pPr>
        <w:tabs>
          <w:tab w:val="left" w:pos="859"/>
        </w:tabs>
        <w:jc w:val="left"/>
        <w:rPr>
          <w:rFonts w:eastAsia="宋体"/>
          <w:lang w:eastAsia="zh-CN"/>
        </w:rPr>
      </w:pPr>
    </w:p>
    <w:p>
      <w:pPr>
        <w:tabs>
          <w:tab w:val="left" w:pos="859"/>
        </w:tabs>
        <w:jc w:val="center"/>
        <w:rPr>
          <w:rFonts w:eastAsia="宋体" w:hint="eastAsia"/>
          <w:lang w:val="en-US" w:eastAsia="zh-CN"/>
        </w:rPr>
      </w:pPr>
    </w:p>
    <w:p>
      <w:pPr>
        <w:tabs>
          <w:tab w:val="left" w:pos="859"/>
        </w:tabs>
        <w:jc w:val="center"/>
        <w:rPr>
          <w:rFonts w:eastAsia="宋体" w:hint="eastAsia"/>
          <w:lang w:val="en-US" w:eastAsia="zh-CN"/>
        </w:rPr>
      </w:pPr>
      <w:r>
        <w:rPr>
          <w:rFonts w:eastAsia="宋体" w:hint="eastAsia"/>
          <w:lang w:val="en-US" w:eastAsia="zh-CN"/>
        </w:rPr>
        <w:t xml:space="preserve">收入总体情况表</w:t>
      </w:r>
    </w:p>
    <w:p>
      <w:pPr>
        <w:tabs>
          <w:tab w:val="left" w:pos="859"/>
        </w:tabs>
        <w:jc w:val="center"/>
        <w:rPr>
          <w:rFonts w:eastAsia="宋体" w:hint="eastAsia"/>
          <w:lang w:val="en-US" w:eastAsia="zh-CN"/>
        </w:rPr>
      </w:pP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Look w:firstRow="0" w:lastRow="0" w:firstColumn="0" w:lastColumn="0" w:noHBand="1" w:noVBand="1"/>
      </w:tblPr>
      <w:tblGrid>
        <w:gridCol w:w="1636"/>
        <w:gridCol w:w="1279"/>
        <w:gridCol w:w="990"/>
        <w:gridCol w:w="926"/>
        <w:gridCol w:w="909"/>
        <w:gridCol w:w="968"/>
        <w:gridCol w:w="990"/>
        <w:gridCol w:w="1078"/>
        <w:gridCol w:w="972"/>
        <w:gridCol w:w="919"/>
        <w:gridCol w:w="1011"/>
        <w:gridCol w:w="859"/>
        <w:gridCol w:w="944"/>
        <w:gridCol w:w="150"/>
        <w:gridCol w:w="937"/>
        <w:gridCol w:w="989"/>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cantSplit/>
          <w:trHeight w:val="270"/>
        </w:trPr>
        <w:tc>
          <w:tcPr>
            <w:tcW w:w="13481" w:type="dxa"/>
            <w:gridSpan w:val="13"/>
            <w:tcBorders>
              <w:top w:val="nil"/>
              <w:left w:val="nil"/>
              <w:right w:val="nil"/>
            </w:tcBorders>
          </w:tcPr>
          <w:p>
            <w:pPr>
              <w:pStyle w:val="Tablecaption|1"/>
              <w:jc w:val="both"/>
              <w:rPr>
                <w:rFonts w:hint="eastAsia"/>
                <w:lang w:val="en-US" w:eastAsia="zh-CN"/>
              </w:rPr>
            </w:pPr>
            <w:r>
              <w:rPr>
                <w:sz w:val="17"/>
                <w:szCs w:val="17"/>
              </w:rPr>
              <w:t xml:space="preserve">单位名称：</w:t>
            </w:r>
            <w:r>
              <w:rPr>
                <w:rFonts w:hint="eastAsia"/>
                <w:sz w:val="17"/>
                <w:szCs w:val="17"/>
                <w:lang w:eastAsia="zh-CN"/>
              </w:rPr>
              <w:t xml:space="preserve">环江毛南族自治县第四初级中学</w:t>
            </w:r>
          </w:p>
        </w:tc>
        <w:tc>
          <w:tcPr>
            <w:tcW w:w="2076" w:type="dxa"/>
            <w:gridSpan w:val="3"/>
            <w:tcBorders>
              <w:top w:val="nil"/>
              <w:left w:val="nil"/>
              <w:right w:val="nil"/>
            </w:tcBorders>
          </w:tcPr>
          <w:p>
            <w:pPr>
              <w:pStyle w:val="Tablecaption|1"/>
              <w:ind w:firstLine="340" w:firstLineChars="200"/>
              <w:jc w:val="left"/>
              <w:rPr>
                <w:rFonts w:hint="eastAsia"/>
                <w:lang w:val="en-US" w:eastAsia="zh-CN"/>
              </w:rPr>
            </w:pPr>
            <w:r>
              <w:rPr>
                <w:sz w:val="17"/>
                <w:szCs w:val="17"/>
              </w:rPr>
              <w:t xml:space="preserve">单位：万元</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cantSplit/>
        </w:trPr>
        <w:tc>
          <w:tcPr>
            <w:tcW w:w="1636" w:type="dxa"/>
            <w:vMerge w:val="restart"/>
            <w:vAlign w:val="center"/>
          </w:tcPr>
          <w:p>
            <w:pPr>
              <w:tabs>
                <w:tab w:val="left" w:pos="859"/>
              </w:tabs>
              <w:jc w:val="center"/>
              <w:rPr>
                <w:rFonts w:eastAsia="宋体" w:hint="eastAsia"/>
                <w:vertAlign w:val="baseline"/>
                <w:lang w:val="en-US" w:eastAsia="zh-CN"/>
              </w:rPr>
            </w:pPr>
            <w:r>
              <w:rPr>
                <w:sz w:val="17"/>
                <w:szCs w:val="17"/>
              </w:rPr>
              <w:t xml:space="preserve">部门（单位）代码</w:t>
            </w:r>
          </w:p>
        </w:tc>
        <w:tc>
          <w:tcPr>
            <w:tcW w:w="1279" w:type="dxa"/>
            <w:vMerge w:val="restart"/>
            <w:vAlign w:val="center"/>
          </w:tcPr>
          <w:p>
            <w:pPr>
              <w:tabs>
                <w:tab w:val="left" w:pos="859"/>
              </w:tabs>
              <w:jc w:val="center"/>
              <w:rPr>
                <w:rFonts w:eastAsia="宋体" w:hint="eastAsia"/>
                <w:vertAlign w:val="baseline"/>
                <w:lang w:val="en-US" w:eastAsia="zh-CN"/>
              </w:rPr>
            </w:pPr>
            <w:r>
              <w:rPr>
                <w:sz w:val="17"/>
                <w:szCs w:val="17"/>
              </w:rPr>
              <w:t xml:space="preserve">部门（单位）名称</w:t>
            </w:r>
          </w:p>
        </w:tc>
        <w:tc>
          <w:tcPr>
            <w:tcW w:w="990" w:type="dxa"/>
            <w:vMerge w:val="restart"/>
            <w:vAlign w:val="center"/>
          </w:tcPr>
          <w:p>
            <w:pPr>
              <w:pStyle w:val="Other|1"/>
              <w:spacing w:line="240" w:lineRule="auto"/>
              <w:ind w:left="0" w:firstLine="0" w:leftChars="0" w:firstLineChars="0"/>
              <w:jc w:val="center"/>
              <w:rPr>
                <w:rFonts w:eastAsia="宋体" w:hint="eastAsia"/>
                <w:vertAlign w:val="baseline"/>
                <w:lang w:val="en-US" w:eastAsia="zh-CN"/>
              </w:rPr>
            </w:pPr>
            <w:r>
              <w:rPr>
                <w:rFonts w:hint="eastAsia"/>
                <w:sz w:val="17"/>
                <w:szCs w:val="17"/>
                <w:lang w:val="en-US" w:eastAsia="zh-CN"/>
              </w:rPr>
              <w:t xml:space="preserve">合</w:t>
            </w:r>
            <w:r>
              <w:rPr>
                <w:sz w:val="17"/>
                <w:szCs w:val="17"/>
              </w:rPr>
              <w:t xml:space="preserve">计</w:t>
            </w:r>
          </w:p>
        </w:tc>
        <w:tc>
          <w:tcPr>
            <w:tcW w:w="5843" w:type="dxa"/>
            <w:gridSpan w:val="6"/>
          </w:tcPr>
          <w:p>
            <w:pPr>
              <w:tabs>
                <w:tab w:val="left" w:pos="859"/>
              </w:tabs>
              <w:jc w:val="center"/>
              <w:rPr>
                <w:rFonts w:eastAsia="宋体" w:hint="eastAsia"/>
                <w:vertAlign w:val="baseline"/>
                <w:lang w:val="en-US" w:eastAsia="zh-CN"/>
              </w:rPr>
            </w:pPr>
            <w:r>
              <w:rPr>
                <w:sz w:val="17"/>
                <w:szCs w:val="17"/>
              </w:rPr>
              <w:t xml:space="preserve">本年收入</w:t>
            </w:r>
          </w:p>
        </w:tc>
        <w:tc>
          <w:tcPr>
            <w:tcW w:w="5809" w:type="dxa"/>
            <w:gridSpan w:val="7"/>
          </w:tcPr>
          <w:p>
            <w:pPr>
              <w:tabs>
                <w:tab w:val="left" w:pos="859"/>
              </w:tabs>
              <w:jc w:val="center"/>
              <w:rPr>
                <w:rFonts w:eastAsia="宋体" w:hint="eastAsia"/>
                <w:vertAlign w:val="baseline"/>
                <w:lang w:val="en-US" w:eastAsia="zh-CN"/>
              </w:rPr>
            </w:pPr>
            <w:r>
              <w:rPr>
                <w:sz w:val="17"/>
                <w:szCs w:val="17"/>
              </w:rPr>
              <w:t xml:space="preserve">上年结转结余</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cantSplit/>
          <w:trHeight w:val="1058"/>
        </w:trPr>
        <w:tc>
          <w:tcPr>
            <w:tcW w:w="1636" w:type="dxa"/>
            <w:vMerge/>
          </w:tcPr>
          <w:p>
            <w:pPr>
              <w:tabs>
                <w:tab w:val="left" w:pos="859"/>
              </w:tabs>
              <w:jc w:val="center"/>
              <w:rPr>
                <w:rFonts w:eastAsia="宋体" w:hint="eastAsia"/>
                <w:vertAlign w:val="baseline"/>
                <w:lang w:val="en-US" w:eastAsia="zh-CN"/>
              </w:rPr>
            </w:pPr>
          </w:p>
        </w:tc>
        <w:tc>
          <w:tcPr>
            <w:tcW w:w="1279" w:type="dxa"/>
            <w:vMerge/>
          </w:tcPr>
          <w:p>
            <w:pPr>
              <w:tabs>
                <w:tab w:val="left" w:pos="859"/>
              </w:tabs>
              <w:jc w:val="center"/>
              <w:rPr>
                <w:rFonts w:eastAsia="宋体" w:hint="eastAsia"/>
                <w:vertAlign w:val="baseline"/>
                <w:lang w:val="en-US" w:eastAsia="zh-CN"/>
              </w:rPr>
            </w:pPr>
          </w:p>
        </w:tc>
        <w:tc>
          <w:tcPr>
            <w:tcW w:w="990" w:type="dxa"/>
            <w:vMerge/>
            <w:vAlign w:val="center"/>
          </w:tcPr>
          <w:p>
            <w:pPr>
              <w:pStyle w:val="Other|1"/>
              <w:spacing w:line="240" w:lineRule="auto"/>
              <w:ind w:firstLine="300" w:firstLineChars="0"/>
              <w:jc w:val="center"/>
              <w:rPr>
                <w:rFonts w:eastAsia="宋体" w:hint="eastAsia"/>
                <w:vertAlign w:val="baseline"/>
                <w:lang w:val="en-US" w:eastAsia="zh-CN"/>
              </w:rPr>
            </w:pPr>
          </w:p>
        </w:tc>
        <w:tc>
          <w:tcPr>
            <w:tcW w:w="926" w:type="dxa"/>
            <w:vAlign w:val="center"/>
          </w:tcPr>
          <w:p>
            <w:pPr>
              <w:pStyle w:val="Other|1"/>
              <w:spacing w:line="240" w:lineRule="auto"/>
              <w:ind w:firstLine="300" w:firstLineChars="0"/>
              <w:jc w:val="center"/>
              <w:rPr>
                <w:rFonts w:eastAsia="宋体" w:hint="eastAsia"/>
                <w:vertAlign w:val="baseline"/>
                <w:lang w:val="en-US" w:eastAsia="zh-CN"/>
              </w:rPr>
            </w:pPr>
            <w:r>
              <w:rPr>
                <w:sz w:val="17"/>
                <w:szCs w:val="17"/>
              </w:rPr>
              <w:t xml:space="preserve">小计</w:t>
            </w:r>
          </w:p>
        </w:tc>
        <w:tc>
          <w:tcPr>
            <w:tcW w:w="909" w:type="dxa"/>
            <w:vAlign w:val="center"/>
          </w:tcPr>
          <w:p>
            <w:pPr>
              <w:pStyle w:val="Other|1"/>
              <w:spacing w:line="317" w:lineRule="exact"/>
              <w:ind w:firstLine="0" w:firstLineChars="0"/>
              <w:jc w:val="center"/>
              <w:rPr>
                <w:rFonts w:eastAsia="宋体" w:hint="eastAsia"/>
                <w:vertAlign w:val="baseline"/>
                <w:lang w:val="en-US" w:eastAsia="zh-CN"/>
              </w:rPr>
            </w:pPr>
            <w:r>
              <w:rPr>
                <w:sz w:val="17"/>
                <w:szCs w:val="17"/>
              </w:rPr>
              <w:t xml:space="preserve">一般公共预算</w:t>
            </w:r>
          </w:p>
        </w:tc>
        <w:tc>
          <w:tcPr>
            <w:tcW w:w="968" w:type="dxa"/>
            <w:vAlign w:val="center"/>
          </w:tcPr>
          <w:p>
            <w:pPr>
              <w:pStyle w:val="Other|1"/>
              <w:spacing w:line="317" w:lineRule="exact"/>
              <w:ind w:firstLine="0" w:firstLineChars="0"/>
              <w:jc w:val="center"/>
              <w:rPr>
                <w:rFonts w:eastAsia="宋体" w:hint="eastAsia"/>
                <w:vertAlign w:val="baseline"/>
                <w:lang w:val="en-US" w:eastAsia="zh-CN"/>
              </w:rPr>
            </w:pPr>
            <w:r>
              <w:rPr>
                <w:sz w:val="17"/>
                <w:szCs w:val="17"/>
              </w:rPr>
              <w:t xml:space="preserve">政府性基金预算</w:t>
            </w:r>
          </w:p>
        </w:tc>
        <w:tc>
          <w:tcPr>
            <w:tcW w:w="990" w:type="dxa"/>
            <w:vAlign w:val="center"/>
          </w:tcPr>
          <w:p>
            <w:pPr>
              <w:pStyle w:val="Other|1"/>
              <w:spacing w:line="317" w:lineRule="exact"/>
              <w:ind w:firstLine="0" w:firstLineChars="0"/>
              <w:jc w:val="center"/>
              <w:rPr>
                <w:rFonts w:eastAsia="宋体" w:hint="eastAsia"/>
                <w:vertAlign w:val="baseline"/>
                <w:lang w:val="en-US" w:eastAsia="zh-CN"/>
              </w:rPr>
            </w:pPr>
            <w:r>
              <w:rPr>
                <w:sz w:val="17"/>
                <w:szCs w:val="17"/>
              </w:rPr>
              <w:t xml:space="preserve">国有资本经营预算</w:t>
            </w:r>
          </w:p>
        </w:tc>
        <w:tc>
          <w:tcPr>
            <w:tcW w:w="1078" w:type="dxa"/>
          </w:tcPr>
          <w:p>
            <w:pPr>
              <w:pStyle w:val="Other|1"/>
              <w:spacing w:line="312" w:lineRule="exact"/>
              <w:ind w:firstLine="0"/>
              <w:jc w:val="center"/>
              <w:rPr>
                <w:sz w:val="17"/>
                <w:szCs w:val="17"/>
              </w:rPr>
            </w:pPr>
            <w:r>
              <w:rPr>
                <w:sz w:val="17"/>
                <w:szCs w:val="17"/>
              </w:rPr>
              <w:t xml:space="preserve">财政专户管理资金</w:t>
            </w:r>
          </w:p>
          <w:p>
            <w:pPr>
              <w:pStyle w:val="Other|1"/>
              <w:spacing w:line="312" w:lineRule="exact"/>
              <w:ind w:firstLine="0" w:firstLineChars="0"/>
              <w:jc w:val="center"/>
              <w:rPr>
                <w:rFonts w:eastAsia="宋体" w:hint="eastAsia"/>
                <w:vertAlign w:val="baseline"/>
                <w:lang w:val="en-US" w:eastAsia="zh-CN"/>
              </w:rPr>
            </w:pPr>
            <w:r>
              <w:rPr>
                <w:sz w:val="17"/>
                <w:szCs w:val="17"/>
              </w:rPr>
              <w:t xml:space="preserve">收入</w:t>
            </w:r>
          </w:p>
        </w:tc>
        <w:tc>
          <w:tcPr>
            <w:tcW w:w="972" w:type="dxa"/>
            <w:vAlign w:val="center"/>
          </w:tcPr>
          <w:p>
            <w:pPr>
              <w:pStyle w:val="Other|1"/>
              <w:spacing w:line="240" w:lineRule="auto"/>
              <w:ind w:firstLine="0" w:firstLineChars="0"/>
              <w:jc w:val="center"/>
              <w:rPr>
                <w:rFonts w:eastAsia="宋体" w:hint="eastAsia"/>
                <w:vertAlign w:val="baseline"/>
                <w:lang w:val="en-US" w:eastAsia="zh-CN"/>
              </w:rPr>
            </w:pPr>
            <w:r>
              <w:rPr>
                <w:sz w:val="17"/>
                <w:szCs w:val="17"/>
              </w:rPr>
              <w:t xml:space="preserve">单位资金</w:t>
            </w:r>
          </w:p>
        </w:tc>
        <w:tc>
          <w:tcPr>
            <w:tcW w:w="919" w:type="dxa"/>
            <w:vAlign w:val="center"/>
          </w:tcPr>
          <w:p>
            <w:pPr>
              <w:pStyle w:val="Other|1"/>
              <w:spacing w:line="240" w:lineRule="auto"/>
              <w:ind w:firstLine="300" w:firstLineChars="0"/>
              <w:jc w:val="center"/>
              <w:rPr>
                <w:rFonts w:eastAsia="宋体" w:hint="eastAsia"/>
                <w:vertAlign w:val="baseline"/>
                <w:lang w:val="en-US" w:eastAsia="zh-CN"/>
              </w:rPr>
            </w:pPr>
            <w:r>
              <w:rPr>
                <w:sz w:val="17"/>
                <w:szCs w:val="17"/>
              </w:rPr>
              <w:t xml:space="preserve">小计</w:t>
            </w:r>
          </w:p>
        </w:tc>
        <w:tc>
          <w:tcPr>
            <w:tcW w:w="1011" w:type="dxa"/>
            <w:vAlign w:val="center"/>
          </w:tcPr>
          <w:p>
            <w:pPr>
              <w:pStyle w:val="Other|1"/>
              <w:spacing w:line="317" w:lineRule="exact"/>
              <w:ind w:firstLine="0" w:firstLineChars="0"/>
              <w:jc w:val="center"/>
              <w:rPr>
                <w:rFonts w:eastAsia="宋体" w:hint="eastAsia"/>
                <w:vertAlign w:val="baseline"/>
                <w:lang w:val="en-US" w:eastAsia="zh-CN"/>
              </w:rPr>
            </w:pPr>
            <w:r>
              <w:rPr>
                <w:sz w:val="17"/>
                <w:szCs w:val="17"/>
              </w:rPr>
              <w:t xml:space="preserve">一般公共预算</w:t>
            </w:r>
          </w:p>
        </w:tc>
        <w:tc>
          <w:tcPr>
            <w:tcW w:w="859" w:type="dxa"/>
            <w:vAlign w:val="center"/>
          </w:tcPr>
          <w:p>
            <w:pPr>
              <w:pStyle w:val="Other|1"/>
              <w:spacing w:line="317" w:lineRule="exact"/>
              <w:ind w:firstLine="0" w:firstLineChars="0"/>
              <w:jc w:val="center"/>
              <w:rPr>
                <w:rFonts w:eastAsia="宋体" w:hint="eastAsia"/>
                <w:vertAlign w:val="baseline"/>
                <w:lang w:val="en-US" w:eastAsia="zh-CN"/>
              </w:rPr>
            </w:pPr>
            <w:r>
              <w:rPr>
                <w:sz w:val="17"/>
                <w:szCs w:val="17"/>
              </w:rPr>
              <w:t xml:space="preserve">政府性基金预算</w:t>
            </w:r>
          </w:p>
        </w:tc>
        <w:tc>
          <w:tcPr>
            <w:tcW w:w="1094" w:type="dxa"/>
            <w:gridSpan w:val="2"/>
            <w:vAlign w:val="center"/>
          </w:tcPr>
          <w:p>
            <w:pPr>
              <w:pStyle w:val="Other|1"/>
              <w:spacing w:line="317" w:lineRule="exact"/>
              <w:ind w:firstLine="0" w:firstLineChars="0"/>
              <w:jc w:val="center"/>
              <w:rPr>
                <w:rFonts w:eastAsia="宋体" w:hint="eastAsia"/>
                <w:vertAlign w:val="baseline"/>
                <w:lang w:val="en-US" w:eastAsia="zh-CN"/>
              </w:rPr>
            </w:pPr>
            <w:r>
              <w:rPr>
                <w:sz w:val="17"/>
                <w:szCs w:val="17"/>
              </w:rPr>
              <w:t xml:space="preserve">国有资本经营预算</w:t>
            </w:r>
          </w:p>
        </w:tc>
        <w:tc>
          <w:tcPr>
            <w:tcW w:w="937" w:type="dxa"/>
          </w:tcPr>
          <w:p>
            <w:pPr>
              <w:pStyle w:val="Other|1"/>
              <w:spacing w:line="312" w:lineRule="exact"/>
              <w:ind w:firstLine="0"/>
              <w:jc w:val="center"/>
              <w:rPr>
                <w:sz w:val="17"/>
                <w:szCs w:val="17"/>
              </w:rPr>
            </w:pPr>
            <w:r>
              <w:rPr>
                <w:sz w:val="17"/>
                <w:szCs w:val="17"/>
              </w:rPr>
              <w:t xml:space="preserve">财政专户管理资金</w:t>
            </w:r>
          </w:p>
          <w:p>
            <w:pPr>
              <w:pStyle w:val="Other|1"/>
              <w:spacing w:line="312" w:lineRule="exact"/>
              <w:ind w:right="280" w:firstLine="0" w:rightChars="0" w:firstLineChars="0"/>
              <w:jc w:val="center"/>
              <w:rPr>
                <w:rFonts w:eastAsia="宋体" w:hint="eastAsia"/>
                <w:vertAlign w:val="baseline"/>
                <w:lang w:val="en-US" w:eastAsia="zh-CN"/>
              </w:rPr>
            </w:pPr>
            <w:r>
              <w:rPr>
                <w:sz w:val="17"/>
                <w:szCs w:val="17"/>
              </w:rPr>
              <w:t xml:space="preserve">收入</w:t>
            </w:r>
          </w:p>
        </w:tc>
        <w:tc>
          <w:tcPr>
            <w:tcW w:w="989" w:type="dxa"/>
            <w:vAlign w:val="center"/>
          </w:tcPr>
          <w:p>
            <w:pPr>
              <w:pStyle w:val="Other|1"/>
              <w:spacing w:line="240" w:lineRule="auto"/>
              <w:ind w:firstLine="140" w:firstLineChars="0"/>
              <w:jc w:val="center"/>
              <w:rPr>
                <w:rFonts w:eastAsia="宋体" w:hint="eastAsia"/>
                <w:vertAlign w:val="baseline"/>
                <w:lang w:val="en-US" w:eastAsia="zh-CN"/>
              </w:rPr>
            </w:pPr>
            <w:r>
              <w:rPr>
                <w:sz w:val="17"/>
                <w:szCs w:val="17"/>
              </w:rPr>
              <w:t xml:space="preserve">单位资金</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cantSplit/>
        </w:trPr>
        <w:tc>
          <w:tcPr>
            <w:tcW w:w="1636" w:type="dxa"/>
          </w:tcPr>
          <w:p>
            <w:pPr>
              <w:tabs>
                <w:tab w:val="left" w:pos="859"/>
              </w:tabs>
              <w:jc w:val="both"/>
              <w:rPr>
                <w:rFonts w:eastAsia="宋体" w:hint="eastAsia"/>
                <w:vertAlign w:val="baseline"/>
                <w:lang w:val="en-US" w:eastAsia="zh-CN"/>
              </w:rPr>
            </w:pPr>
          </w:p>
        </w:tc>
        <w:tc>
          <w:tcPr>
            <w:tcW w:w="1279" w:type="dxa"/>
          </w:tcPr>
          <w:p>
            <w:pPr>
              <w:tabs>
                <w:tab w:val="left" w:pos="859"/>
              </w:tabs>
              <w:jc w:val="both"/>
              <w:rPr>
                <w:rFonts w:eastAsia="宋体" w:hint="eastAsia"/>
                <w:vertAlign w:val="baseline"/>
                <w:lang w:val="en-US" w:eastAsia="zh-CN"/>
              </w:rPr>
            </w:pPr>
          </w:p>
        </w:tc>
        <w:tc>
          <w:tcPr>
            <w:tcW w:w="990" w:type="dxa"/>
            <w:vAlign w:val="center"/>
          </w:tcPr>
          <w:p>
            <w:pPr>
              <w:pStyle w:val="Other|1"/>
              <w:spacing w:line="240" w:lineRule="auto"/>
              <w:ind w:firstLine="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1</w:t>
            </w:r>
          </w:p>
        </w:tc>
        <w:tc>
          <w:tcPr>
            <w:tcW w:w="926" w:type="dxa"/>
            <w:vAlign w:val="center"/>
          </w:tcPr>
          <w:p>
            <w:pPr>
              <w:pStyle w:val="Other|1"/>
              <w:spacing w:line="240" w:lineRule="auto"/>
              <w:ind w:firstLine="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2</w:t>
            </w:r>
          </w:p>
        </w:tc>
        <w:tc>
          <w:tcPr>
            <w:tcW w:w="909" w:type="dxa"/>
            <w:vAlign w:val="center"/>
          </w:tcPr>
          <w:p>
            <w:pPr>
              <w:pStyle w:val="Other|1"/>
              <w:spacing w:line="240" w:lineRule="auto"/>
              <w:ind w:firstLine="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3</w:t>
            </w:r>
          </w:p>
        </w:tc>
        <w:tc>
          <w:tcPr>
            <w:tcW w:w="968" w:type="dxa"/>
            <w:vAlign w:val="center"/>
          </w:tcPr>
          <w:p>
            <w:pPr>
              <w:pStyle w:val="Other|1"/>
              <w:spacing w:line="240" w:lineRule="auto"/>
              <w:ind w:left="0" w:firstLine="0" w:leftChars="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4</w:t>
            </w:r>
          </w:p>
        </w:tc>
        <w:tc>
          <w:tcPr>
            <w:tcW w:w="990" w:type="dxa"/>
            <w:vAlign w:val="center"/>
          </w:tcPr>
          <w:p>
            <w:pPr>
              <w:pStyle w:val="Other|1"/>
              <w:spacing w:line="240" w:lineRule="auto"/>
              <w:ind w:left="0" w:firstLine="0" w:leftChars="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5</w:t>
            </w:r>
          </w:p>
        </w:tc>
        <w:tc>
          <w:tcPr>
            <w:tcW w:w="1078" w:type="dxa"/>
            <w:vAlign w:val="center"/>
          </w:tcPr>
          <w:p>
            <w:pPr>
              <w:pStyle w:val="Other|1"/>
              <w:spacing w:line="240" w:lineRule="auto"/>
              <w:ind w:left="0" w:firstLine="0" w:leftChars="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6</w:t>
            </w:r>
          </w:p>
        </w:tc>
        <w:tc>
          <w:tcPr>
            <w:tcW w:w="972" w:type="dxa"/>
            <w:vAlign w:val="center"/>
          </w:tcPr>
          <w:p>
            <w:pPr>
              <w:pStyle w:val="Other|1"/>
              <w:spacing w:line="240" w:lineRule="auto"/>
              <w:ind w:left="0" w:firstLine="0" w:leftChars="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7</w:t>
            </w:r>
          </w:p>
        </w:tc>
        <w:tc>
          <w:tcPr>
            <w:tcW w:w="919" w:type="dxa"/>
            <w:vAlign w:val="center"/>
          </w:tcPr>
          <w:p>
            <w:pPr>
              <w:pStyle w:val="Other|1"/>
              <w:spacing w:line="240" w:lineRule="auto"/>
              <w:ind w:left="0" w:firstLine="0" w:leftChars="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8</w:t>
            </w:r>
          </w:p>
        </w:tc>
        <w:tc>
          <w:tcPr>
            <w:tcW w:w="1011" w:type="dxa"/>
            <w:vAlign w:val="center"/>
          </w:tcPr>
          <w:p>
            <w:pPr>
              <w:pStyle w:val="Other|1"/>
              <w:spacing w:line="240" w:lineRule="auto"/>
              <w:ind w:left="0" w:firstLine="0" w:leftChars="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9</w:t>
            </w:r>
          </w:p>
        </w:tc>
        <w:tc>
          <w:tcPr>
            <w:tcW w:w="859" w:type="dxa"/>
            <w:vAlign w:val="center"/>
          </w:tcPr>
          <w:p>
            <w:pPr>
              <w:pStyle w:val="Other|1"/>
              <w:spacing w:line="240" w:lineRule="auto"/>
              <w:ind w:right="360" w:firstLine="0" w:rightChars="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10</w:t>
            </w:r>
          </w:p>
        </w:tc>
        <w:tc>
          <w:tcPr>
            <w:tcW w:w="1094" w:type="dxa"/>
            <w:gridSpan w:val="2"/>
            <w:vAlign w:val="center"/>
          </w:tcPr>
          <w:p>
            <w:pPr>
              <w:pStyle w:val="Other|1"/>
              <w:spacing w:line="240" w:lineRule="auto"/>
              <w:ind w:left="0" w:firstLine="0" w:leftChars="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11</w:t>
            </w:r>
          </w:p>
        </w:tc>
        <w:tc>
          <w:tcPr>
            <w:tcW w:w="937" w:type="dxa"/>
            <w:vAlign w:val="center"/>
          </w:tcPr>
          <w:p>
            <w:pPr>
              <w:pStyle w:val="Other|1"/>
              <w:spacing w:line="240" w:lineRule="auto"/>
              <w:ind w:right="380" w:firstLine="0" w:rightChars="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12</w:t>
            </w:r>
          </w:p>
        </w:tc>
        <w:tc>
          <w:tcPr>
            <w:tcW w:w="989" w:type="dxa"/>
            <w:vAlign w:val="center"/>
          </w:tcPr>
          <w:p>
            <w:pPr>
              <w:pStyle w:val="Other|1"/>
              <w:spacing w:line="240" w:lineRule="auto"/>
              <w:ind w:right="420" w:firstLine="0" w:rightChars="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13</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cantSplit/>
          <w:trHeight w:val="90"/>
        </w:trPr>
        <w:tc>
          <w:tcPr>
            <w:tcW w:w="1636" w:type="dxa"/>
            <w:vAlign w:val="center"/>
          </w:tcPr>
          <w:p>
            <w:pPr>
              <w:pStyle w:val="Other|1"/>
              <w:spacing w:line="240" w:lineRule="auto"/>
              <w:ind w:firstLine="0" w:firstLineChars="0"/>
              <w:jc w:val="left"/>
              <w:rPr>
                <w:rFonts w:ascii="宋体" w:eastAsia="宋体" w:hAnsi="宋体" w:cs="宋体" w:hint="eastAsia"/>
                <w:b w:val="0"/>
                <w:bCs w:val="0"/>
                <w:sz w:val="17"/>
                <w:szCs w:val="17"/>
                <w:vertAlign w:val="baseline"/>
                <w:lang w:val="en-US" w:eastAsia="zh-CN"/>
              </w:rPr>
            </w:pPr>
            <w:r>
              <w:rPr>
                <w:rFonts w:ascii="宋体" w:eastAsia="宋体" w:hAnsi="宋体" w:cs="宋体" w:hint="eastAsia"/>
                <w:b w:val="0"/>
                <w:bCs w:val="0"/>
                <w:sz w:val="17"/>
                <w:szCs w:val="17"/>
                <w:lang w:val="en-US" w:eastAsia="zh-CN"/>
              </w:rPr>
              <w:t xml:space="preserve">201039</w:t>
            </w:r>
          </w:p>
        </w:tc>
        <w:tc>
          <w:tcPr>
            <w:tcW w:w="1279" w:type="dxa"/>
          </w:tcPr>
          <w:p>
            <w:pPr>
              <w:pStyle w:val="Other|1"/>
              <w:spacing w:line="326" w:lineRule="exact"/>
              <w:ind w:firstLine="0" w:firstLineChars="0"/>
              <w:jc w:val="left"/>
              <w:rPr>
                <w:rFonts w:ascii="宋体" w:eastAsia="宋体" w:hAnsi="宋体" w:cs="宋体" w:hint="eastAsia"/>
                <w:b w:val="0"/>
                <w:bCs w:val="0"/>
                <w:sz w:val="17"/>
                <w:szCs w:val="17"/>
                <w:vertAlign w:val="baseline"/>
                <w:lang w:val="en-US" w:eastAsia="zh-CN"/>
              </w:rPr>
            </w:pPr>
            <w:r>
              <w:rPr>
                <w:rFonts w:ascii="宋体" w:eastAsia="宋体" w:hAnsi="宋体" w:cs="宋体" w:hint="eastAsia"/>
                <w:b w:val="0"/>
                <w:bCs w:val="0"/>
                <w:sz w:val="17"/>
                <w:szCs w:val="17"/>
                <w:lang w:val="en-US" w:eastAsia="zh-CN"/>
              </w:rPr>
              <w:t xml:space="preserve">环江毛南族自治县第四初级中学</w:t>
            </w:r>
          </w:p>
        </w:tc>
        <w:tc>
          <w:tcPr>
            <w:tcW w:w="990" w:type="dxa"/>
            <w:vAlign w:val="center"/>
          </w:tcPr>
          <w:p>
            <w:pPr>
              <w:pStyle w:val="Other|1"/>
              <w:spacing w:line="240" w:lineRule="auto"/>
              <w:ind w:left="0" w:firstLine="0" w:leftChars="0" w:firstLineChars="0"/>
              <w:jc w:val="right"/>
              <w:rPr>
                <w:rFonts w:ascii="宋体" w:eastAsia="宋体" w:hAnsi="宋体" w:cs="宋体" w:hint="eastAsia"/>
                <w:b w:val="0"/>
                <w:bCs w:val="0"/>
                <w:sz w:val="17"/>
                <w:szCs w:val="17"/>
                <w:vertAlign w:val="baseline"/>
                <w:lang w:val="en-US" w:eastAsia="zh-CN"/>
              </w:rPr>
            </w:pPr>
            <w:r>
              <w:rPr>
                <w:rFonts w:ascii="宋体" w:eastAsia="宋体" w:hAnsi="宋体" w:cs="宋体" w:hint="eastAsia"/>
                <w:b w:val="0"/>
                <w:bCs w:val="0"/>
                <w:sz w:val="17"/>
                <w:szCs w:val="17"/>
                <w:lang w:val="en-US" w:eastAsia="zh-CN" w:bidi="en-US"/>
              </w:rPr>
              <w:t xml:space="preserve">1489.19</w:t>
            </w:r>
          </w:p>
        </w:tc>
        <w:tc>
          <w:tcPr>
            <w:tcW w:w="926" w:type="dxa"/>
            <w:vAlign w:val="center"/>
          </w:tcPr>
          <w:p>
            <w:pPr>
              <w:pStyle w:val="Other|1"/>
              <w:spacing w:line="240" w:lineRule="auto"/>
              <w:ind w:left="0" w:firstLine="0" w:leftChars="0" w:firstLineChars="0"/>
              <w:jc w:val="right"/>
              <w:rPr>
                <w:rFonts w:ascii="宋体" w:eastAsia="宋体" w:hAnsi="宋体" w:cs="宋体" w:hint="eastAsia"/>
                <w:b w:val="0"/>
                <w:bCs w:val="0"/>
                <w:sz w:val="17"/>
                <w:szCs w:val="17"/>
                <w:vertAlign w:val="baseline"/>
                <w:lang w:val="en-US" w:eastAsia="zh-CN"/>
              </w:rPr>
            </w:pPr>
            <w:r>
              <w:rPr>
                <w:rFonts w:ascii="宋体" w:eastAsia="宋体" w:hAnsi="宋体" w:cs="宋体" w:hint="eastAsia"/>
                <w:b w:val="0"/>
                <w:bCs w:val="0"/>
                <w:sz w:val="17"/>
                <w:szCs w:val="17"/>
                <w:lang w:val="en-US" w:eastAsia="zh-CN" w:bidi="en-US"/>
              </w:rPr>
              <w:t xml:space="preserve">1435.24</w:t>
            </w:r>
          </w:p>
        </w:tc>
        <w:tc>
          <w:tcPr>
            <w:tcW w:w="909" w:type="dxa"/>
            <w:vAlign w:val="center"/>
          </w:tcPr>
          <w:p>
            <w:pPr>
              <w:pStyle w:val="Other|1"/>
              <w:spacing w:line="240" w:lineRule="auto"/>
              <w:ind w:left="0" w:firstLine="0" w:leftChars="0" w:firstLineChars="0"/>
              <w:jc w:val="right"/>
              <w:rPr>
                <w:rFonts w:ascii="宋体" w:eastAsia="宋体" w:hAnsi="宋体" w:cs="宋体" w:hint="eastAsia"/>
                <w:b w:val="0"/>
                <w:bCs w:val="0"/>
                <w:sz w:val="17"/>
                <w:szCs w:val="17"/>
                <w:vertAlign w:val="baseline"/>
                <w:lang w:val="en-US" w:eastAsia="zh-CN"/>
              </w:rPr>
            </w:pPr>
            <w:r>
              <w:rPr>
                <w:rFonts w:ascii="宋体" w:eastAsia="宋体" w:hAnsi="宋体" w:cs="宋体" w:hint="eastAsia"/>
                <w:b w:val="0"/>
                <w:bCs w:val="0"/>
                <w:sz w:val="17"/>
                <w:szCs w:val="17"/>
                <w:lang w:val="en-US" w:eastAsia="zh-CN" w:bidi="en-US"/>
              </w:rPr>
              <w:t xml:space="preserve">1435.24</w:t>
            </w:r>
          </w:p>
        </w:tc>
        <w:tc>
          <w:tcPr>
            <w:tcW w:w="968" w:type="dxa"/>
            <w:vAlign w:val="center"/>
          </w:tcPr>
          <w:p>
            <w:pPr>
              <w:pStyle w:val="Other|1"/>
              <w:spacing w:line="240" w:lineRule="auto"/>
              <w:ind w:left="0" w:firstLine="0" w:leftChars="0" w:firstLineChars="0"/>
              <w:jc w:val="right"/>
              <w:rPr>
                <w:rFonts w:ascii="宋体" w:eastAsia="宋体" w:hAnsi="宋体" w:cs="宋体" w:hint="eastAsia"/>
                <w:b w:val="0"/>
                <w:bCs w:val="0"/>
                <w:sz w:val="17"/>
                <w:szCs w:val="17"/>
                <w:vertAlign w:val="baseline"/>
                <w:lang w:val="en-US" w:eastAsia="zh-CN"/>
              </w:rPr>
            </w:pPr>
            <w:r>
              <w:rPr>
                <w:rFonts w:ascii="宋体" w:eastAsia="宋体" w:hAnsi="宋体" w:cs="宋体" w:hint="eastAsia"/>
                <w:b w:val="0"/>
                <w:bCs w:val="0"/>
                <w:sz w:val="17"/>
                <w:szCs w:val="17"/>
                <w:lang w:val="en-US" w:eastAsia="zh-CN" w:bidi="en-US"/>
              </w:rPr>
              <w:t xml:space="preserve">0.00</w:t>
            </w:r>
          </w:p>
        </w:tc>
        <w:tc>
          <w:tcPr>
            <w:tcW w:w="990" w:type="dxa"/>
            <w:vAlign w:val="center"/>
          </w:tcPr>
          <w:p>
            <w:pPr>
              <w:pStyle w:val="Other|1"/>
              <w:spacing w:line="240" w:lineRule="auto"/>
              <w:ind w:left="0" w:firstLine="0" w:leftChars="0" w:firstLineChars="0"/>
              <w:jc w:val="right"/>
              <w:rPr>
                <w:rFonts w:ascii="宋体" w:eastAsia="宋体" w:hAnsi="宋体" w:cs="宋体" w:hint="eastAsia"/>
                <w:b w:val="0"/>
                <w:bCs w:val="0"/>
                <w:sz w:val="17"/>
                <w:szCs w:val="17"/>
                <w:vertAlign w:val="baseline"/>
                <w:lang w:val="en-US" w:eastAsia="zh-CN"/>
              </w:rPr>
            </w:pPr>
            <w:r>
              <w:rPr>
                <w:rFonts w:ascii="宋体" w:eastAsia="宋体" w:hAnsi="宋体" w:cs="宋体" w:hint="eastAsia"/>
                <w:b w:val="0"/>
                <w:bCs w:val="0"/>
                <w:sz w:val="17"/>
                <w:szCs w:val="17"/>
                <w:lang w:val="en-US" w:eastAsia="zh-CN" w:bidi="en-US"/>
              </w:rPr>
              <w:t xml:space="preserve">0.00</w:t>
            </w:r>
          </w:p>
        </w:tc>
        <w:tc>
          <w:tcPr>
            <w:tcW w:w="1078" w:type="dxa"/>
            <w:vAlign w:val="center"/>
          </w:tcPr>
          <w:p>
            <w:pPr>
              <w:pStyle w:val="Other|1"/>
              <w:spacing w:line="240" w:lineRule="auto"/>
              <w:ind w:firstLine="0" w:firstLineChars="0"/>
              <w:jc w:val="right"/>
              <w:rPr>
                <w:rFonts w:ascii="宋体" w:eastAsia="宋体" w:hAnsi="宋体" w:cs="宋体" w:hint="eastAsia"/>
                <w:b w:val="0"/>
                <w:bCs w:val="0"/>
                <w:sz w:val="17"/>
                <w:szCs w:val="17"/>
                <w:vertAlign w:val="baseline"/>
                <w:lang w:val="en-US" w:eastAsia="zh-CN"/>
              </w:rPr>
            </w:pPr>
            <w:r>
              <w:rPr>
                <w:rFonts w:ascii="宋体" w:eastAsia="宋体" w:hAnsi="宋体" w:cs="宋体" w:hint="eastAsia"/>
                <w:b w:val="0"/>
                <w:bCs w:val="0"/>
                <w:sz w:val="17"/>
                <w:szCs w:val="17"/>
                <w:lang w:val="en-US" w:eastAsia="zh-CN" w:bidi="en-US"/>
              </w:rPr>
              <w:t xml:space="preserve">0.00</w:t>
            </w:r>
          </w:p>
        </w:tc>
        <w:tc>
          <w:tcPr>
            <w:tcW w:w="972" w:type="dxa"/>
            <w:vAlign w:val="center"/>
          </w:tcPr>
          <w:p>
            <w:pPr>
              <w:pStyle w:val="Other|1"/>
              <w:spacing w:line="240" w:lineRule="auto"/>
              <w:ind w:firstLine="0" w:firstLineChars="0"/>
              <w:jc w:val="right"/>
              <w:rPr>
                <w:rFonts w:ascii="宋体" w:eastAsia="宋体" w:hAnsi="宋体" w:cs="宋体" w:hint="eastAsia"/>
                <w:b w:val="0"/>
                <w:bCs w:val="0"/>
                <w:sz w:val="17"/>
                <w:szCs w:val="17"/>
                <w:vertAlign w:val="baseline"/>
                <w:lang w:val="en-US" w:eastAsia="zh-CN"/>
              </w:rPr>
            </w:pPr>
            <w:r>
              <w:rPr>
                <w:rFonts w:ascii="宋体" w:eastAsia="宋体" w:hAnsi="宋体" w:cs="宋体" w:hint="eastAsia"/>
                <w:b w:val="0"/>
                <w:bCs w:val="0"/>
                <w:sz w:val="17"/>
                <w:szCs w:val="17"/>
                <w:lang w:val="en-US" w:eastAsia="zh-CN" w:bidi="en-US"/>
              </w:rPr>
              <w:t xml:space="preserve">0.00</w:t>
            </w:r>
          </w:p>
        </w:tc>
        <w:tc>
          <w:tcPr>
            <w:tcW w:w="919" w:type="dxa"/>
            <w:vAlign w:val="center"/>
          </w:tcPr>
          <w:p>
            <w:pPr>
              <w:spacing w:line="240" w:lineRule="auto"/>
              <w:jc w:val="right"/>
              <w:rPr>
                <w:rFonts w:ascii="宋体" w:eastAsia="宋体" w:hAnsi="宋体" w:cs="宋体" w:hint="eastAsia"/>
                <w:b w:val="0"/>
                <w:bCs w:val="0"/>
                <w:sz w:val="17"/>
                <w:szCs w:val="17"/>
                <w:vertAlign w:val="baseline"/>
                <w:lang w:val="en-US" w:eastAsia="zh-CN"/>
              </w:rPr>
            </w:pPr>
            <w:r>
              <w:rPr>
                <w:rFonts w:ascii="宋体" w:eastAsia="宋体" w:hAnsi="宋体" w:cs="宋体" w:hint="eastAsia"/>
                <w:b w:val="0"/>
                <w:bCs w:val="0"/>
                <w:sz w:val="17"/>
                <w:szCs w:val="17"/>
                <w:lang w:val="en-US" w:eastAsia="zh-CN" w:bidi="en-US"/>
              </w:rPr>
              <w:t xml:space="preserve">53.95</w:t>
            </w:r>
          </w:p>
        </w:tc>
        <w:tc>
          <w:tcPr>
            <w:tcW w:w="1011" w:type="dxa"/>
            <w:vAlign w:val="center"/>
          </w:tcPr>
          <w:p>
            <w:pPr>
              <w:spacing w:line="240" w:lineRule="auto"/>
              <w:jc w:val="right"/>
              <w:rPr>
                <w:rFonts w:ascii="宋体" w:eastAsia="宋体" w:hAnsi="宋体" w:cs="宋体" w:hint="eastAsia"/>
                <w:b w:val="0"/>
                <w:bCs w:val="0"/>
                <w:sz w:val="17"/>
                <w:szCs w:val="17"/>
                <w:vertAlign w:val="baseline"/>
                <w:lang w:val="en-US" w:eastAsia="zh-CN"/>
              </w:rPr>
            </w:pPr>
            <w:r>
              <w:rPr>
                <w:rFonts w:ascii="宋体" w:eastAsia="宋体" w:hAnsi="宋体" w:cs="宋体" w:hint="eastAsia"/>
                <w:b w:val="0"/>
                <w:bCs w:val="0"/>
                <w:sz w:val="17"/>
                <w:szCs w:val="17"/>
                <w:lang w:val="en-US" w:eastAsia="zh-CN" w:bidi="en-US"/>
              </w:rPr>
              <w:t xml:space="preserve">53.95</w:t>
            </w:r>
          </w:p>
        </w:tc>
        <w:tc>
          <w:tcPr>
            <w:tcW w:w="859" w:type="dxa"/>
            <w:vAlign w:val="center"/>
          </w:tcPr>
          <w:p>
            <w:pPr>
              <w:spacing w:line="240" w:lineRule="auto"/>
              <w:ind w:firstLine="0" w:firstLineChars="0"/>
              <w:jc w:val="right"/>
              <w:rPr>
                <w:rFonts w:ascii="宋体" w:eastAsia="宋体" w:hAnsi="宋体" w:cs="宋体" w:hint="eastAsia"/>
                <w:b w:val="0"/>
                <w:bCs w:val="0"/>
                <w:sz w:val="17"/>
                <w:szCs w:val="17"/>
                <w:vertAlign w:val="baseline"/>
                <w:lang w:val="en-US" w:eastAsia="zh-CN"/>
              </w:rPr>
            </w:pPr>
            <w:r>
              <w:rPr>
                <w:rFonts w:ascii="宋体" w:eastAsia="宋体" w:hAnsi="宋体" w:cs="宋体" w:hint="eastAsia"/>
                <w:b w:val="0"/>
                <w:bCs w:val="0"/>
                <w:sz w:val="17"/>
                <w:szCs w:val="17"/>
                <w:lang w:val="en-US" w:eastAsia="zh-CN" w:bidi="en-US"/>
              </w:rPr>
              <w:t xml:space="preserve">0.00</w:t>
            </w:r>
          </w:p>
        </w:tc>
        <w:tc>
          <w:tcPr>
            <w:tcW w:w="1094" w:type="dxa"/>
            <w:gridSpan w:val="2"/>
            <w:vAlign w:val="center"/>
          </w:tcPr>
          <w:p>
            <w:pPr>
              <w:spacing w:line="240" w:lineRule="auto"/>
              <w:jc w:val="right"/>
              <w:rPr>
                <w:rFonts w:ascii="宋体" w:eastAsia="宋体" w:hAnsi="宋体" w:cs="宋体" w:hint="eastAsia"/>
                <w:b w:val="0"/>
                <w:bCs w:val="0"/>
                <w:sz w:val="17"/>
                <w:szCs w:val="17"/>
                <w:vertAlign w:val="baseline"/>
                <w:lang w:val="en-US" w:eastAsia="zh-CN"/>
              </w:rPr>
            </w:pPr>
            <w:r>
              <w:rPr>
                <w:rFonts w:ascii="宋体" w:eastAsia="宋体" w:hAnsi="宋体" w:cs="宋体" w:hint="eastAsia"/>
                <w:b w:val="0"/>
                <w:bCs w:val="0"/>
                <w:sz w:val="17"/>
                <w:szCs w:val="17"/>
                <w:lang w:val="en-US" w:eastAsia="zh-CN" w:bidi="en-US"/>
              </w:rPr>
              <w:t xml:space="preserve">0.00</w:t>
            </w:r>
          </w:p>
        </w:tc>
        <w:tc>
          <w:tcPr>
            <w:tcW w:w="937" w:type="dxa"/>
            <w:vAlign w:val="center"/>
          </w:tcPr>
          <w:p>
            <w:pPr>
              <w:spacing w:line="240" w:lineRule="auto"/>
              <w:ind w:firstLine="0" w:firstLineChars="0"/>
              <w:jc w:val="right"/>
              <w:rPr>
                <w:rFonts w:ascii="宋体" w:eastAsia="宋体" w:hAnsi="宋体" w:cs="宋体" w:hint="eastAsia"/>
                <w:b w:val="0"/>
                <w:bCs w:val="0"/>
                <w:sz w:val="17"/>
                <w:szCs w:val="17"/>
                <w:vertAlign w:val="baseline"/>
                <w:lang w:val="en-US" w:eastAsia="zh-CN"/>
              </w:rPr>
            </w:pPr>
            <w:r>
              <w:rPr>
                <w:rFonts w:ascii="宋体" w:eastAsia="宋体" w:hAnsi="宋体" w:cs="宋体" w:hint="eastAsia"/>
                <w:b w:val="0"/>
                <w:bCs w:val="0"/>
                <w:sz w:val="17"/>
                <w:szCs w:val="17"/>
                <w:lang w:val="en-US" w:eastAsia="zh-CN" w:bidi="en-US"/>
              </w:rPr>
              <w:t xml:space="preserve">0.00</w:t>
            </w:r>
          </w:p>
        </w:tc>
        <w:tc>
          <w:tcPr>
            <w:tcW w:w="989" w:type="dxa"/>
            <w:vAlign w:val="center"/>
          </w:tcPr>
          <w:p>
            <w:pPr>
              <w:spacing w:line="240" w:lineRule="auto"/>
              <w:jc w:val="right"/>
              <w:rPr>
                <w:rFonts w:ascii="宋体" w:eastAsia="宋体" w:hAnsi="宋体" w:cs="宋体" w:hint="eastAsia"/>
                <w:b w:val="0"/>
                <w:bCs w:val="0"/>
                <w:sz w:val="17"/>
                <w:szCs w:val="17"/>
                <w:vertAlign w:val="baseline"/>
                <w:lang w:val="en-US" w:eastAsia="zh-CN"/>
              </w:rPr>
            </w:pPr>
            <w:r>
              <w:rPr>
                <w:rFonts w:ascii="宋体" w:eastAsia="宋体" w:hAnsi="宋体" w:cs="宋体" w:hint="eastAsia"/>
                <w:b w:val="0"/>
                <w:bCs w:val="0"/>
                <w:sz w:val="17"/>
                <w:szCs w:val="17"/>
                <w:lang w:val="en-US" w:eastAsia="zh-CN" w:bidi="en-US"/>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cantSplit/>
        </w:trPr>
        <w:tc>
          <w:tcPr>
            <w:tcW w:w="15557" w:type="dxa"/>
            <w:gridSpan w:val="16"/>
            <w:tcBorders>
              <w:left w:val="nil"/>
              <w:bottom w:val="nil"/>
              <w:right w:val="nil"/>
            </w:tcBorders>
          </w:tcPr>
          <w:p>
            <w:pPr>
              <w:pStyle w:val="Tablecaption|1"/>
              <w:jc w:val="left"/>
              <w:rPr>
                <w:rFonts w:eastAsia="宋体" w:hint="eastAsia"/>
                <w:sz w:val="17"/>
                <w:szCs w:val="17"/>
                <w:vertAlign w:val="baseline"/>
                <w:lang w:val="en-US" w:eastAsia="zh-CN"/>
              </w:rPr>
            </w:pPr>
            <w:r>
              <w:rPr>
                <w:sz w:val="17"/>
                <w:szCs w:val="17"/>
              </w:rPr>
              <w:t xml:space="preserve">注：本报表金额单位转换时可能存在四舍五入尾数误差。</w:t>
            </w:r>
          </w:p>
        </w:tc>
      </w:tr>
    </w:tbl>
    <w:p>
      <w:pPr>
        <w:tabs>
          <w:tab w:val="left" w:pos="859"/>
        </w:tabs>
        <w:jc w:val="both"/>
        <w:rPr>
          <w:rFonts w:eastAsia="宋体" w:hint="eastAsia"/>
          <w:lang w:val="en-US" w:eastAsia="zh-CN"/>
        </w:rPr>
      </w:pPr>
    </w:p>
    <w:p>
      <w:pPr>
        <w:tabs>
          <w:tab w:val="left" w:pos="859"/>
        </w:tabs>
        <w:jc w:val="center"/>
        <w:rPr>
          <w:rFonts w:eastAsia="宋体" w:hint="eastAsia"/>
          <w:lang w:val="en-US" w:eastAsia="zh-CN"/>
        </w:rPr>
      </w:pPr>
    </w:p>
    <w:p>
      <w:pPr>
        <w:tabs>
          <w:tab w:val="left" w:pos="859"/>
        </w:tabs>
        <w:jc w:val="both"/>
        <w:rPr>
          <w:rFonts w:eastAsia="宋体" w:hint="eastAsia"/>
          <w:lang w:val="en-US" w:eastAsia="zh-CN"/>
        </w:rPr>
      </w:pPr>
    </w:p>
    <w:p>
      <w:pPr>
        <w:spacing w:line="1" w:lineRule="exact"/>
        <w:jc w:val="left"/>
        <w:rPr>
          <w:lang w:eastAsia="zh-CN"/>
        </w:rPr>
        <w:sectPr>
          <w:headerReference w:type="default" r:id="rId18"/>
          <w:footerReference w:type="default" r:id="rId19"/>
          <w:pgSz w:w="16840" w:h="11900" w:orient="landscape"/>
          <w:pgMar w:top="2709" w:right="764" w:bottom="2709" w:left="735" w:header="2281" w:footer="1474" w:gutter="0"/>
          <w:pgBorders>
            <w:top w:val="none" w:sz="0" w:space="0" w:color="auto"/>
            <w:left w:val="none" w:sz="0" w:space="0" w:color="auto"/>
            <w:bottom w:val="none" w:sz="0" w:space="0" w:color="auto"/>
            <w:right w:val="none" w:sz="0" w:space="0" w:color="auto"/>
          </w:pgBorders>
          <w:pgNumType w:fmt="decimal"/>
          <w:cols w:num="1" w:space="720">
            <w:col w:w="15341" w:space="720"/>
          </w:cols>
          <w:docGrid w:linePitch="360" w:charSpace="0"/>
        </w:sectPr>
      </w:pPr>
    </w:p>
    <w:p>
      <w:pPr>
        <w:pStyle w:val="Heading#2|1"/>
        <w:keepNext/>
        <w:keepLines/>
        <w:spacing w:after="240"/>
        <w:jc w:val="center"/>
      </w:pPr>
      <w:bookmarkStart w:id="20" w:name="bookmark43"/>
      <w:bookmarkStart w:id="21" w:name="bookmark41"/>
      <w:bookmarkStart w:id="22" w:name="bookmark42"/>
      <w:r>
        <w:t xml:space="preserve">支出总体情况表</w:t>
      </w:r>
      <w:bookmarkEnd w:id="20"/>
      <w:bookmarkEnd w:id="21"/>
      <w:bookmarkEnd w:id="22"/>
    </w:p>
    <w:tbl>
      <w:tblPr>
        <w:tblStyle w:val="NormalTable"/>
        <w:tblW w:w="0" w:type="auto"/>
        <w:tblInd w:w="0" w:type="dxa"/>
        <w:tblLayout w:type="fixed"/>
        <w:tblCellMar>
          <w:top w:w="0" w:type="dxa"/>
          <w:left w:w="10" w:type="dxa"/>
          <w:bottom w:w="0" w:type="dxa"/>
          <w:right w:w="10" w:type="dxa"/>
        </w:tblCellMar>
        <w:tblLook w:firstRow="0" w:lastRow="0" w:firstColumn="0" w:lastColumn="0" w:noHBand="1" w:noVBand="1"/>
      </w:tblPr>
      <w:tblGrid>
        <w:gridCol w:w="1843"/>
        <w:gridCol w:w="1934"/>
        <w:gridCol w:w="2390"/>
        <w:gridCol w:w="2280"/>
        <w:gridCol w:w="2299"/>
        <w:gridCol w:w="2222"/>
        <w:gridCol w:w="2371"/>
      </w:tblGrid>
      <w:tr>
        <w:trPr>
          <w:cantSplit/>
          <w:trHeight w:hRule="exact" w:val="346"/>
        </w:trPr>
        <w:tc>
          <w:tcPr>
            <w:tcW w:w="12968" w:type="dxa"/>
            <w:gridSpan w:val="6"/>
            <w:shd w:val="clear" w:color="auto" w:fill="FFFFFF"/>
          </w:tcPr>
          <w:p>
            <w:pPr>
              <w:pStyle w:val="Other|1"/>
              <w:spacing w:line="240" w:lineRule="auto"/>
              <w:ind w:firstLine="0"/>
              <w:jc w:val="left"/>
              <w:rPr>
                <w:sz w:val="17"/>
                <w:szCs w:val="17"/>
              </w:rPr>
            </w:pPr>
            <w:r>
              <w:rPr>
                <w:sz w:val="17"/>
                <w:szCs w:val="17"/>
              </w:rPr>
              <w:t xml:space="preserve">单位名称：</w:t>
            </w:r>
            <w:r>
              <w:rPr>
                <w:rFonts w:hint="eastAsia"/>
                <w:sz w:val="17"/>
                <w:szCs w:val="17"/>
                <w:lang w:eastAsia="zh-CN"/>
              </w:rPr>
              <w:t xml:space="preserve">环江毛南族自治县第四初级中学</w:t>
            </w:r>
          </w:p>
        </w:tc>
        <w:tc>
          <w:tcPr>
            <w:tcW w:w="2371" w:type="dxa"/>
            <w:shd w:val="clear" w:color="auto" w:fill="FFFFFF"/>
          </w:tcPr>
          <w:p>
            <w:pPr>
              <w:pStyle w:val="Other|1"/>
              <w:spacing w:line="240" w:lineRule="auto"/>
              <w:ind w:firstLine="1190" w:firstLineChars="700"/>
              <w:jc w:val="left"/>
              <w:rPr>
                <w:sz w:val="17"/>
                <w:szCs w:val="17"/>
              </w:rPr>
            </w:pPr>
            <w:r>
              <w:rPr>
                <w:sz w:val="17"/>
                <w:szCs w:val="17"/>
              </w:rPr>
              <w:t xml:space="preserve">单位：万元</w:t>
            </w:r>
          </w:p>
        </w:tc>
      </w:tr>
      <w:tr>
        <w:tblPrEx>
          <w:tblW w:w="0" w:type="auto"/>
          <w:tblInd w:w="0" w:type="dxa"/>
          <w:tblLayout w:type="fixed"/>
          <w:tblCellMar>
            <w:top w:w="0" w:type="dxa"/>
            <w:left w:w="10" w:type="dxa"/>
            <w:bottom w:w="0" w:type="dxa"/>
            <w:right w:w="10" w:type="dxa"/>
          </w:tblCellMar>
        </w:tblPrEx>
        <w:trPr>
          <w:cantSplit/>
          <w:trHeight w:hRule="exact" w:val="854"/>
        </w:trPr>
        <w:tc>
          <w:tcPr>
            <w:tcW w:w="1843"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科目编码</w:t>
            </w:r>
          </w:p>
        </w:tc>
        <w:tc>
          <w:tcPr>
            <w:tcW w:w="1934"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40"/>
              <w:jc w:val="left"/>
              <w:rPr>
                <w:sz w:val="17"/>
                <w:szCs w:val="17"/>
              </w:rPr>
            </w:pPr>
            <w:r>
              <w:rPr>
                <w:sz w:val="17"/>
                <w:szCs w:val="17"/>
              </w:rPr>
              <w:t xml:space="preserve">部门（单位）代码</w:t>
            </w:r>
          </w:p>
        </w:tc>
        <w:tc>
          <w:tcPr>
            <w:tcW w:w="2390" w:type="dxa"/>
            <w:tcBorders>
              <w:top w:val="single" w:sz="4" w:space="0" w:color="auto"/>
              <w:left w:val="single" w:sz="4" w:space="0" w:color="auto"/>
              <w:bottom w:val="single" w:sz="4" w:space="0" w:color="auto"/>
            </w:tcBorders>
            <w:shd w:val="clear" w:color="auto" w:fill="FFFFFF"/>
            <w:vAlign w:val="center"/>
          </w:tcPr>
          <w:p>
            <w:pPr>
              <w:pStyle w:val="Other|1"/>
              <w:spacing w:after="120" w:line="240" w:lineRule="auto"/>
              <w:ind w:firstLine="0"/>
              <w:jc w:val="left"/>
              <w:rPr>
                <w:sz w:val="17"/>
                <w:szCs w:val="17"/>
              </w:rPr>
            </w:pPr>
            <w:r>
              <w:rPr>
                <w:sz w:val="17"/>
                <w:szCs w:val="17"/>
              </w:rPr>
              <w:t xml:space="preserve">部门（单位）名称</w:t>
            </w:r>
          </w:p>
          <w:p>
            <w:pPr>
              <w:pStyle w:val="Other|1"/>
              <w:spacing w:line="240" w:lineRule="auto"/>
              <w:ind w:firstLine="0"/>
              <w:jc w:val="left"/>
              <w:rPr>
                <w:sz w:val="17"/>
                <w:szCs w:val="17"/>
              </w:rPr>
            </w:pPr>
            <w:r>
              <w:rPr>
                <w:sz w:val="17"/>
                <w:szCs w:val="17"/>
              </w:rPr>
              <w:t xml:space="preserve">（功能分类科目名称）</w:t>
            </w:r>
          </w:p>
        </w:tc>
        <w:tc>
          <w:tcPr>
            <w:tcW w:w="228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合计</w:t>
            </w:r>
          </w:p>
        </w:tc>
        <w:tc>
          <w:tcPr>
            <w:tcW w:w="2299"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基本支出</w:t>
            </w:r>
          </w:p>
        </w:tc>
        <w:tc>
          <w:tcPr>
            <w:tcW w:w="2222"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项目支出</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结转下年支出</w:t>
            </w:r>
          </w:p>
        </w:tc>
      </w:tr>
      <w:tr>
        <w:tblPrEx>
          <w:tblW w:w="0" w:type="auto"/>
          <w:tblInd w:w="0" w:type="dxa"/>
          <w:tblLayout w:type="fixed"/>
          <w:tblCellMar>
            <w:top w:w="0" w:type="dxa"/>
            <w:left w:w="10" w:type="dxa"/>
            <w:bottom w:w="0" w:type="dxa"/>
            <w:right w:w="10" w:type="dxa"/>
          </w:tblCellMar>
        </w:tblPrEx>
        <w:trPr>
          <w:cantSplit/>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合计</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1489.19</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1404.64</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84.55</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cantSplit/>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201039</w:t>
            </w: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1489.19</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1404.64</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84.55</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cantSplit/>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2012999</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其他群众团体事务支出</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20.77</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20.77</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0.00</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cantSplit/>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2050203</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初中教育</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1159.36</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1076.52</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82.84</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cantSplit/>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2050701</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特殊学校教育</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1.71</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0.00</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1.71</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cantSplit/>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2080505</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机关事业单位基本养老保险缴费支出</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166.17</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166.17</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0.00</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cantSplit/>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2210201</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住房公积金</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141.18</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141.18</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0.00</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0</w:t>
            </w:r>
          </w:p>
        </w:tc>
      </w:tr>
    </w:tbl>
    <w:p>
      <w:pPr>
        <w:pStyle w:val="Tablecaption|1"/>
        <w:ind w:left="672"/>
        <w:jc w:val="left"/>
      </w:pPr>
      <w:r>
        <w:rPr>
          <w:b w:val="0"/>
          <w:bCs w:val="0"/>
        </w:rPr>
        <w:t xml:space="preserve">注：本报表金额单位转换时可能存在四舍五入尾数误差。</w:t>
      </w:r>
      <w:r>
        <w:br w:type="page"/>
      </w:r>
    </w:p>
    <w:p>
      <w:pPr>
        <w:pStyle w:val="Heading#2|1"/>
        <w:keepNext/>
        <w:keepLines/>
        <w:spacing w:after="240"/>
        <w:jc w:val="center"/>
      </w:pPr>
      <w:bookmarkStart w:id="23" w:name="bookmark44"/>
      <w:bookmarkStart w:id="24" w:name="bookmark46"/>
      <w:bookmarkStart w:id="25" w:name="bookmark45"/>
      <w:r>
        <w:t xml:space="preserve">财政拨款收支总体情况表</w:t>
      </w:r>
      <w:bookmarkEnd w:id="23"/>
      <w:bookmarkEnd w:id="24"/>
      <w:bookmarkEnd w:id="25"/>
    </w:p>
    <w:tbl>
      <w:tblPr>
        <w:tblStyle w:val="NormalTable"/>
        <w:tblW w:w="0" w:type="auto"/>
        <w:tblInd w:w="0" w:type="dxa"/>
        <w:tblLayout w:type="fixed"/>
        <w:tblCellMar>
          <w:top w:w="0" w:type="dxa"/>
          <w:left w:w="10" w:type="dxa"/>
          <w:bottom w:w="0" w:type="dxa"/>
          <w:right w:w="10" w:type="dxa"/>
        </w:tblCellMar>
        <w:tblLook w:firstRow="0" w:lastRow="0" w:firstColumn="0" w:lastColumn="0" w:noHBand="1" w:noVBand="1"/>
      </w:tblPr>
      <w:tblGrid>
        <w:gridCol w:w="2885"/>
        <w:gridCol w:w="955"/>
        <w:gridCol w:w="3830"/>
        <w:gridCol w:w="3826"/>
        <w:gridCol w:w="3845"/>
        <w:gridCol w:w="1"/>
      </w:tblGrid>
      <w:tr>
        <w:tblPrEx>
          <w:tblW w:w="0" w:type="auto"/>
          <w:tblInd w:w="0" w:type="dxa"/>
          <w:tblLayout w:type="fixed"/>
          <w:tblCellMar>
            <w:top w:w="0" w:type="dxa"/>
            <w:left w:w="10" w:type="dxa"/>
            <w:bottom w:w="0" w:type="dxa"/>
            <w:right w:w="10" w:type="dxa"/>
          </w:tblCellMar>
        </w:tblPrEx>
        <w:trPr>
          <w:gridAfter w:val="1"/>
          <w:wAfter w:w="1" w:type="dxa"/>
          <w:cantSplit/>
          <w:trHeight w:hRule="exact" w:val="346"/>
        </w:trPr>
        <w:tc>
          <w:tcPr>
            <w:tcW w:w="11496" w:type="dxa"/>
            <w:gridSpan w:val="4"/>
            <w:shd w:val="clear" w:color="auto" w:fill="FFFFFF"/>
          </w:tcPr>
          <w:p>
            <w:pPr>
              <w:pStyle w:val="Other|1"/>
              <w:spacing w:line="240" w:lineRule="auto"/>
              <w:ind w:firstLine="0"/>
              <w:jc w:val="left"/>
              <w:rPr>
                <w:rFonts w:hint="default"/>
                <w:sz w:val="17"/>
                <w:szCs w:val="17"/>
                <w:lang w:val="en-US"/>
              </w:rPr>
            </w:pPr>
            <w:r>
              <w:rPr>
                <w:sz w:val="17"/>
                <w:szCs w:val="17"/>
              </w:rPr>
              <w:t xml:space="preserve">单位名称：</w:t>
            </w:r>
            <w:r>
              <w:rPr>
                <w:rFonts w:hint="eastAsia"/>
                <w:sz w:val="17"/>
                <w:szCs w:val="17"/>
                <w:lang w:eastAsia="zh-CN"/>
              </w:rPr>
              <w:t xml:space="preserve">环江毛南族自治县第四初级中学</w:t>
            </w:r>
          </w:p>
        </w:tc>
        <w:tc>
          <w:tcPr>
            <w:tcW w:w="3845" w:type="dxa"/>
            <w:shd w:val="clear" w:color="auto" w:fill="FFFFFF"/>
          </w:tcPr>
          <w:p>
            <w:pPr>
              <w:pStyle w:val="Other|1"/>
              <w:spacing w:line="240" w:lineRule="auto"/>
              <w:jc w:val="left"/>
              <w:rPr>
                <w:sz w:val="17"/>
                <w:szCs w:val="17"/>
              </w:rPr>
            </w:pPr>
            <w:r>
              <w:rPr>
                <w:sz w:val="17"/>
                <w:szCs w:val="17"/>
              </w:rPr>
              <w:t xml:space="preserve">单位：万元</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2885" w:type="dxa"/>
            <w:tcBorders>
              <w:top w:val="single" w:sz="4" w:space="0" w:color="auto"/>
              <w:left w:val="single" w:sz="4" w:space="0" w:color="auto"/>
            </w:tcBorders>
            <w:shd w:val="clear" w:color="auto" w:fill="FFFFFF"/>
          </w:tcPr>
          <w:p>
            <w:pPr>
              <w:jc w:val="left"/>
              <w:rPr>
                <w:sz w:val="10"/>
                <w:szCs w:val="10"/>
              </w:rPr>
            </w:pPr>
          </w:p>
        </w:tc>
        <w:tc>
          <w:tcPr>
            <w:tcW w:w="955" w:type="dxa"/>
            <w:tcBorders>
              <w:top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收</w:t>
            </w:r>
          </w:p>
        </w:tc>
        <w:tc>
          <w:tcPr>
            <w:tcW w:w="3830" w:type="dxa"/>
            <w:tcBorders>
              <w:top w:val="single" w:sz="4" w:space="0" w:color="auto"/>
            </w:tcBorders>
            <w:shd w:val="clear" w:color="auto" w:fill="FFFFFF"/>
            <w:vAlign w:val="center"/>
          </w:tcPr>
          <w:p>
            <w:pPr>
              <w:pStyle w:val="Other|1"/>
              <w:spacing w:line="240" w:lineRule="auto"/>
              <w:ind w:firstLine="340"/>
              <w:jc w:val="left"/>
              <w:rPr>
                <w:sz w:val="17"/>
                <w:szCs w:val="17"/>
              </w:rPr>
            </w:pPr>
            <w:r>
              <w:rPr>
                <w:sz w:val="17"/>
                <w:szCs w:val="17"/>
              </w:rPr>
              <w:t xml:space="preserve">入</w:t>
            </w:r>
          </w:p>
        </w:tc>
        <w:tc>
          <w:tcPr>
            <w:tcW w:w="3826" w:type="dxa"/>
            <w:tcBorders>
              <w:top w:val="single" w:sz="4" w:space="0" w:color="auto"/>
              <w:left w:val="single" w:sz="4" w:space="0" w:color="auto"/>
            </w:tcBorders>
            <w:shd w:val="clear" w:color="auto" w:fill="FFFFFF"/>
            <w:vAlign w:val="center"/>
          </w:tcPr>
          <w:p>
            <w:pPr>
              <w:pStyle w:val="Other|1"/>
              <w:spacing w:line="240" w:lineRule="auto"/>
              <w:ind w:right="340" w:firstLine="2720" w:firstLineChars="1600"/>
              <w:jc w:val="left"/>
              <w:rPr>
                <w:sz w:val="17"/>
                <w:szCs w:val="17"/>
              </w:rPr>
            </w:pPr>
            <w:r>
              <w:rPr>
                <w:sz w:val="17"/>
                <w:szCs w:val="17"/>
              </w:rPr>
              <w:t xml:space="preserve">支</w:t>
            </w:r>
          </w:p>
        </w:tc>
        <w:tc>
          <w:tcPr>
            <w:tcW w:w="3845" w:type="dxa"/>
            <w:tcBorders>
              <w:top w:val="single" w:sz="4" w:space="0" w:color="auto"/>
              <w:right w:val="single" w:sz="4" w:space="0" w:color="auto"/>
            </w:tcBorders>
            <w:shd w:val="clear" w:color="auto" w:fill="FFFFFF"/>
            <w:vAlign w:val="center"/>
          </w:tcPr>
          <w:p>
            <w:pPr>
              <w:pStyle w:val="Other|1"/>
              <w:spacing w:line="240" w:lineRule="auto"/>
              <w:ind w:firstLine="935" w:firstLineChars="550"/>
              <w:jc w:val="left"/>
              <w:rPr>
                <w:sz w:val="17"/>
                <w:szCs w:val="17"/>
              </w:rPr>
            </w:pPr>
            <w:r>
              <w:rPr>
                <w:sz w:val="17"/>
                <w:szCs w:val="17"/>
              </w:rPr>
              <w:t xml:space="preserve">出</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51"/>
        </w:trPr>
        <w:tc>
          <w:tcPr>
            <w:tcW w:w="3840" w:type="dxa"/>
            <w:gridSpan w:val="2"/>
            <w:tcBorders>
              <w:top w:val="single" w:sz="4" w:space="0" w:color="auto"/>
              <w:left w:val="single" w:sz="4" w:space="0" w:color="auto"/>
            </w:tcBorders>
            <w:shd w:val="clear" w:color="auto" w:fill="FFFFFF"/>
            <w:vAlign w:val="center"/>
          </w:tcPr>
          <w:p>
            <w:pPr>
              <w:pStyle w:val="Other|1"/>
              <w:spacing w:line="240" w:lineRule="auto"/>
              <w:ind w:firstLine="0"/>
              <w:jc w:val="center"/>
              <w:rPr>
                <w:sz w:val="17"/>
                <w:szCs w:val="17"/>
              </w:rPr>
            </w:pPr>
            <w:r>
              <w:rPr>
                <w:sz w:val="17"/>
                <w:szCs w:val="17"/>
              </w:rPr>
              <w:t xml:space="preserve">项目</w:t>
            </w:r>
          </w:p>
        </w:tc>
        <w:tc>
          <w:tcPr>
            <w:tcW w:w="3830" w:type="dxa"/>
            <w:tcBorders>
              <w:top w:val="single" w:sz="4" w:space="0" w:color="auto"/>
              <w:left w:val="single" w:sz="4" w:space="0" w:color="auto"/>
            </w:tcBorders>
            <w:shd w:val="clear" w:color="auto" w:fill="FFFFFF"/>
            <w:vAlign w:val="center"/>
          </w:tcPr>
          <w:p>
            <w:pPr>
              <w:pStyle w:val="Other|1"/>
              <w:spacing w:line="240" w:lineRule="auto"/>
              <w:ind w:firstLine="0"/>
              <w:jc w:val="center"/>
              <w:rPr>
                <w:sz w:val="17"/>
                <w:szCs w:val="17"/>
              </w:rPr>
            </w:pPr>
            <w:r>
              <w:rPr>
                <w:sz w:val="17"/>
                <w:szCs w:val="17"/>
              </w:rPr>
              <w:t xml:space="preserve">预算数</w:t>
            </w:r>
          </w:p>
        </w:tc>
        <w:tc>
          <w:tcPr>
            <w:tcW w:w="3826" w:type="dxa"/>
            <w:tcBorders>
              <w:top w:val="single" w:sz="4" w:space="0" w:color="auto"/>
              <w:left w:val="single" w:sz="4" w:space="0" w:color="auto"/>
            </w:tcBorders>
            <w:shd w:val="clear" w:color="auto" w:fill="FFFFFF"/>
            <w:vAlign w:val="center"/>
          </w:tcPr>
          <w:p>
            <w:pPr>
              <w:pStyle w:val="Other|1"/>
              <w:tabs>
                <w:tab w:val="left" w:pos="1034"/>
              </w:tabs>
              <w:spacing w:line="240" w:lineRule="auto"/>
              <w:ind w:firstLine="540"/>
              <w:jc w:val="center"/>
              <w:rPr>
                <w:sz w:val="17"/>
                <w:szCs w:val="17"/>
              </w:rPr>
            </w:pPr>
            <w:r>
              <w:rPr>
                <w:sz w:val="17"/>
                <w:szCs w:val="17"/>
              </w:rPr>
              <w:t xml:space="preserve">项</w:t>
            </w:r>
            <w:r>
              <w:rPr>
                <w:sz w:val="17"/>
                <w:szCs w:val="17"/>
              </w:rPr>
              <w:tab/>
            </w:r>
            <w:r>
              <w:rPr>
                <w:sz w:val="17"/>
                <w:szCs w:val="17"/>
              </w:rPr>
              <w:t xml:space="preserve">目（按支出功能科目分类）</w:t>
            </w:r>
          </w:p>
        </w:tc>
        <w:tc>
          <w:tcPr>
            <w:tcW w:w="3845" w:type="dxa"/>
            <w:tcBorders>
              <w:top w:val="single" w:sz="4" w:space="0" w:color="auto"/>
              <w:left w:val="single" w:sz="4" w:space="0" w:color="auto"/>
              <w:right w:val="single" w:sz="4" w:space="0" w:color="auto"/>
            </w:tcBorders>
            <w:shd w:val="clear" w:color="auto" w:fill="FFFFFF"/>
            <w:vAlign w:val="center"/>
          </w:tcPr>
          <w:p>
            <w:pPr>
              <w:pStyle w:val="Other|1"/>
              <w:spacing w:line="240" w:lineRule="auto"/>
              <w:ind w:firstLine="0"/>
              <w:jc w:val="center"/>
              <w:rPr>
                <w:sz w:val="17"/>
                <w:szCs w:val="17"/>
              </w:rPr>
            </w:pPr>
            <w:r>
              <w:rPr>
                <w:sz w:val="17"/>
                <w:szCs w:val="17"/>
              </w:rPr>
              <w:t xml:space="preserve">预算数</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一、一般公共预算拨款</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1435.24</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一、一般公共服务支出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20.77</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1、上级补助</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二、外交支出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2、本级</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1435.24</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三、国防支出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二、政府性基金预算拨款</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四、公共安全支出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1、上级补助</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五、教育支出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1161.07</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2、本级</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六、科学技术支出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三、国有资本经营预算拨款</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七、文化旅游体育与传媒支出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1、上级补助</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八、社会保障和就业支出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166.17</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2、本级</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九、卫生健康支出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十、节能环保支出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十一、城乡社区支出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十二、农林水支出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十三、交通运输支出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十四、资源勘探工业信息等支出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十五、商业服务业等支出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十六、金融支出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十七、援助其他地区支出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十八、自然资源海洋气象等支出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十九、住房保障支出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141.18</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二十、粮油物资储备支出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二十一、国有资本经营预算支出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二十二、灾害防治及应急管理支出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二十三、其他支出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二十四、债务还本支出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二十五、债务付息支出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二十六、债务发行费用支出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本年收入合计</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1435.24</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本年支出合计</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1489.19</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上年结转结余</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53.95</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结转下年支出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收入总计</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1489.19</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支出总计</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1489.19</w:t>
            </w:r>
          </w:p>
        </w:tc>
      </w:tr>
      <w:tr>
        <w:tblPrEx>
          <w:tblW w:w="0" w:type="auto"/>
          <w:tblInd w:w="0" w:type="dxa"/>
          <w:tblLayout w:type="fixed"/>
          <w:tblCellMar>
            <w:top w:w="0" w:type="dxa"/>
            <w:left w:w="10" w:type="dxa"/>
            <w:bottom w:w="0" w:type="dxa"/>
            <w:right w:w="10" w:type="dxa"/>
          </w:tblCellMar>
        </w:tblPrEx>
        <w:trPr>
          <w:cantSplit/>
          <w:trHeight w:hRule="exact" w:val="352"/>
        </w:trPr>
        <w:tc>
          <w:tcPr>
            <w:tcW w:w="15342" w:type="dxa"/>
            <w:gridSpan w:val="6"/>
            <w:tcBorders>
              <w:top w:val="single" w:sz="4" w:space="0" w:color="auto"/>
            </w:tcBorders>
            <w:shd w:val="clear" w:color="auto" w:fill="FFFFFF"/>
          </w:tcPr>
          <w:p>
            <w:pPr>
              <w:jc w:val="left"/>
              <w:rPr>
                <w:rFonts w:ascii="宋体" w:eastAsia="宋体" w:hAnsi="宋体" w:cs="宋体" w:hint="eastAsia"/>
                <w:sz w:val="17"/>
                <w:szCs w:val="17"/>
                <w:lang w:eastAsia="zh-CN"/>
              </w:rPr>
            </w:pPr>
            <w:r>
              <w:rPr>
                <w:rFonts w:ascii="宋体" w:eastAsia="宋体" w:hAnsi="宋体" w:cs="宋体" w:hint="eastAsia"/>
                <w:sz w:val="17"/>
                <w:szCs w:val="17"/>
              </w:rPr>
              <w:t xml:space="preserve">注：表中功能分类科目，根据各部门实际预算编制情况编列。</w:t>
            </w:r>
          </w:p>
        </w:tc>
      </w:tr>
      <w:tr>
        <w:tblPrEx>
          <w:tblW w:w="0" w:type="auto"/>
          <w:tblInd w:w="0" w:type="dxa"/>
          <w:tblLayout w:type="fixed"/>
          <w:tblCellMar>
            <w:top w:w="0" w:type="dxa"/>
            <w:left w:w="10" w:type="dxa"/>
            <w:bottom w:w="0" w:type="dxa"/>
            <w:right w:w="10" w:type="dxa"/>
          </w:tblCellMar>
        </w:tblPrEx>
        <w:trPr>
          <w:cantSplit/>
          <w:trHeight w:hRule="exact" w:val="274"/>
        </w:trPr>
        <w:tc>
          <w:tcPr>
            <w:tcW w:w="15342" w:type="dxa"/>
            <w:gridSpan w:val="6"/>
            <w:shd w:val="clear" w:color="auto" w:fill="FFFFFF"/>
            <w:vAlign w:val="bottom"/>
          </w:tcPr>
          <w:p>
            <w:pPr>
              <w:jc w:val="left"/>
              <w:rPr>
                <w:rFonts w:ascii="宋体" w:eastAsia="宋体" w:hAnsi="宋体" w:cs="宋体" w:hint="eastAsia"/>
                <w:sz w:val="17"/>
                <w:szCs w:val="17"/>
                <w:lang w:eastAsia="zh-CN"/>
              </w:rPr>
            </w:pPr>
            <w:r>
              <w:rPr>
                <w:rFonts w:ascii="宋体" w:eastAsia="宋体" w:hAnsi="宋体" w:cs="宋体" w:hint="eastAsia"/>
                <w:sz w:val="17"/>
                <w:szCs w:val="17"/>
              </w:rPr>
              <w:t xml:space="preserve">报表金额单位转换时可能存在四舍五入尾数误差。</w:t>
            </w:r>
          </w:p>
        </w:tc>
      </w:tr>
    </w:tbl>
    <w:p>
      <w:pPr>
        <w:jc w:val="left"/>
        <w:rPr>
          <w:lang w:eastAsia="zh-CN"/>
        </w:rPr>
      </w:pPr>
      <w:r>
        <w:br w:type="page"/>
      </w:r>
    </w:p>
    <w:p>
      <w:pPr>
        <w:jc w:val="center"/>
        <w:rPr>
          <w:rFonts w:hint="eastAsia"/>
          <w:lang w:eastAsia="zh-CN"/>
        </w:rPr>
      </w:pPr>
      <w:r>
        <w:rPr>
          <w:rFonts w:hint="eastAsia"/>
          <w:lang w:eastAsia="zh-CN"/>
        </w:rPr>
        <w:t xml:space="preserve">一般公共预算支出情况表</w:t>
      </w:r>
    </w:p>
    <w:p>
      <w:pPr>
        <w:jc w:val="center"/>
        <w:rPr>
          <w:rFonts w:hint="eastAsia"/>
          <w:lang w:eastAsia="zh-CN"/>
        </w:rPr>
      </w:pP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firstRow="0" w:lastRow="0" w:firstColumn="0" w:lastColumn="0" w:noHBand="1" w:noVBand="1"/>
      </w:tblPr>
      <w:tblGrid>
        <w:gridCol w:w="1705"/>
        <w:gridCol w:w="1636"/>
        <w:gridCol w:w="1615"/>
        <w:gridCol w:w="1713"/>
        <w:gridCol w:w="1879"/>
        <w:gridCol w:w="1846"/>
        <w:gridCol w:w="1718"/>
        <w:gridCol w:w="72"/>
        <w:gridCol w:w="1686"/>
        <w:gridCol w:w="1687"/>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12096" w:type="dxa"/>
            <w:gridSpan w:val="7"/>
            <w:tcBorders>
              <w:top w:val="nil"/>
              <w:left w:val="nil"/>
              <w:right w:val="nil"/>
            </w:tcBorders>
          </w:tcPr>
          <w:p>
            <w:pPr>
              <w:jc w:val="left"/>
              <w:rPr>
                <w:rFonts w:hint="eastAsia"/>
                <w:vertAlign w:val="baseline"/>
                <w:lang w:eastAsia="zh-CN"/>
              </w:rPr>
            </w:pPr>
            <w:r>
              <w:rPr>
                <w:rFonts w:ascii="宋体" w:eastAsia="宋体" w:hAnsi="宋体" w:cs="宋体" w:hint="eastAsia"/>
                <w:sz w:val="16"/>
                <w:szCs w:val="16"/>
                <w:vertAlign w:val="baseline"/>
                <w:lang w:eastAsia="zh-CN"/>
              </w:rPr>
              <w:t xml:space="preserve">单位名称：</w:t>
            </w:r>
            <w:r>
              <w:rPr>
                <w:rFonts w:ascii="宋体" w:eastAsia="宋体" w:hAnsi="宋体" w:cs="宋体"/>
                <w:sz w:val="16"/>
                <w:u w:color="auto"/>
              </w:rPr>
              <w:t xml:space="preserve">环江毛南族自治县第四初级中学</w:t>
            </w:r>
          </w:p>
        </w:tc>
        <w:tc>
          <w:tcPr>
            <w:tcW w:w="3461" w:type="dxa"/>
            <w:gridSpan w:val="3"/>
            <w:tcBorders>
              <w:top w:val="nil"/>
              <w:left w:val="nil"/>
              <w:right w:val="nil"/>
            </w:tcBorders>
          </w:tcPr>
          <w:p>
            <w:pPr>
              <w:ind w:firstLine="1760" w:firstLineChars="1100"/>
              <w:jc w:val="left"/>
              <w:rPr>
                <w:rFonts w:hint="eastAsia"/>
                <w:vertAlign w:val="baseline"/>
                <w:lang w:eastAsia="zh-CN"/>
              </w:rPr>
            </w:pPr>
            <w:r>
              <w:rPr>
                <w:rFonts w:ascii="宋体" w:eastAsia="宋体" w:hAnsi="宋体" w:cs="宋体" w:hint="eastAsia"/>
                <w:sz w:val="16"/>
                <w:szCs w:val="16"/>
                <w:vertAlign w:val="baseline"/>
                <w:lang w:eastAsia="zh-CN"/>
              </w:rPr>
              <w:t xml:space="preserve">单位：万元</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1715" w:type="dxa"/>
            <w:vMerge w:val="restart"/>
          </w:tcPr>
          <w:p>
            <w:pPr>
              <w:jc w:val="center"/>
              <w:rPr>
                <w:rFonts w:hint="eastAsia"/>
                <w:vertAlign w:val="baseline"/>
                <w:lang w:eastAsia="zh-CN"/>
              </w:rPr>
            </w:pPr>
            <w:r>
              <w:rPr>
                <w:sz w:val="17"/>
                <w:szCs w:val="17"/>
              </w:rPr>
              <w:t xml:space="preserve">科目编码</w:t>
            </w:r>
          </w:p>
        </w:tc>
        <w:tc>
          <w:tcPr>
            <w:tcW w:w="1676" w:type="dxa"/>
            <w:vMerge w:val="restart"/>
          </w:tcPr>
          <w:p>
            <w:pPr>
              <w:jc w:val="center"/>
              <w:rPr>
                <w:rFonts w:hint="eastAsia"/>
                <w:vertAlign w:val="baseline"/>
                <w:lang w:eastAsia="zh-CN"/>
              </w:rPr>
            </w:pPr>
            <w:r>
              <w:rPr>
                <w:sz w:val="17"/>
                <w:szCs w:val="17"/>
              </w:rPr>
              <w:t xml:space="preserve">部门（单位）代码</w:t>
            </w:r>
          </w:p>
        </w:tc>
        <w:tc>
          <w:tcPr>
            <w:tcW w:w="1662" w:type="dxa"/>
            <w:vMerge w:val="restart"/>
          </w:tcPr>
          <w:p>
            <w:pPr>
              <w:pStyle w:val="Other|1"/>
              <w:spacing w:after="120" w:line="240" w:lineRule="auto"/>
              <w:ind w:firstLine="0"/>
              <w:jc w:val="center"/>
              <w:rPr>
                <w:sz w:val="17"/>
                <w:szCs w:val="17"/>
              </w:rPr>
            </w:pPr>
            <w:r>
              <w:rPr>
                <w:sz w:val="17"/>
                <w:szCs w:val="17"/>
              </w:rPr>
              <w:t xml:space="preserve">部门（单位）名称</w:t>
            </w:r>
          </w:p>
          <w:p>
            <w:pPr>
              <w:jc w:val="center"/>
              <w:rPr>
                <w:rFonts w:hint="eastAsia"/>
                <w:vertAlign w:val="baseline"/>
                <w:lang w:eastAsia="zh-CN"/>
              </w:rPr>
            </w:pPr>
            <w:r>
              <w:rPr>
                <w:sz w:val="17"/>
                <w:szCs w:val="17"/>
              </w:rPr>
              <w:t xml:space="preserve">（功能分类科目名称）</w:t>
            </w:r>
          </w:p>
        </w:tc>
        <w:tc>
          <w:tcPr>
            <w:tcW w:w="1717" w:type="dxa"/>
            <w:vMerge w:val="restart"/>
          </w:tcPr>
          <w:p>
            <w:pPr>
              <w:jc w:val="center"/>
              <w:rPr>
                <w:rFonts w:hint="eastAsia"/>
                <w:vertAlign w:val="baseline"/>
                <w:lang w:eastAsia="zh-CN"/>
              </w:rPr>
            </w:pPr>
            <w:r>
              <w:rPr>
                <w:sz w:val="17"/>
                <w:szCs w:val="17"/>
              </w:rPr>
              <w:t xml:space="preserve">合计</w:t>
            </w:r>
          </w:p>
        </w:tc>
        <w:tc>
          <w:tcPr>
            <w:tcW w:w="5398" w:type="dxa"/>
            <w:gridSpan w:val="4"/>
          </w:tcPr>
          <w:p>
            <w:pPr>
              <w:jc w:val="center"/>
              <w:rPr>
                <w:rFonts w:hint="eastAsia"/>
                <w:vertAlign w:val="baseline"/>
                <w:lang w:eastAsia="zh-CN"/>
              </w:rPr>
            </w:pPr>
            <w:r>
              <w:rPr>
                <w:sz w:val="17"/>
                <w:szCs w:val="17"/>
              </w:rPr>
              <w:t xml:space="preserve">基本支出</w:t>
            </w:r>
          </w:p>
        </w:tc>
        <w:tc>
          <w:tcPr>
            <w:tcW w:w="1694" w:type="dxa"/>
            <w:vMerge w:val="restart"/>
          </w:tcPr>
          <w:p>
            <w:pPr>
              <w:jc w:val="center"/>
              <w:rPr>
                <w:rFonts w:hint="eastAsia"/>
                <w:vertAlign w:val="baseline"/>
                <w:lang w:eastAsia="zh-CN"/>
              </w:rPr>
            </w:pPr>
            <w:r>
              <w:rPr>
                <w:sz w:val="17"/>
                <w:szCs w:val="17"/>
              </w:rPr>
              <w:t xml:space="preserve">项目支出</w:t>
            </w:r>
          </w:p>
        </w:tc>
        <w:tc>
          <w:tcPr>
            <w:tcW w:w="1695" w:type="dxa"/>
            <w:vMerge w:val="restart"/>
          </w:tcPr>
          <w:p>
            <w:pPr>
              <w:jc w:val="center"/>
              <w:rPr>
                <w:rFonts w:hint="eastAsia"/>
                <w:vertAlign w:val="baseline"/>
                <w:lang w:eastAsia="zh-CN"/>
              </w:rPr>
            </w:pPr>
            <w:r>
              <w:rPr>
                <w:sz w:val="17"/>
                <w:szCs w:val="17"/>
              </w:rPr>
              <w:t xml:space="preserve">结转下年支出</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1715" w:type="dxa"/>
            <w:vMerge/>
          </w:tcPr>
          <w:p>
            <w:pPr>
              <w:jc w:val="center"/>
              <w:rPr>
                <w:rFonts w:hint="eastAsia"/>
                <w:vertAlign w:val="baseline"/>
                <w:lang w:eastAsia="zh-CN"/>
              </w:rPr>
            </w:pPr>
          </w:p>
        </w:tc>
        <w:tc>
          <w:tcPr>
            <w:tcW w:w="1676" w:type="dxa"/>
            <w:vMerge/>
          </w:tcPr>
          <w:p>
            <w:pPr>
              <w:jc w:val="center"/>
              <w:rPr>
                <w:rFonts w:hint="eastAsia"/>
                <w:vertAlign w:val="baseline"/>
                <w:lang w:eastAsia="zh-CN"/>
              </w:rPr>
            </w:pPr>
          </w:p>
        </w:tc>
        <w:tc>
          <w:tcPr>
            <w:tcW w:w="1662" w:type="dxa"/>
            <w:vMerge/>
          </w:tcPr>
          <w:p>
            <w:pPr>
              <w:jc w:val="center"/>
              <w:rPr>
                <w:rFonts w:hint="eastAsia"/>
                <w:vertAlign w:val="baseline"/>
                <w:lang w:eastAsia="zh-CN"/>
              </w:rPr>
            </w:pPr>
          </w:p>
        </w:tc>
        <w:tc>
          <w:tcPr>
            <w:tcW w:w="1717" w:type="dxa"/>
            <w:vMerge/>
          </w:tcPr>
          <w:p>
            <w:pPr>
              <w:jc w:val="center"/>
              <w:rPr>
                <w:rFonts w:hint="eastAsia"/>
                <w:vertAlign w:val="baseline"/>
                <w:lang w:eastAsia="zh-CN"/>
              </w:rPr>
            </w:pPr>
          </w:p>
        </w:tc>
        <w:tc>
          <w:tcPr>
            <w:tcW w:w="1879" w:type="dxa"/>
            <w:vAlign w:val="center"/>
          </w:tcPr>
          <w:p>
            <w:pPr>
              <w:pStyle w:val="Other|1"/>
              <w:spacing w:line="240" w:lineRule="auto"/>
              <w:ind w:firstLine="0" w:firstLineChars="0"/>
              <w:jc w:val="center"/>
              <w:rPr>
                <w:rFonts w:hint="eastAsia"/>
                <w:vertAlign w:val="baseline"/>
                <w:lang w:eastAsia="zh-CN"/>
              </w:rPr>
            </w:pPr>
            <w:r>
              <w:rPr>
                <w:sz w:val="17"/>
                <w:szCs w:val="17"/>
              </w:rPr>
              <w:t xml:space="preserve">小计</w:t>
            </w:r>
          </w:p>
        </w:tc>
        <w:tc>
          <w:tcPr>
            <w:tcW w:w="1729" w:type="dxa"/>
            <w:vAlign w:val="center"/>
          </w:tcPr>
          <w:p>
            <w:pPr>
              <w:pStyle w:val="Other|1"/>
              <w:spacing w:line="240" w:lineRule="auto"/>
              <w:ind w:firstLine="0" w:firstLineChars="0"/>
              <w:jc w:val="center"/>
              <w:rPr>
                <w:rFonts w:hint="eastAsia"/>
                <w:vertAlign w:val="baseline"/>
                <w:lang w:eastAsia="zh-CN"/>
              </w:rPr>
            </w:pPr>
            <w:r>
              <w:rPr>
                <w:sz w:val="17"/>
                <w:szCs w:val="17"/>
              </w:rPr>
              <w:t xml:space="preserve">人员经费</w:t>
            </w:r>
          </w:p>
        </w:tc>
        <w:tc>
          <w:tcPr>
            <w:tcW w:w="1790" w:type="dxa"/>
            <w:gridSpan w:val="2"/>
            <w:vAlign w:val="center"/>
          </w:tcPr>
          <w:p>
            <w:pPr>
              <w:pStyle w:val="Other|1"/>
              <w:spacing w:line="240" w:lineRule="auto"/>
              <w:ind w:firstLine="440" w:firstLineChars="0"/>
              <w:jc w:val="center"/>
              <w:rPr>
                <w:rFonts w:hint="eastAsia"/>
                <w:vertAlign w:val="baseline"/>
                <w:lang w:eastAsia="zh-CN"/>
              </w:rPr>
            </w:pPr>
            <w:r>
              <w:rPr>
                <w:sz w:val="17"/>
                <w:szCs w:val="17"/>
              </w:rPr>
              <w:t xml:space="preserve">公用经费</w:t>
            </w:r>
          </w:p>
        </w:tc>
        <w:tc>
          <w:tcPr>
            <w:tcW w:w="1694" w:type="dxa"/>
            <w:vMerge/>
          </w:tcPr>
          <w:p>
            <w:pPr>
              <w:jc w:val="center"/>
              <w:rPr>
                <w:rFonts w:hint="eastAsia"/>
                <w:vertAlign w:val="baseline"/>
                <w:lang w:eastAsia="zh-CN"/>
              </w:rPr>
            </w:pPr>
          </w:p>
        </w:tc>
        <w:tc>
          <w:tcPr>
            <w:tcW w:w="1695" w:type="dxa"/>
            <w:vMerge/>
          </w:tcPr>
          <w:p>
            <w:pPr>
              <w:jc w:val="center"/>
              <w:rPr>
                <w:rFonts w:hint="eastAsia"/>
                <w:vertAlign w:val="baseline"/>
                <w:lang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1715" w:type="dxa"/>
            <w:vAlign w:val="center"/>
          </w:tcPr>
          <w:p>
            <w:pPr>
              <w:jc w:val="center"/>
              <w:rPr>
                <w:rFonts w:hint="eastAsia"/>
                <w:vertAlign w:val="baseline"/>
                <w:lang w:eastAsia="zh-CN"/>
              </w:rPr>
            </w:pPr>
          </w:p>
        </w:tc>
        <w:tc>
          <w:tcPr>
            <w:tcW w:w="1676" w:type="dxa"/>
            <w:vAlign w:val="center"/>
          </w:tcPr>
          <w:p>
            <w:pPr>
              <w:jc w:val="center"/>
              <w:rPr>
                <w:rFonts w:hint="eastAsia"/>
                <w:vertAlign w:val="baseline"/>
                <w:lang w:eastAsia="zh-CN"/>
              </w:rPr>
            </w:pPr>
          </w:p>
        </w:tc>
        <w:tc>
          <w:tcPr>
            <w:tcW w:w="1662" w:type="dxa"/>
            <w:vAlign w:val="center"/>
          </w:tcPr>
          <w:p>
            <w:pPr>
              <w:jc w:val="center"/>
              <w:rPr>
                <w:rFonts w:hint="eastAsia"/>
                <w:vertAlign w:val="baseline"/>
                <w:lang w:eastAsia="zh-CN"/>
              </w:rPr>
            </w:pPr>
          </w:p>
        </w:tc>
        <w:tc>
          <w:tcPr>
            <w:tcW w:w="1717" w:type="dxa"/>
            <w:vAlign w:val="center"/>
          </w:tcPr>
          <w:p>
            <w:pPr>
              <w:pStyle w:val="Other|1"/>
              <w:spacing w:line="240" w:lineRule="auto"/>
              <w:ind w:firstLine="0" w:firstLineChars="0"/>
              <w:jc w:val="center"/>
              <w:rPr>
                <w:rFonts w:hint="eastAsia"/>
                <w:vertAlign w:val="baseline"/>
                <w:lang w:eastAsia="zh-CN"/>
              </w:rPr>
            </w:pPr>
            <w:r>
              <w:rPr>
                <w:rFonts w:ascii="Times New Roman" w:eastAsia="Times New Roman" w:hAnsi="Times New Roman" w:cs="Times New Roman"/>
                <w:b/>
                <w:bCs/>
                <w:sz w:val="17"/>
                <w:szCs w:val="17"/>
              </w:rPr>
              <w:t xml:space="preserve">1</w:t>
            </w:r>
          </w:p>
        </w:tc>
        <w:tc>
          <w:tcPr>
            <w:tcW w:w="1879" w:type="dxa"/>
            <w:vAlign w:val="center"/>
          </w:tcPr>
          <w:p>
            <w:pPr>
              <w:pStyle w:val="Other|1"/>
              <w:spacing w:line="240" w:lineRule="auto"/>
              <w:ind w:firstLine="0" w:firstLineChars="0"/>
              <w:jc w:val="center"/>
              <w:rPr>
                <w:rFonts w:hint="eastAsia"/>
                <w:vertAlign w:val="baseline"/>
                <w:lang w:eastAsia="zh-CN"/>
              </w:rPr>
            </w:pPr>
            <w:r>
              <w:rPr>
                <w:rFonts w:ascii="Times New Roman" w:eastAsia="Times New Roman" w:hAnsi="Times New Roman" w:cs="Times New Roman"/>
                <w:b/>
                <w:bCs/>
                <w:sz w:val="17"/>
                <w:szCs w:val="17"/>
              </w:rPr>
              <w:t xml:space="preserve">2</w:t>
            </w:r>
          </w:p>
        </w:tc>
        <w:tc>
          <w:tcPr>
            <w:tcW w:w="1729" w:type="dxa"/>
            <w:vAlign w:val="center"/>
          </w:tcPr>
          <w:p>
            <w:pPr>
              <w:pStyle w:val="Other|1"/>
              <w:spacing w:line="240" w:lineRule="auto"/>
              <w:ind w:firstLine="0" w:firstLineChars="0"/>
              <w:jc w:val="center"/>
              <w:rPr>
                <w:rFonts w:hint="eastAsia"/>
                <w:vertAlign w:val="baseline"/>
                <w:lang w:eastAsia="zh-CN"/>
              </w:rPr>
            </w:pPr>
            <w:r>
              <w:rPr>
                <w:rFonts w:ascii="Times New Roman" w:eastAsia="Times New Roman" w:hAnsi="Times New Roman" w:cs="Times New Roman"/>
                <w:b/>
                <w:bCs/>
                <w:sz w:val="17"/>
                <w:szCs w:val="17"/>
              </w:rPr>
              <w:t xml:space="preserve">3</w:t>
            </w:r>
          </w:p>
        </w:tc>
        <w:tc>
          <w:tcPr>
            <w:tcW w:w="1790" w:type="dxa"/>
            <w:gridSpan w:val="2"/>
            <w:vAlign w:val="center"/>
          </w:tcPr>
          <w:p>
            <w:pPr>
              <w:pStyle w:val="Other|1"/>
              <w:spacing w:line="240" w:lineRule="auto"/>
              <w:ind w:firstLine="0" w:firstLineChars="0"/>
              <w:jc w:val="center"/>
              <w:rPr>
                <w:rFonts w:hint="eastAsia"/>
                <w:vertAlign w:val="baseline"/>
                <w:lang w:eastAsia="zh-CN"/>
              </w:rPr>
            </w:pPr>
            <w:r>
              <w:rPr>
                <w:rFonts w:ascii="Times New Roman" w:eastAsia="Times New Roman" w:hAnsi="Times New Roman" w:cs="Times New Roman"/>
                <w:b/>
                <w:bCs/>
                <w:sz w:val="17"/>
                <w:szCs w:val="17"/>
              </w:rPr>
              <w:t xml:space="preserve">4</w:t>
            </w:r>
          </w:p>
        </w:tc>
        <w:tc>
          <w:tcPr>
            <w:tcW w:w="1694" w:type="dxa"/>
            <w:vAlign w:val="center"/>
          </w:tcPr>
          <w:p>
            <w:pPr>
              <w:pStyle w:val="Other|1"/>
              <w:spacing w:line="240" w:lineRule="auto"/>
              <w:ind w:firstLine="660" w:firstLineChars="0"/>
              <w:jc w:val="center"/>
              <w:rPr>
                <w:rFonts w:hint="eastAsia"/>
                <w:vertAlign w:val="baseline"/>
                <w:lang w:eastAsia="zh-CN"/>
              </w:rPr>
            </w:pPr>
            <w:r>
              <w:rPr>
                <w:rFonts w:ascii="Times New Roman" w:eastAsia="Times New Roman" w:hAnsi="Times New Roman" w:cs="Times New Roman"/>
                <w:b/>
                <w:bCs/>
                <w:sz w:val="17"/>
                <w:szCs w:val="17"/>
              </w:rPr>
              <w:t xml:space="preserve">5</w:t>
            </w:r>
          </w:p>
        </w:tc>
        <w:tc>
          <w:tcPr>
            <w:tcW w:w="1695" w:type="dxa"/>
            <w:vAlign w:val="center"/>
          </w:tcPr>
          <w:p>
            <w:pPr>
              <w:pStyle w:val="Other|1"/>
              <w:spacing w:line="240" w:lineRule="auto"/>
              <w:ind w:right="700" w:firstLine="0" w:rightChars="0" w:firstLineChars="0"/>
              <w:jc w:val="center"/>
              <w:rPr>
                <w:rFonts w:hint="eastAsia"/>
                <w:vertAlign w:val="baseline"/>
                <w:lang w:eastAsia="zh-CN"/>
              </w:rPr>
            </w:pPr>
            <w:r>
              <w:rPr>
                <w:rFonts w:ascii="Times New Roman" w:eastAsia="Times New Roman" w:hAnsi="Times New Roman" w:cs="Times New Roman"/>
                <w:b/>
                <w:bCs/>
                <w:sz w:val="17"/>
                <w:szCs w:val="17"/>
              </w:rPr>
              <w:t xml:space="preserve">6</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1715" w:type="dxa"/>
            <w:vAlign w:val="center"/>
          </w:tcPr>
          <w:p>
            <w:pPr>
              <w:pStyle w:val="Other|1"/>
              <w:spacing w:line="240" w:lineRule="auto"/>
              <w:ind w:firstLine="0" w:firstLineChars="0"/>
              <w:jc w:val="center"/>
              <w:rPr>
                <w:rFonts w:ascii="宋体" w:eastAsia="宋体" w:hAnsi="宋体" w:cs="宋体" w:hint="eastAsia"/>
                <w:b w:val="0"/>
                <w:bCs w:val="0"/>
                <w:vertAlign w:val="baseline"/>
                <w:lang w:eastAsia="zh-CN"/>
              </w:rPr>
            </w:pPr>
          </w:p>
        </w:tc>
        <w:tc>
          <w:tcPr>
            <w:tcW w:w="1676" w:type="dxa"/>
            <w:vAlign w:val="center"/>
          </w:tcPr>
          <w:p>
            <w:pPr>
              <w:pStyle w:val="Other|1"/>
              <w:spacing w:line="240" w:lineRule="auto"/>
              <w:ind w:firstLine="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201039</w:t>
            </w:r>
          </w:p>
        </w:tc>
        <w:tc>
          <w:tcPr>
            <w:tcW w:w="1662" w:type="dxa"/>
            <w:vAlign w:val="center"/>
          </w:tcPr>
          <w:p>
            <w:pPr>
              <w:pStyle w:val="Other|1"/>
              <w:spacing w:line="240" w:lineRule="auto"/>
              <w:ind w:firstLine="0" w:firstLineChars="0"/>
              <w:jc w:val="center"/>
              <w:rPr>
                <w:rFonts w:ascii="宋体" w:eastAsia="宋体" w:hAnsi="宋体" w:cs="宋体" w:hint="eastAsia"/>
                <w:b w:val="0"/>
                <w:bCs w:val="0"/>
                <w:vertAlign w:val="baseline"/>
                <w:lang w:eastAsia="zh-CN"/>
              </w:rPr>
            </w:pPr>
          </w:p>
        </w:tc>
        <w:tc>
          <w:tcPr>
            <w:tcW w:w="1717" w:type="dxa"/>
            <w:vAlign w:val="center"/>
          </w:tcPr>
          <w:p>
            <w:pPr>
              <w:pStyle w:val="Other|1"/>
              <w:spacing w:line="240" w:lineRule="auto"/>
              <w:ind w:left="1060" w:firstLine="0" w:leftChars="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bidi="en-US"/>
              </w:rPr>
              <w:t xml:space="preserve">1489.19</w:t>
            </w:r>
          </w:p>
        </w:tc>
        <w:tc>
          <w:tcPr>
            <w:tcW w:w="1879" w:type="dxa"/>
            <w:vAlign w:val="center"/>
          </w:tcPr>
          <w:p>
            <w:pPr>
              <w:pStyle w:val="Other|1"/>
              <w:spacing w:line="240" w:lineRule="auto"/>
              <w:ind w:left="1320" w:firstLine="0" w:leftChars="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1404.64</w:t>
            </w:r>
          </w:p>
        </w:tc>
        <w:tc>
          <w:tcPr>
            <w:tcW w:w="1729" w:type="dxa"/>
            <w:vAlign w:val="center"/>
          </w:tcPr>
          <w:p>
            <w:pPr>
              <w:pStyle w:val="Other|1"/>
              <w:spacing w:line="240" w:lineRule="auto"/>
              <w:ind w:left="1120" w:firstLine="0" w:leftChars="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bidi="en-US"/>
              </w:rPr>
              <w:t xml:space="preserve">1383.87</w:t>
            </w:r>
          </w:p>
        </w:tc>
        <w:tc>
          <w:tcPr>
            <w:tcW w:w="1790" w:type="dxa"/>
            <w:gridSpan w:val="2"/>
            <w:vAlign w:val="center"/>
          </w:tcPr>
          <w:p>
            <w:pPr>
              <w:pStyle w:val="Other|1"/>
              <w:spacing w:line="240" w:lineRule="auto"/>
              <w:ind w:left="1060" w:firstLine="0" w:leftChars="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20.77</w:t>
            </w:r>
          </w:p>
        </w:tc>
        <w:tc>
          <w:tcPr>
            <w:tcW w:w="1694" w:type="dxa"/>
            <w:vAlign w:val="center"/>
          </w:tcPr>
          <w:p>
            <w:pPr>
              <w:pStyle w:val="Other|1"/>
              <w:spacing w:line="240" w:lineRule="auto"/>
              <w:ind w:firstLine="40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bidi="en-US"/>
              </w:rPr>
              <w:t xml:space="preserve">84.55</w:t>
            </w:r>
          </w:p>
        </w:tc>
        <w:tc>
          <w:tcPr>
            <w:tcW w:w="1695" w:type="dxa"/>
            <w:vAlign w:val="center"/>
          </w:tcPr>
          <w:p>
            <w:pPr>
              <w:pStyle w:val="Other|1"/>
              <w:spacing w:line="240" w:lineRule="auto"/>
              <w:ind w:firstLine="40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1715" w:type="dxa"/>
            <w:vAlign w:val="center"/>
          </w:tcPr>
          <w:p>
            <w:pPr>
              <w:pStyle w:val="Other|1"/>
              <w:spacing w:line="240" w:lineRule="auto"/>
              <w:ind w:firstLine="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2012999</w:t>
            </w:r>
          </w:p>
        </w:tc>
        <w:tc>
          <w:tcPr>
            <w:tcW w:w="1676" w:type="dxa"/>
            <w:vAlign w:val="center"/>
          </w:tcPr>
          <w:p>
            <w:pPr>
              <w:pStyle w:val="Other|1"/>
              <w:spacing w:line="240" w:lineRule="auto"/>
              <w:ind w:firstLine="0" w:firstLineChars="0"/>
              <w:jc w:val="center"/>
              <w:rPr>
                <w:rFonts w:ascii="宋体" w:eastAsia="宋体" w:hAnsi="宋体" w:cs="宋体" w:hint="eastAsia"/>
                <w:b w:val="0"/>
                <w:bCs w:val="0"/>
                <w:vertAlign w:val="baseline"/>
                <w:lang w:eastAsia="zh-CN"/>
              </w:rPr>
            </w:pPr>
          </w:p>
        </w:tc>
        <w:tc>
          <w:tcPr>
            <w:tcW w:w="1662" w:type="dxa"/>
            <w:vAlign w:val="center"/>
          </w:tcPr>
          <w:p>
            <w:pPr>
              <w:pStyle w:val="Other|1"/>
              <w:spacing w:line="240" w:lineRule="auto"/>
              <w:ind w:firstLine="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其他群众团体事务支出</w:t>
            </w:r>
          </w:p>
        </w:tc>
        <w:tc>
          <w:tcPr>
            <w:tcW w:w="1717" w:type="dxa"/>
            <w:vAlign w:val="center"/>
          </w:tcPr>
          <w:p>
            <w:pPr>
              <w:pStyle w:val="Other|1"/>
              <w:spacing w:line="240" w:lineRule="auto"/>
              <w:ind w:left="1060" w:firstLine="0" w:leftChars="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bidi="en-US"/>
              </w:rPr>
              <w:t xml:space="preserve">20.77</w:t>
            </w:r>
          </w:p>
        </w:tc>
        <w:tc>
          <w:tcPr>
            <w:tcW w:w="1879" w:type="dxa"/>
            <w:vAlign w:val="center"/>
          </w:tcPr>
          <w:p>
            <w:pPr>
              <w:pStyle w:val="Other|1"/>
              <w:spacing w:line="240" w:lineRule="auto"/>
              <w:ind w:left="1320" w:firstLine="0" w:leftChars="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20.77</w:t>
            </w:r>
          </w:p>
        </w:tc>
        <w:tc>
          <w:tcPr>
            <w:tcW w:w="1729" w:type="dxa"/>
            <w:vAlign w:val="center"/>
          </w:tcPr>
          <w:p>
            <w:pPr>
              <w:pStyle w:val="Other|1"/>
              <w:spacing w:line="240" w:lineRule="auto"/>
              <w:ind w:left="1120" w:firstLine="0" w:leftChars="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bidi="en-US"/>
              </w:rPr>
              <w:t xml:space="preserve">0.00</w:t>
            </w:r>
          </w:p>
        </w:tc>
        <w:tc>
          <w:tcPr>
            <w:tcW w:w="1790" w:type="dxa"/>
            <w:gridSpan w:val="2"/>
            <w:vAlign w:val="center"/>
          </w:tcPr>
          <w:p>
            <w:pPr>
              <w:pStyle w:val="Other|1"/>
              <w:spacing w:line="240" w:lineRule="auto"/>
              <w:ind w:left="1060" w:firstLine="0" w:leftChars="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20.77</w:t>
            </w:r>
          </w:p>
        </w:tc>
        <w:tc>
          <w:tcPr>
            <w:tcW w:w="1694" w:type="dxa"/>
            <w:vAlign w:val="center"/>
          </w:tcPr>
          <w:p>
            <w:pPr>
              <w:pStyle w:val="Other|1"/>
              <w:spacing w:line="240" w:lineRule="auto"/>
              <w:ind w:firstLine="40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bidi="en-US"/>
              </w:rPr>
              <w:t xml:space="preserve">0.00</w:t>
            </w:r>
          </w:p>
        </w:tc>
        <w:tc>
          <w:tcPr>
            <w:tcW w:w="1695" w:type="dxa"/>
            <w:vAlign w:val="center"/>
          </w:tcPr>
          <w:p>
            <w:pPr>
              <w:pStyle w:val="Other|1"/>
              <w:spacing w:line="240" w:lineRule="auto"/>
              <w:ind w:firstLine="40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1715" w:type="dxa"/>
            <w:vAlign w:val="center"/>
          </w:tcPr>
          <w:p>
            <w:pPr>
              <w:pStyle w:val="Other|1"/>
              <w:spacing w:line="240" w:lineRule="auto"/>
              <w:ind w:firstLine="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2050203</w:t>
            </w:r>
          </w:p>
        </w:tc>
        <w:tc>
          <w:tcPr>
            <w:tcW w:w="1676" w:type="dxa"/>
            <w:vAlign w:val="center"/>
          </w:tcPr>
          <w:p>
            <w:pPr>
              <w:pStyle w:val="Other|1"/>
              <w:spacing w:line="240" w:lineRule="auto"/>
              <w:ind w:firstLine="0" w:firstLineChars="0"/>
              <w:jc w:val="center"/>
              <w:rPr>
                <w:rFonts w:ascii="宋体" w:eastAsia="宋体" w:hAnsi="宋体" w:cs="宋体" w:hint="eastAsia"/>
                <w:b w:val="0"/>
                <w:bCs w:val="0"/>
                <w:vertAlign w:val="baseline"/>
                <w:lang w:eastAsia="zh-CN"/>
              </w:rPr>
            </w:pPr>
          </w:p>
        </w:tc>
        <w:tc>
          <w:tcPr>
            <w:tcW w:w="1662" w:type="dxa"/>
            <w:vAlign w:val="center"/>
          </w:tcPr>
          <w:p>
            <w:pPr>
              <w:pStyle w:val="Other|1"/>
              <w:spacing w:line="240" w:lineRule="auto"/>
              <w:ind w:firstLine="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初中教育</w:t>
            </w:r>
          </w:p>
        </w:tc>
        <w:tc>
          <w:tcPr>
            <w:tcW w:w="1717" w:type="dxa"/>
            <w:vAlign w:val="center"/>
          </w:tcPr>
          <w:p>
            <w:pPr>
              <w:pStyle w:val="Other|1"/>
              <w:spacing w:line="240" w:lineRule="auto"/>
              <w:ind w:left="1060" w:firstLine="0" w:leftChars="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bidi="en-US"/>
              </w:rPr>
              <w:t xml:space="preserve">1159.36</w:t>
            </w:r>
          </w:p>
        </w:tc>
        <w:tc>
          <w:tcPr>
            <w:tcW w:w="1879" w:type="dxa"/>
            <w:vAlign w:val="center"/>
          </w:tcPr>
          <w:p>
            <w:pPr>
              <w:pStyle w:val="Other|1"/>
              <w:spacing w:line="240" w:lineRule="auto"/>
              <w:ind w:left="1320" w:firstLine="0" w:leftChars="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1076.52</w:t>
            </w:r>
          </w:p>
        </w:tc>
        <w:tc>
          <w:tcPr>
            <w:tcW w:w="1729" w:type="dxa"/>
            <w:vAlign w:val="center"/>
          </w:tcPr>
          <w:p>
            <w:pPr>
              <w:pStyle w:val="Other|1"/>
              <w:spacing w:line="240" w:lineRule="auto"/>
              <w:ind w:left="1120" w:firstLine="0" w:leftChars="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bidi="en-US"/>
              </w:rPr>
              <w:t xml:space="preserve">1076.52</w:t>
            </w:r>
          </w:p>
        </w:tc>
        <w:tc>
          <w:tcPr>
            <w:tcW w:w="1790" w:type="dxa"/>
            <w:gridSpan w:val="2"/>
            <w:vAlign w:val="center"/>
          </w:tcPr>
          <w:p>
            <w:pPr>
              <w:pStyle w:val="Other|1"/>
              <w:spacing w:line="240" w:lineRule="auto"/>
              <w:ind w:left="1060" w:firstLine="0" w:leftChars="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c>
          <w:tcPr>
            <w:tcW w:w="1694" w:type="dxa"/>
            <w:vAlign w:val="center"/>
          </w:tcPr>
          <w:p>
            <w:pPr>
              <w:pStyle w:val="Other|1"/>
              <w:spacing w:line="240" w:lineRule="auto"/>
              <w:ind w:firstLine="40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bidi="en-US"/>
              </w:rPr>
              <w:t xml:space="preserve">82.84</w:t>
            </w:r>
          </w:p>
        </w:tc>
        <w:tc>
          <w:tcPr>
            <w:tcW w:w="1695" w:type="dxa"/>
            <w:vAlign w:val="center"/>
          </w:tcPr>
          <w:p>
            <w:pPr>
              <w:pStyle w:val="Other|1"/>
              <w:spacing w:line="240" w:lineRule="auto"/>
              <w:ind w:firstLine="40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1715" w:type="dxa"/>
            <w:vAlign w:val="center"/>
          </w:tcPr>
          <w:p>
            <w:pPr>
              <w:pStyle w:val="Other|1"/>
              <w:spacing w:line="240" w:lineRule="auto"/>
              <w:ind w:firstLine="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2050701</w:t>
            </w:r>
          </w:p>
        </w:tc>
        <w:tc>
          <w:tcPr>
            <w:tcW w:w="1676" w:type="dxa"/>
            <w:vAlign w:val="center"/>
          </w:tcPr>
          <w:p>
            <w:pPr>
              <w:pStyle w:val="Other|1"/>
              <w:spacing w:line="240" w:lineRule="auto"/>
              <w:ind w:firstLine="0" w:firstLineChars="0"/>
              <w:jc w:val="center"/>
              <w:rPr>
                <w:rFonts w:ascii="宋体" w:eastAsia="宋体" w:hAnsi="宋体" w:cs="宋体" w:hint="eastAsia"/>
                <w:b w:val="0"/>
                <w:bCs w:val="0"/>
                <w:vertAlign w:val="baseline"/>
                <w:lang w:eastAsia="zh-CN"/>
              </w:rPr>
            </w:pPr>
          </w:p>
        </w:tc>
        <w:tc>
          <w:tcPr>
            <w:tcW w:w="1662" w:type="dxa"/>
            <w:vAlign w:val="center"/>
          </w:tcPr>
          <w:p>
            <w:pPr>
              <w:pStyle w:val="Other|1"/>
              <w:spacing w:line="240" w:lineRule="auto"/>
              <w:ind w:firstLine="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特殊学校教育</w:t>
            </w:r>
          </w:p>
        </w:tc>
        <w:tc>
          <w:tcPr>
            <w:tcW w:w="1717" w:type="dxa"/>
            <w:vAlign w:val="center"/>
          </w:tcPr>
          <w:p>
            <w:pPr>
              <w:pStyle w:val="Other|1"/>
              <w:spacing w:line="240" w:lineRule="auto"/>
              <w:ind w:left="1060" w:firstLine="0" w:leftChars="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bidi="en-US"/>
              </w:rPr>
              <w:t xml:space="preserve">1.71</w:t>
            </w:r>
          </w:p>
        </w:tc>
        <w:tc>
          <w:tcPr>
            <w:tcW w:w="1879" w:type="dxa"/>
            <w:vAlign w:val="center"/>
          </w:tcPr>
          <w:p>
            <w:pPr>
              <w:pStyle w:val="Other|1"/>
              <w:spacing w:line="240" w:lineRule="auto"/>
              <w:ind w:left="1320" w:firstLine="0" w:leftChars="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c>
          <w:tcPr>
            <w:tcW w:w="1729" w:type="dxa"/>
            <w:vAlign w:val="center"/>
          </w:tcPr>
          <w:p>
            <w:pPr>
              <w:pStyle w:val="Other|1"/>
              <w:spacing w:line="240" w:lineRule="auto"/>
              <w:ind w:left="1120" w:firstLine="0" w:leftChars="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bidi="en-US"/>
              </w:rPr>
              <w:t xml:space="preserve">0.00</w:t>
            </w:r>
          </w:p>
        </w:tc>
        <w:tc>
          <w:tcPr>
            <w:tcW w:w="1790" w:type="dxa"/>
            <w:gridSpan w:val="2"/>
            <w:vAlign w:val="center"/>
          </w:tcPr>
          <w:p>
            <w:pPr>
              <w:pStyle w:val="Other|1"/>
              <w:spacing w:line="240" w:lineRule="auto"/>
              <w:ind w:left="1060" w:firstLine="0" w:leftChars="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c>
          <w:tcPr>
            <w:tcW w:w="1694" w:type="dxa"/>
            <w:vAlign w:val="center"/>
          </w:tcPr>
          <w:p>
            <w:pPr>
              <w:pStyle w:val="Other|1"/>
              <w:spacing w:line="240" w:lineRule="auto"/>
              <w:ind w:firstLine="40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bidi="en-US"/>
              </w:rPr>
              <w:t xml:space="preserve">1.71</w:t>
            </w:r>
          </w:p>
        </w:tc>
        <w:tc>
          <w:tcPr>
            <w:tcW w:w="1695" w:type="dxa"/>
            <w:vAlign w:val="center"/>
          </w:tcPr>
          <w:p>
            <w:pPr>
              <w:pStyle w:val="Other|1"/>
              <w:spacing w:line="240" w:lineRule="auto"/>
              <w:ind w:firstLine="40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1715" w:type="dxa"/>
            <w:vAlign w:val="center"/>
          </w:tcPr>
          <w:p>
            <w:pPr>
              <w:pStyle w:val="Other|1"/>
              <w:spacing w:line="240" w:lineRule="auto"/>
              <w:ind w:firstLine="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2080505</w:t>
            </w:r>
          </w:p>
        </w:tc>
        <w:tc>
          <w:tcPr>
            <w:tcW w:w="1676" w:type="dxa"/>
            <w:vAlign w:val="center"/>
          </w:tcPr>
          <w:p>
            <w:pPr>
              <w:pStyle w:val="Other|1"/>
              <w:spacing w:line="240" w:lineRule="auto"/>
              <w:ind w:firstLine="0" w:firstLineChars="0"/>
              <w:jc w:val="center"/>
              <w:rPr>
                <w:rFonts w:ascii="宋体" w:eastAsia="宋体" w:hAnsi="宋体" w:cs="宋体" w:hint="eastAsia"/>
                <w:b w:val="0"/>
                <w:bCs w:val="0"/>
                <w:vertAlign w:val="baseline"/>
                <w:lang w:eastAsia="zh-CN"/>
              </w:rPr>
            </w:pPr>
          </w:p>
        </w:tc>
        <w:tc>
          <w:tcPr>
            <w:tcW w:w="1662" w:type="dxa"/>
            <w:vAlign w:val="center"/>
          </w:tcPr>
          <w:p>
            <w:pPr>
              <w:pStyle w:val="Other|1"/>
              <w:spacing w:line="240" w:lineRule="auto"/>
              <w:ind w:firstLine="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机关事业单位基本养老保险缴费支出</w:t>
            </w:r>
          </w:p>
        </w:tc>
        <w:tc>
          <w:tcPr>
            <w:tcW w:w="1717" w:type="dxa"/>
            <w:vAlign w:val="center"/>
          </w:tcPr>
          <w:p>
            <w:pPr>
              <w:pStyle w:val="Other|1"/>
              <w:spacing w:line="240" w:lineRule="auto"/>
              <w:ind w:left="1060" w:firstLine="0" w:leftChars="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bidi="en-US"/>
              </w:rPr>
              <w:t xml:space="preserve">166.17</w:t>
            </w:r>
          </w:p>
        </w:tc>
        <w:tc>
          <w:tcPr>
            <w:tcW w:w="1879" w:type="dxa"/>
            <w:vAlign w:val="center"/>
          </w:tcPr>
          <w:p>
            <w:pPr>
              <w:pStyle w:val="Other|1"/>
              <w:spacing w:line="240" w:lineRule="auto"/>
              <w:ind w:left="1320" w:firstLine="0" w:leftChars="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166.17</w:t>
            </w:r>
          </w:p>
        </w:tc>
        <w:tc>
          <w:tcPr>
            <w:tcW w:w="1729" w:type="dxa"/>
            <w:vAlign w:val="center"/>
          </w:tcPr>
          <w:p>
            <w:pPr>
              <w:pStyle w:val="Other|1"/>
              <w:spacing w:line="240" w:lineRule="auto"/>
              <w:ind w:left="1120" w:firstLine="0" w:leftChars="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bidi="en-US"/>
              </w:rPr>
              <w:t xml:space="preserve">166.17</w:t>
            </w:r>
          </w:p>
        </w:tc>
        <w:tc>
          <w:tcPr>
            <w:tcW w:w="1790" w:type="dxa"/>
            <w:gridSpan w:val="2"/>
            <w:vAlign w:val="center"/>
          </w:tcPr>
          <w:p>
            <w:pPr>
              <w:pStyle w:val="Other|1"/>
              <w:spacing w:line="240" w:lineRule="auto"/>
              <w:ind w:left="1060" w:firstLine="0" w:leftChars="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c>
          <w:tcPr>
            <w:tcW w:w="1694" w:type="dxa"/>
            <w:vAlign w:val="center"/>
          </w:tcPr>
          <w:p>
            <w:pPr>
              <w:pStyle w:val="Other|1"/>
              <w:spacing w:line="240" w:lineRule="auto"/>
              <w:ind w:firstLine="40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bidi="en-US"/>
              </w:rPr>
              <w:t xml:space="preserve">0.00</w:t>
            </w:r>
          </w:p>
        </w:tc>
        <w:tc>
          <w:tcPr>
            <w:tcW w:w="1695" w:type="dxa"/>
            <w:vAlign w:val="center"/>
          </w:tcPr>
          <w:p>
            <w:pPr>
              <w:pStyle w:val="Other|1"/>
              <w:spacing w:line="240" w:lineRule="auto"/>
              <w:ind w:firstLine="40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1715" w:type="dxa"/>
            <w:vAlign w:val="center"/>
          </w:tcPr>
          <w:p>
            <w:pPr>
              <w:pStyle w:val="Other|1"/>
              <w:spacing w:line="240" w:lineRule="auto"/>
              <w:ind w:firstLine="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2210201</w:t>
            </w:r>
          </w:p>
        </w:tc>
        <w:tc>
          <w:tcPr>
            <w:tcW w:w="1676" w:type="dxa"/>
            <w:vAlign w:val="center"/>
          </w:tcPr>
          <w:p>
            <w:pPr>
              <w:pStyle w:val="Other|1"/>
              <w:spacing w:line="240" w:lineRule="auto"/>
              <w:ind w:firstLine="0" w:firstLineChars="0"/>
              <w:jc w:val="center"/>
              <w:rPr>
                <w:rFonts w:ascii="宋体" w:eastAsia="宋体" w:hAnsi="宋体" w:cs="宋体" w:hint="eastAsia"/>
                <w:b w:val="0"/>
                <w:bCs w:val="0"/>
                <w:vertAlign w:val="baseline"/>
                <w:lang w:eastAsia="zh-CN"/>
              </w:rPr>
            </w:pPr>
          </w:p>
        </w:tc>
        <w:tc>
          <w:tcPr>
            <w:tcW w:w="1662" w:type="dxa"/>
            <w:vAlign w:val="center"/>
          </w:tcPr>
          <w:p>
            <w:pPr>
              <w:pStyle w:val="Other|1"/>
              <w:spacing w:line="240" w:lineRule="auto"/>
              <w:ind w:firstLine="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住房公积金</w:t>
            </w:r>
          </w:p>
        </w:tc>
        <w:tc>
          <w:tcPr>
            <w:tcW w:w="1717" w:type="dxa"/>
            <w:vAlign w:val="center"/>
          </w:tcPr>
          <w:p>
            <w:pPr>
              <w:pStyle w:val="Other|1"/>
              <w:spacing w:line="240" w:lineRule="auto"/>
              <w:ind w:left="1060" w:firstLine="0" w:leftChars="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bidi="en-US"/>
              </w:rPr>
              <w:t xml:space="preserve">141.18</w:t>
            </w:r>
          </w:p>
        </w:tc>
        <w:tc>
          <w:tcPr>
            <w:tcW w:w="1879" w:type="dxa"/>
            <w:vAlign w:val="center"/>
          </w:tcPr>
          <w:p>
            <w:pPr>
              <w:pStyle w:val="Other|1"/>
              <w:spacing w:line="240" w:lineRule="auto"/>
              <w:ind w:left="1320" w:firstLine="0" w:leftChars="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141.18</w:t>
            </w:r>
          </w:p>
        </w:tc>
        <w:tc>
          <w:tcPr>
            <w:tcW w:w="1729" w:type="dxa"/>
            <w:vAlign w:val="center"/>
          </w:tcPr>
          <w:p>
            <w:pPr>
              <w:pStyle w:val="Other|1"/>
              <w:spacing w:line="240" w:lineRule="auto"/>
              <w:ind w:left="1120" w:firstLine="0" w:leftChars="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bidi="en-US"/>
              </w:rPr>
              <w:t xml:space="preserve">141.18</w:t>
            </w:r>
          </w:p>
        </w:tc>
        <w:tc>
          <w:tcPr>
            <w:tcW w:w="1790" w:type="dxa"/>
            <w:gridSpan w:val="2"/>
            <w:vAlign w:val="center"/>
          </w:tcPr>
          <w:p>
            <w:pPr>
              <w:pStyle w:val="Other|1"/>
              <w:spacing w:line="240" w:lineRule="auto"/>
              <w:ind w:left="1060" w:firstLine="0" w:leftChars="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c>
          <w:tcPr>
            <w:tcW w:w="1694" w:type="dxa"/>
            <w:vAlign w:val="center"/>
          </w:tcPr>
          <w:p>
            <w:pPr>
              <w:pStyle w:val="Other|1"/>
              <w:spacing w:line="240" w:lineRule="auto"/>
              <w:ind w:firstLine="40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bidi="en-US"/>
              </w:rPr>
              <w:t xml:space="preserve">0.00</w:t>
            </w:r>
          </w:p>
        </w:tc>
        <w:tc>
          <w:tcPr>
            <w:tcW w:w="1695" w:type="dxa"/>
            <w:vAlign w:val="center"/>
          </w:tcPr>
          <w:p>
            <w:pPr>
              <w:pStyle w:val="Other|1"/>
              <w:spacing w:line="240" w:lineRule="auto"/>
              <w:ind w:firstLine="40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15557" w:type="dxa"/>
            <w:gridSpan w:val="10"/>
            <w:tcBorders>
              <w:left w:val="nil"/>
              <w:bottom w:val="nil"/>
              <w:right w:val="nil"/>
            </w:tcBorders>
          </w:tcPr>
          <w:p>
            <w:pPr>
              <w:jc w:val="left"/>
              <w:rPr>
                <w:rFonts w:hint="eastAsia"/>
                <w:sz w:val="17"/>
                <w:szCs w:val="17"/>
                <w:vertAlign w:val="baseline"/>
                <w:lang w:eastAsia="zh-CN"/>
              </w:rPr>
            </w:pPr>
            <w:r>
              <w:rPr>
                <w:rFonts w:ascii="宋体" w:eastAsia="宋体" w:hAnsi="宋体" w:cs="宋体" w:hint="eastAsia"/>
                <w:sz w:val="17"/>
                <w:szCs w:val="17"/>
              </w:rPr>
              <w:t xml:space="preserve">注：本报表金额单位转换时可能存在四舍五入尾数误差。</w:t>
            </w:r>
          </w:p>
        </w:tc>
      </w:tr>
    </w:tbl>
    <w:p>
      <w:pPr>
        <w:jc w:val="left"/>
        <w:rPr>
          <w:rFonts w:hint="eastAsia"/>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pStyle w:val="Heading#2|1"/>
        <w:keepNext/>
        <w:keepLines/>
        <w:spacing w:after="240"/>
        <w:jc w:val="center"/>
      </w:pPr>
      <w:bookmarkStart w:id="26" w:name="bookmark56"/>
      <w:bookmarkStart w:id="27" w:name="bookmark57"/>
      <w:bookmarkStart w:id="28" w:name="bookmark58"/>
      <w:r>
        <w:t xml:space="preserve">一般公共预算基本支出情况表</w:t>
      </w:r>
      <w:bookmarkEnd w:id="26"/>
      <w:bookmarkEnd w:id="27"/>
      <w:bookmarkEnd w:id="28"/>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firstRow="0" w:lastRow="0" w:firstColumn="0" w:lastColumn="0" w:noHBand="1" w:noVBand="1"/>
      </w:tblPr>
      <w:tblGrid>
        <w:gridCol w:w="3110"/>
        <w:gridCol w:w="3111"/>
        <w:gridCol w:w="3111"/>
        <w:gridCol w:w="3112"/>
        <w:gridCol w:w="3113"/>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blHeader/>
        </w:trPr>
        <w:tc>
          <w:tcPr>
            <w:tcW w:w="12444" w:type="dxa"/>
            <w:gridSpan w:val="4"/>
            <w:tcBorders>
              <w:top w:val="nil"/>
              <w:left w:val="nil"/>
              <w:right w:val="nil"/>
            </w:tcBorders>
          </w:tcPr>
          <w:p>
            <w:pPr>
              <w:jc w:val="left"/>
              <w:rPr>
                <w:rFonts w:ascii="宋体" w:eastAsia="宋体" w:hAnsi="宋体" w:cs="宋体" w:hint="eastAsia"/>
                <w:sz w:val="16"/>
                <w:szCs w:val="16"/>
                <w:vertAlign w:val="baseline"/>
                <w:lang w:eastAsia="zh-CN"/>
              </w:rPr>
            </w:pPr>
            <w:r>
              <w:rPr>
                <w:rFonts w:ascii="宋体" w:eastAsia="宋体" w:hAnsi="宋体" w:cs="宋体" w:hint="eastAsia"/>
                <w:sz w:val="16"/>
                <w:szCs w:val="16"/>
                <w:vertAlign w:val="baseline"/>
                <w:lang w:eastAsia="zh-CN"/>
              </w:rPr>
              <w:t xml:space="preserve">单位名称：</w:t>
            </w:r>
            <w:r>
              <w:rPr>
                <w:rFonts w:ascii="宋体" w:eastAsia="宋体" w:hAnsi="宋体" w:cs="宋体"/>
                <w:sz w:val="16"/>
                <w:u w:color="auto"/>
              </w:rPr>
              <w:t xml:space="preserve">环江毛南族自治县第四初级中学</w:t>
            </w:r>
          </w:p>
        </w:tc>
        <w:tc>
          <w:tcPr>
            <w:tcW w:w="3113" w:type="dxa"/>
            <w:tcBorders>
              <w:top w:val="nil"/>
              <w:left w:val="nil"/>
              <w:right w:val="nil"/>
            </w:tcBorders>
          </w:tcPr>
          <w:p>
            <w:pPr>
              <w:ind w:firstLine="1760" w:firstLineChars="1100"/>
              <w:jc w:val="left"/>
              <w:rPr>
                <w:rFonts w:ascii="宋体" w:eastAsia="宋体" w:hAnsi="宋体" w:cs="宋体" w:hint="eastAsia"/>
                <w:sz w:val="16"/>
                <w:szCs w:val="16"/>
                <w:vertAlign w:val="baseline"/>
                <w:lang w:eastAsia="zh-CN"/>
              </w:rPr>
            </w:pPr>
            <w:r>
              <w:rPr>
                <w:rFonts w:ascii="宋体" w:eastAsia="宋体" w:hAnsi="宋体" w:cs="宋体" w:hint="eastAsia"/>
                <w:sz w:val="16"/>
                <w:szCs w:val="16"/>
                <w:vertAlign w:val="baseline"/>
                <w:lang w:eastAsia="zh-CN"/>
              </w:rPr>
              <w:t xml:space="preserve">单位：万元</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435"/>
          <w:tblHeader/>
        </w:trPr>
        <w:tc>
          <w:tcPr>
            <w:tcW w:w="6221" w:type="dxa"/>
            <w:gridSpan w:val="2"/>
          </w:tcPr>
          <w:p>
            <w:pPr>
              <w:jc w:val="left"/>
              <w:rPr>
                <w:vertAlign w:val="baseline"/>
                <w:lang w:eastAsia="zh-CN"/>
              </w:rPr>
            </w:pPr>
            <w:r>
              <w:rPr>
                <w:sz w:val="17"/>
                <w:szCs w:val="17"/>
              </w:rPr>
              <w:t xml:space="preserve">部门预算支出经济分类科目</w:t>
            </w:r>
          </w:p>
        </w:tc>
        <w:tc>
          <w:tcPr>
            <w:tcW w:w="9336" w:type="dxa"/>
            <w:gridSpan w:val="3"/>
          </w:tcPr>
          <w:p>
            <w:pPr>
              <w:jc w:val="left"/>
              <w:rPr>
                <w:vertAlign w:val="baseline"/>
                <w:lang w:eastAsia="zh-CN"/>
              </w:rPr>
            </w:pPr>
            <w:r>
              <w:rPr>
                <w:sz w:val="17"/>
                <w:szCs w:val="17"/>
              </w:rPr>
              <w:t xml:space="preserve">本年一般公共预算基本支出</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420"/>
          <w:tblHeader/>
        </w:trPr>
        <w:tc>
          <w:tcPr>
            <w:tcW w:w="3110" w:type="dxa"/>
            <w:vAlign w:val="center"/>
          </w:tcPr>
          <w:p>
            <w:pPr>
              <w:pStyle w:val="Other|1"/>
              <w:spacing w:line="240" w:lineRule="auto"/>
              <w:ind w:firstLine="0" w:firstLineChars="0"/>
              <w:jc w:val="center"/>
              <w:rPr>
                <w:vertAlign w:val="baseline"/>
                <w:lang w:eastAsia="zh-CN"/>
              </w:rPr>
            </w:pPr>
            <w:r>
              <w:rPr>
                <w:sz w:val="17"/>
                <w:szCs w:val="17"/>
              </w:rPr>
              <w:t xml:space="preserve">科目编码</w:t>
            </w:r>
          </w:p>
        </w:tc>
        <w:tc>
          <w:tcPr>
            <w:tcW w:w="3111" w:type="dxa"/>
            <w:vAlign w:val="center"/>
          </w:tcPr>
          <w:p>
            <w:pPr>
              <w:pStyle w:val="Other|1"/>
              <w:spacing w:line="240" w:lineRule="auto"/>
              <w:ind w:firstLine="0" w:firstLineChars="0"/>
              <w:jc w:val="center"/>
              <w:rPr>
                <w:vertAlign w:val="baseline"/>
                <w:lang w:eastAsia="zh-CN"/>
              </w:rPr>
            </w:pPr>
            <w:r>
              <w:rPr>
                <w:sz w:val="17"/>
                <w:szCs w:val="17"/>
              </w:rPr>
              <w:t xml:space="preserve">科目名称</w:t>
            </w:r>
          </w:p>
        </w:tc>
        <w:tc>
          <w:tcPr>
            <w:tcW w:w="3111" w:type="dxa"/>
            <w:vAlign w:val="center"/>
          </w:tcPr>
          <w:p>
            <w:pPr>
              <w:pStyle w:val="Other|1"/>
              <w:spacing w:line="240" w:lineRule="auto"/>
              <w:ind w:firstLine="0" w:firstLineChars="0"/>
              <w:jc w:val="center"/>
              <w:rPr>
                <w:vertAlign w:val="baseline"/>
                <w:lang w:eastAsia="zh-CN"/>
              </w:rPr>
            </w:pPr>
            <w:r>
              <w:rPr>
                <w:sz w:val="17"/>
                <w:szCs w:val="17"/>
              </w:rPr>
              <w:t xml:space="preserve">合计</w:t>
            </w:r>
          </w:p>
        </w:tc>
        <w:tc>
          <w:tcPr>
            <w:tcW w:w="3112" w:type="dxa"/>
            <w:vAlign w:val="center"/>
          </w:tcPr>
          <w:p>
            <w:pPr>
              <w:pStyle w:val="Other|1"/>
              <w:spacing w:line="240" w:lineRule="auto"/>
              <w:ind w:firstLine="0" w:firstLineChars="0"/>
              <w:jc w:val="center"/>
              <w:rPr>
                <w:vertAlign w:val="baseline"/>
                <w:lang w:eastAsia="zh-CN"/>
              </w:rPr>
            </w:pPr>
            <w:r>
              <w:rPr>
                <w:sz w:val="17"/>
                <w:szCs w:val="17"/>
              </w:rPr>
              <w:t xml:space="preserve">人员经费</w:t>
            </w:r>
          </w:p>
        </w:tc>
        <w:tc>
          <w:tcPr>
            <w:tcW w:w="3113" w:type="dxa"/>
            <w:vAlign w:val="center"/>
          </w:tcPr>
          <w:p>
            <w:pPr>
              <w:pStyle w:val="Other|1"/>
              <w:spacing w:line="240" w:lineRule="auto"/>
              <w:ind w:firstLine="0" w:firstLineChars="0"/>
              <w:jc w:val="center"/>
              <w:rPr>
                <w:vertAlign w:val="baseline"/>
                <w:lang w:eastAsia="zh-CN"/>
              </w:rPr>
            </w:pPr>
            <w:r>
              <w:rPr>
                <w:sz w:val="17"/>
                <w:szCs w:val="17"/>
              </w:rPr>
              <w:t xml:space="preserve">公用经费</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rFonts w:ascii="宋体" w:eastAsia="宋体" w:hAnsi="宋体" w:cs="宋体" w:hint="eastAsia"/>
                <w:b w:val="0"/>
                <w:bCs w:val="0"/>
                <w:vertAlign w:val="baseline"/>
                <w:lang w:eastAsia="zh-CN"/>
              </w:rPr>
            </w:pPr>
          </w:p>
        </w:tc>
        <w:tc>
          <w:tcPr>
            <w:tcW w:w="3111" w:type="dxa"/>
            <w:vAlign w:val="center"/>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合计</w:t>
            </w:r>
          </w:p>
        </w:tc>
        <w:tc>
          <w:tcPr>
            <w:tcW w:w="3111"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1404.64</w:t>
            </w:r>
          </w:p>
        </w:tc>
        <w:tc>
          <w:tcPr>
            <w:tcW w:w="3112"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1383.87</w:t>
            </w:r>
          </w:p>
        </w:tc>
        <w:tc>
          <w:tcPr>
            <w:tcW w:w="3113"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20.77</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301</w:t>
            </w:r>
          </w:p>
        </w:tc>
        <w:tc>
          <w:tcPr>
            <w:tcW w:w="3111" w:type="dxa"/>
            <w:vAlign w:val="center"/>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工资福利支出</w:t>
            </w:r>
          </w:p>
        </w:tc>
        <w:tc>
          <w:tcPr>
            <w:tcW w:w="3111"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1383.87</w:t>
            </w:r>
          </w:p>
        </w:tc>
        <w:tc>
          <w:tcPr>
            <w:tcW w:w="3112"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1383.87</w:t>
            </w:r>
          </w:p>
        </w:tc>
        <w:tc>
          <w:tcPr>
            <w:tcW w:w="3113"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30101</w:t>
            </w:r>
          </w:p>
        </w:tc>
        <w:tc>
          <w:tcPr>
            <w:tcW w:w="3111" w:type="dxa"/>
            <w:vAlign w:val="center"/>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基本工资</w:t>
            </w:r>
          </w:p>
        </w:tc>
        <w:tc>
          <w:tcPr>
            <w:tcW w:w="3111"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481.26</w:t>
            </w:r>
          </w:p>
        </w:tc>
        <w:tc>
          <w:tcPr>
            <w:tcW w:w="3112"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481.26</w:t>
            </w:r>
          </w:p>
        </w:tc>
        <w:tc>
          <w:tcPr>
            <w:tcW w:w="3113"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30102</w:t>
            </w:r>
          </w:p>
        </w:tc>
        <w:tc>
          <w:tcPr>
            <w:tcW w:w="3111" w:type="dxa"/>
            <w:vAlign w:val="center"/>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津贴补贴</w:t>
            </w:r>
          </w:p>
        </w:tc>
        <w:tc>
          <w:tcPr>
            <w:tcW w:w="3111"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35.59</w:t>
            </w:r>
          </w:p>
        </w:tc>
        <w:tc>
          <w:tcPr>
            <w:tcW w:w="3112"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35.59</w:t>
            </w:r>
          </w:p>
        </w:tc>
        <w:tc>
          <w:tcPr>
            <w:tcW w:w="3113"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30103</w:t>
            </w:r>
          </w:p>
        </w:tc>
        <w:tc>
          <w:tcPr>
            <w:tcW w:w="3111" w:type="dxa"/>
            <w:vAlign w:val="center"/>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奖金</w:t>
            </w:r>
          </w:p>
        </w:tc>
        <w:tc>
          <w:tcPr>
            <w:tcW w:w="3111"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256.79</w:t>
            </w:r>
          </w:p>
        </w:tc>
        <w:tc>
          <w:tcPr>
            <w:tcW w:w="3112"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256.79</w:t>
            </w:r>
          </w:p>
        </w:tc>
        <w:tc>
          <w:tcPr>
            <w:tcW w:w="3113"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30107</w:t>
            </w:r>
          </w:p>
        </w:tc>
        <w:tc>
          <w:tcPr>
            <w:tcW w:w="3111" w:type="dxa"/>
            <w:vAlign w:val="center"/>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绩效工资</w:t>
            </w:r>
          </w:p>
        </w:tc>
        <w:tc>
          <w:tcPr>
            <w:tcW w:w="3111"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229.06</w:t>
            </w:r>
          </w:p>
        </w:tc>
        <w:tc>
          <w:tcPr>
            <w:tcW w:w="3112"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229.06</w:t>
            </w:r>
          </w:p>
        </w:tc>
        <w:tc>
          <w:tcPr>
            <w:tcW w:w="3113"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30108</w:t>
            </w:r>
          </w:p>
        </w:tc>
        <w:tc>
          <w:tcPr>
            <w:tcW w:w="3111" w:type="dxa"/>
            <w:vAlign w:val="center"/>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机关事业单位基本养老保险缴费</w:t>
            </w:r>
          </w:p>
        </w:tc>
        <w:tc>
          <w:tcPr>
            <w:tcW w:w="3111"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166.17</w:t>
            </w:r>
          </w:p>
        </w:tc>
        <w:tc>
          <w:tcPr>
            <w:tcW w:w="3112"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166.17</w:t>
            </w:r>
          </w:p>
        </w:tc>
        <w:tc>
          <w:tcPr>
            <w:tcW w:w="3113"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30110</w:t>
            </w:r>
          </w:p>
        </w:tc>
        <w:tc>
          <w:tcPr>
            <w:tcW w:w="3111" w:type="dxa"/>
            <w:vAlign w:val="center"/>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职工基本医疗保险缴费</w:t>
            </w:r>
          </w:p>
        </w:tc>
        <w:tc>
          <w:tcPr>
            <w:tcW w:w="3111"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66.47</w:t>
            </w:r>
          </w:p>
        </w:tc>
        <w:tc>
          <w:tcPr>
            <w:tcW w:w="3112"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66.47</w:t>
            </w:r>
          </w:p>
        </w:tc>
        <w:tc>
          <w:tcPr>
            <w:tcW w:w="3113"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30112</w:t>
            </w:r>
          </w:p>
        </w:tc>
        <w:tc>
          <w:tcPr>
            <w:tcW w:w="3111" w:type="dxa"/>
            <w:vAlign w:val="center"/>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其他社会保障缴费</w:t>
            </w:r>
          </w:p>
        </w:tc>
        <w:tc>
          <w:tcPr>
            <w:tcW w:w="3111"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7.35</w:t>
            </w:r>
          </w:p>
        </w:tc>
        <w:tc>
          <w:tcPr>
            <w:tcW w:w="3112"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7.35</w:t>
            </w:r>
          </w:p>
        </w:tc>
        <w:tc>
          <w:tcPr>
            <w:tcW w:w="3113"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30113</w:t>
            </w:r>
          </w:p>
        </w:tc>
        <w:tc>
          <w:tcPr>
            <w:tcW w:w="3111" w:type="dxa"/>
            <w:vAlign w:val="center"/>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住房公积金</w:t>
            </w:r>
          </w:p>
        </w:tc>
        <w:tc>
          <w:tcPr>
            <w:tcW w:w="3111"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141.18</w:t>
            </w:r>
          </w:p>
        </w:tc>
        <w:tc>
          <w:tcPr>
            <w:tcW w:w="3112"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141.18</w:t>
            </w:r>
          </w:p>
        </w:tc>
        <w:tc>
          <w:tcPr>
            <w:tcW w:w="3113"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302</w:t>
            </w:r>
          </w:p>
        </w:tc>
        <w:tc>
          <w:tcPr>
            <w:tcW w:w="3111" w:type="dxa"/>
            <w:vAlign w:val="center"/>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商品和服务支出</w:t>
            </w:r>
          </w:p>
        </w:tc>
        <w:tc>
          <w:tcPr>
            <w:tcW w:w="3111"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20.77</w:t>
            </w:r>
          </w:p>
        </w:tc>
        <w:tc>
          <w:tcPr>
            <w:tcW w:w="3112"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c>
          <w:tcPr>
            <w:tcW w:w="3113"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20.77</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30201</w:t>
            </w:r>
          </w:p>
        </w:tc>
        <w:tc>
          <w:tcPr>
            <w:tcW w:w="3111" w:type="dxa"/>
            <w:vAlign w:val="center"/>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办公费</w:t>
            </w:r>
          </w:p>
        </w:tc>
        <w:tc>
          <w:tcPr>
            <w:tcW w:w="3111"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c>
          <w:tcPr>
            <w:tcW w:w="3112"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c>
          <w:tcPr>
            <w:tcW w:w="3113"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30202</w:t>
            </w:r>
          </w:p>
        </w:tc>
        <w:tc>
          <w:tcPr>
            <w:tcW w:w="3111" w:type="dxa"/>
            <w:vAlign w:val="center"/>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印刷费</w:t>
            </w:r>
          </w:p>
        </w:tc>
        <w:tc>
          <w:tcPr>
            <w:tcW w:w="3111"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c>
          <w:tcPr>
            <w:tcW w:w="3112"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c>
          <w:tcPr>
            <w:tcW w:w="3113"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30205</w:t>
            </w:r>
          </w:p>
        </w:tc>
        <w:tc>
          <w:tcPr>
            <w:tcW w:w="3111" w:type="dxa"/>
            <w:vAlign w:val="center"/>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水费</w:t>
            </w:r>
          </w:p>
        </w:tc>
        <w:tc>
          <w:tcPr>
            <w:tcW w:w="3111"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c>
          <w:tcPr>
            <w:tcW w:w="3112"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c>
          <w:tcPr>
            <w:tcW w:w="3113"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30206</w:t>
            </w:r>
          </w:p>
        </w:tc>
        <w:tc>
          <w:tcPr>
            <w:tcW w:w="3111" w:type="dxa"/>
            <w:vAlign w:val="center"/>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电费</w:t>
            </w:r>
          </w:p>
        </w:tc>
        <w:tc>
          <w:tcPr>
            <w:tcW w:w="3111"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c>
          <w:tcPr>
            <w:tcW w:w="3112"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c>
          <w:tcPr>
            <w:tcW w:w="3113"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30207</w:t>
            </w:r>
          </w:p>
        </w:tc>
        <w:tc>
          <w:tcPr>
            <w:tcW w:w="3111" w:type="dxa"/>
            <w:vAlign w:val="center"/>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邮电费</w:t>
            </w:r>
          </w:p>
        </w:tc>
        <w:tc>
          <w:tcPr>
            <w:tcW w:w="3111"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c>
          <w:tcPr>
            <w:tcW w:w="3112"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c>
          <w:tcPr>
            <w:tcW w:w="3113"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30209</w:t>
            </w:r>
          </w:p>
        </w:tc>
        <w:tc>
          <w:tcPr>
            <w:tcW w:w="3111" w:type="dxa"/>
            <w:vAlign w:val="center"/>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物业管理费</w:t>
            </w:r>
          </w:p>
        </w:tc>
        <w:tc>
          <w:tcPr>
            <w:tcW w:w="3111"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c>
          <w:tcPr>
            <w:tcW w:w="3112"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c>
          <w:tcPr>
            <w:tcW w:w="3113"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30211</w:t>
            </w:r>
          </w:p>
        </w:tc>
        <w:tc>
          <w:tcPr>
            <w:tcW w:w="3111" w:type="dxa"/>
            <w:vAlign w:val="center"/>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差旅费</w:t>
            </w:r>
          </w:p>
        </w:tc>
        <w:tc>
          <w:tcPr>
            <w:tcW w:w="3111"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c>
          <w:tcPr>
            <w:tcW w:w="3112"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c>
          <w:tcPr>
            <w:tcW w:w="3113"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30213</w:t>
            </w:r>
          </w:p>
        </w:tc>
        <w:tc>
          <w:tcPr>
            <w:tcW w:w="3111" w:type="dxa"/>
            <w:vAlign w:val="center"/>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维修（护）费</w:t>
            </w:r>
          </w:p>
        </w:tc>
        <w:tc>
          <w:tcPr>
            <w:tcW w:w="3111"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c>
          <w:tcPr>
            <w:tcW w:w="3112"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c>
          <w:tcPr>
            <w:tcW w:w="3113"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30214</w:t>
            </w:r>
          </w:p>
        </w:tc>
        <w:tc>
          <w:tcPr>
            <w:tcW w:w="3111" w:type="dxa"/>
            <w:vAlign w:val="center"/>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租赁费</w:t>
            </w:r>
          </w:p>
        </w:tc>
        <w:tc>
          <w:tcPr>
            <w:tcW w:w="3111"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c>
          <w:tcPr>
            <w:tcW w:w="3112"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c>
          <w:tcPr>
            <w:tcW w:w="3113"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30218</w:t>
            </w:r>
          </w:p>
        </w:tc>
        <w:tc>
          <w:tcPr>
            <w:tcW w:w="3111" w:type="dxa"/>
            <w:vAlign w:val="center"/>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专用材料费</w:t>
            </w:r>
          </w:p>
        </w:tc>
        <w:tc>
          <w:tcPr>
            <w:tcW w:w="3111"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c>
          <w:tcPr>
            <w:tcW w:w="3112"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c>
          <w:tcPr>
            <w:tcW w:w="3113"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30226</w:t>
            </w:r>
          </w:p>
        </w:tc>
        <w:tc>
          <w:tcPr>
            <w:tcW w:w="3111" w:type="dxa"/>
            <w:vAlign w:val="center"/>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劳务费</w:t>
            </w:r>
          </w:p>
        </w:tc>
        <w:tc>
          <w:tcPr>
            <w:tcW w:w="3111"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c>
          <w:tcPr>
            <w:tcW w:w="3112"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c>
          <w:tcPr>
            <w:tcW w:w="3113"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30228</w:t>
            </w:r>
          </w:p>
        </w:tc>
        <w:tc>
          <w:tcPr>
            <w:tcW w:w="3111" w:type="dxa"/>
            <w:vAlign w:val="center"/>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工会经费</w:t>
            </w:r>
          </w:p>
        </w:tc>
        <w:tc>
          <w:tcPr>
            <w:tcW w:w="3111"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20.77</w:t>
            </w:r>
          </w:p>
        </w:tc>
        <w:tc>
          <w:tcPr>
            <w:tcW w:w="3112"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c>
          <w:tcPr>
            <w:tcW w:w="3113"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20.77</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30299</w:t>
            </w:r>
          </w:p>
        </w:tc>
        <w:tc>
          <w:tcPr>
            <w:tcW w:w="3111" w:type="dxa"/>
            <w:vAlign w:val="center"/>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其他商品和服务支出</w:t>
            </w:r>
          </w:p>
        </w:tc>
        <w:tc>
          <w:tcPr>
            <w:tcW w:w="3111"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c>
          <w:tcPr>
            <w:tcW w:w="3112"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c>
          <w:tcPr>
            <w:tcW w:w="3113"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303</w:t>
            </w:r>
          </w:p>
        </w:tc>
        <w:tc>
          <w:tcPr>
            <w:tcW w:w="3111" w:type="dxa"/>
            <w:vAlign w:val="center"/>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对个人和家庭的补助</w:t>
            </w:r>
          </w:p>
        </w:tc>
        <w:tc>
          <w:tcPr>
            <w:tcW w:w="3111"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c>
          <w:tcPr>
            <w:tcW w:w="3112"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c>
          <w:tcPr>
            <w:tcW w:w="3113"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30308</w:t>
            </w:r>
          </w:p>
        </w:tc>
        <w:tc>
          <w:tcPr>
            <w:tcW w:w="3111" w:type="dxa"/>
            <w:vAlign w:val="center"/>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助学金</w:t>
            </w:r>
          </w:p>
        </w:tc>
        <w:tc>
          <w:tcPr>
            <w:tcW w:w="3111"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c>
          <w:tcPr>
            <w:tcW w:w="3112"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c>
          <w:tcPr>
            <w:tcW w:w="3113"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310</w:t>
            </w:r>
          </w:p>
        </w:tc>
        <w:tc>
          <w:tcPr>
            <w:tcW w:w="3111" w:type="dxa"/>
            <w:vAlign w:val="center"/>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资本性支出</w:t>
            </w:r>
          </w:p>
        </w:tc>
        <w:tc>
          <w:tcPr>
            <w:tcW w:w="3111"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c>
          <w:tcPr>
            <w:tcW w:w="3112"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c>
          <w:tcPr>
            <w:tcW w:w="3113"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31002</w:t>
            </w:r>
          </w:p>
        </w:tc>
        <w:tc>
          <w:tcPr>
            <w:tcW w:w="3111" w:type="dxa"/>
            <w:vAlign w:val="center"/>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办公设备购置</w:t>
            </w:r>
          </w:p>
        </w:tc>
        <w:tc>
          <w:tcPr>
            <w:tcW w:w="3111"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c>
          <w:tcPr>
            <w:tcW w:w="3112"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c>
          <w:tcPr>
            <w:tcW w:w="3113"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432"/>
          <w:tblHeader/>
        </w:trPr>
        <w:tc>
          <w:tcPr>
            <w:tcW w:w="15557" w:type="dxa"/>
            <w:gridSpan w:val="5"/>
            <w:tcBorders>
              <w:left w:val="nil"/>
              <w:bottom w:val="nil"/>
              <w:right w:val="nil"/>
            </w:tcBorders>
          </w:tcPr>
          <w:p>
            <w:pPr>
              <w:jc w:val="left"/>
              <w:rPr>
                <w:sz w:val="16"/>
                <w:szCs w:val="16"/>
              </w:rPr>
            </w:pPr>
          </w:p>
          <w:p>
            <w:pPr>
              <w:jc w:val="left"/>
              <w:rPr>
                <w:vertAlign w:val="baseline"/>
                <w:lang w:eastAsia="zh-CN"/>
              </w:rPr>
            </w:pPr>
            <w:r>
              <w:rPr>
                <w:rFonts w:ascii="宋体" w:eastAsia="宋体" w:hAnsi="宋体" w:cs="宋体" w:hint="eastAsia"/>
                <w:sz w:val="17"/>
                <w:szCs w:val="17"/>
              </w:rPr>
              <w:t xml:space="preserve">注：本报表金额单位转换时可能存在四舍五入尾数误差。</w:t>
            </w:r>
          </w:p>
        </w:tc>
      </w:tr>
    </w:tbl>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pStyle w:val="Heading#2|1"/>
        <w:keepNext/>
        <w:keepLines/>
        <w:spacing w:after="240"/>
        <w:jc w:val="center"/>
        <w:rPr>
          <w:rFonts w:hint="default"/>
          <w:sz w:val="28"/>
          <w:szCs w:val="28"/>
          <w:lang w:val="en-US" w:eastAsia="zh-CN"/>
        </w:rPr>
      </w:pPr>
      <w:bookmarkStart w:id="29" w:name="bookmark65"/>
      <w:bookmarkStart w:id="30" w:name="bookmark66"/>
      <w:bookmarkStart w:id="31" w:name="bookmark67"/>
      <w:r>
        <w:rPr>
          <w:rFonts w:hint="default"/>
          <w:sz w:val="28"/>
          <w:szCs w:val="28"/>
          <w:lang w:val="en-US" w:eastAsia="zh-CN"/>
        </w:rPr>
        <w:t xml:space="preserve">一般公共预算“三公”经费预算表</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firstRow="0" w:lastRow="0" w:firstColumn="0" w:lastColumn="0" w:noHBand="1" w:noVBand="1"/>
      </w:tblPr>
      <w:tblGrid>
        <w:gridCol w:w="2296"/>
        <w:gridCol w:w="1918"/>
        <w:gridCol w:w="1884"/>
        <w:gridCol w:w="1895"/>
        <w:gridCol w:w="1888"/>
        <w:gridCol w:w="1890"/>
        <w:gridCol w:w="1895"/>
        <w:gridCol w:w="2"/>
        <w:gridCol w:w="1889"/>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13666" w:type="dxa"/>
            <w:gridSpan w:val="7"/>
            <w:tcBorders>
              <w:top w:val="nil"/>
              <w:left w:val="nil"/>
              <w:right w:val="nil"/>
            </w:tcBorders>
          </w:tcPr>
          <w:p>
            <w:pPr>
              <w:pStyle w:val="Tablecaption|1"/>
              <w:bidi w:val="0"/>
              <w:jc w:val="both"/>
              <w:rPr>
                <w:rFonts w:ascii="宋体" w:eastAsia="宋体" w:hAnsi="宋体" w:cs="宋体" w:hint="eastAsia"/>
                <w:sz w:val="16"/>
                <w:szCs w:val="16"/>
                <w:vertAlign w:val="baseline"/>
                <w:lang w:eastAsia="zh-CN"/>
              </w:rPr>
            </w:pPr>
            <w:r>
              <w:rPr>
                <w:rFonts w:ascii="宋体" w:eastAsia="宋体" w:hAnsi="宋体" w:cs="宋体" w:hint="eastAsia"/>
                <w:sz w:val="16"/>
                <w:szCs w:val="16"/>
                <w:vertAlign w:val="baseline"/>
                <w:lang w:eastAsia="zh-CN"/>
              </w:rPr>
              <w:t xml:space="preserve">单位名称：</w:t>
            </w:r>
            <w:r>
              <w:rPr>
                <w:rFonts w:ascii="宋体" w:eastAsia="宋体" w:hAnsi="宋体" w:cs="宋体"/>
                <w:sz w:val="16"/>
                <w:u w:color="auto"/>
              </w:rPr>
              <w:t xml:space="preserve">环江毛南族自治县第四初级中学</w:t>
            </w:r>
          </w:p>
        </w:tc>
        <w:tc>
          <w:tcPr>
            <w:tcW w:w="1891" w:type="dxa"/>
            <w:gridSpan w:val="2"/>
            <w:tcBorders>
              <w:top w:val="nil"/>
              <w:left w:val="nil"/>
              <w:right w:val="nil"/>
            </w:tcBorders>
          </w:tcPr>
          <w:p>
            <w:pPr>
              <w:pStyle w:val="Tablecaption|1"/>
              <w:bidi w:val="0"/>
              <w:ind w:firstLine="480" w:firstLineChars="300"/>
              <w:jc w:val="both"/>
              <w:rPr>
                <w:rFonts w:ascii="宋体" w:eastAsia="宋体" w:hAnsi="宋体" w:cs="宋体" w:hint="eastAsia"/>
                <w:sz w:val="16"/>
                <w:szCs w:val="16"/>
                <w:vertAlign w:val="baseline"/>
                <w:lang w:eastAsia="zh-CN"/>
              </w:rPr>
            </w:pPr>
            <w:r>
              <w:rPr>
                <w:rFonts w:ascii="宋体" w:eastAsia="宋体" w:hAnsi="宋体" w:cs="宋体" w:hint="eastAsia"/>
                <w:sz w:val="16"/>
                <w:szCs w:val="16"/>
                <w:vertAlign w:val="baseline"/>
                <w:lang w:eastAsia="zh-CN"/>
              </w:rPr>
              <w:t xml:space="preserve">单位：万元</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2296" w:type="dxa"/>
            <w:vMerge w:val="restart"/>
          </w:tcPr>
          <w:p>
            <w:pPr>
              <w:pStyle w:val="Tablecaption|1"/>
              <w:bidi w:val="0"/>
              <w:jc w:val="center"/>
              <w:rPr>
                <w:rFonts w:hint="eastAsia"/>
                <w:vertAlign w:val="baseline"/>
                <w:lang w:val="en-US" w:eastAsia="zh-CN"/>
              </w:rPr>
            </w:pPr>
            <w:r>
              <w:rPr>
                <w:sz w:val="17"/>
                <w:szCs w:val="17"/>
              </w:rPr>
              <w:t xml:space="preserve">门（单位）代码</w:t>
            </w:r>
          </w:p>
        </w:tc>
        <w:tc>
          <w:tcPr>
            <w:tcW w:w="1918" w:type="dxa"/>
            <w:vMerge w:val="restart"/>
          </w:tcPr>
          <w:p>
            <w:pPr>
              <w:pStyle w:val="Tablecaption|1"/>
              <w:bidi w:val="0"/>
              <w:jc w:val="center"/>
              <w:rPr>
                <w:rFonts w:hint="eastAsia"/>
                <w:vertAlign w:val="baseline"/>
                <w:lang w:val="en-US" w:eastAsia="zh-CN"/>
              </w:rPr>
            </w:pPr>
            <w:r>
              <w:rPr>
                <w:sz w:val="17"/>
                <w:szCs w:val="17"/>
              </w:rPr>
              <w:t xml:space="preserve">部门（单位）名称</w:t>
            </w:r>
          </w:p>
        </w:tc>
        <w:tc>
          <w:tcPr>
            <w:tcW w:w="11343" w:type="dxa"/>
            <w:gridSpan w:val="7"/>
          </w:tcPr>
          <w:p>
            <w:pPr>
              <w:pStyle w:val="Tablecaption|1"/>
              <w:bidi w:val="0"/>
              <w:jc w:val="center"/>
              <w:rPr>
                <w:rFonts w:hint="eastAsia"/>
                <w:vertAlign w:val="baseline"/>
                <w:lang w:val="en-US" w:eastAsia="zh-CN"/>
              </w:rPr>
            </w:pPr>
            <w:r>
              <w:rPr>
                <w:sz w:val="17"/>
                <w:szCs w:val="17"/>
                <w:lang w:val="zh-CN" w:eastAsia="zh-CN" w:bidi="zh-CN"/>
              </w:rPr>
              <w:t xml:space="preserve">“三</w:t>
            </w:r>
            <w:r>
              <w:rPr>
                <w:sz w:val="17"/>
                <w:szCs w:val="17"/>
              </w:rPr>
              <w:t xml:space="preserve">公”经费</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2296" w:type="dxa"/>
            <w:vMerge/>
          </w:tcPr>
          <w:p>
            <w:pPr>
              <w:pStyle w:val="Tablecaption|1"/>
              <w:bidi w:val="0"/>
              <w:jc w:val="center"/>
              <w:rPr>
                <w:rFonts w:hint="eastAsia"/>
                <w:vertAlign w:val="baseline"/>
                <w:lang w:val="en-US" w:eastAsia="zh-CN"/>
              </w:rPr>
            </w:pPr>
          </w:p>
        </w:tc>
        <w:tc>
          <w:tcPr>
            <w:tcW w:w="1918" w:type="dxa"/>
            <w:vMerge/>
          </w:tcPr>
          <w:p>
            <w:pPr>
              <w:pStyle w:val="Tablecaption|1"/>
              <w:bidi w:val="0"/>
              <w:jc w:val="center"/>
              <w:rPr>
                <w:rFonts w:hint="eastAsia"/>
                <w:vertAlign w:val="baseline"/>
                <w:lang w:val="en-US" w:eastAsia="zh-CN"/>
              </w:rPr>
            </w:pPr>
          </w:p>
        </w:tc>
        <w:tc>
          <w:tcPr>
            <w:tcW w:w="1884" w:type="dxa"/>
            <w:vMerge w:val="restart"/>
          </w:tcPr>
          <w:p>
            <w:pPr>
              <w:pStyle w:val="Tablecaption|1"/>
              <w:bidi w:val="0"/>
              <w:jc w:val="center"/>
              <w:rPr>
                <w:rFonts w:hint="eastAsia"/>
                <w:vertAlign w:val="baseline"/>
                <w:lang w:val="en-US" w:eastAsia="zh-CN"/>
              </w:rPr>
            </w:pPr>
            <w:r>
              <w:rPr>
                <w:sz w:val="17"/>
                <w:szCs w:val="17"/>
              </w:rPr>
              <w:t xml:space="preserve">合计</w:t>
            </w:r>
          </w:p>
        </w:tc>
        <w:tc>
          <w:tcPr>
            <w:tcW w:w="1895" w:type="dxa"/>
            <w:vMerge w:val="restart"/>
          </w:tcPr>
          <w:p>
            <w:pPr>
              <w:pStyle w:val="Tablecaption|1"/>
              <w:bidi w:val="0"/>
              <w:jc w:val="center"/>
              <w:rPr>
                <w:rFonts w:hint="eastAsia"/>
                <w:vertAlign w:val="baseline"/>
                <w:lang w:val="en-US" w:eastAsia="zh-CN"/>
              </w:rPr>
            </w:pPr>
            <w:r>
              <w:rPr>
                <w:sz w:val="17"/>
                <w:szCs w:val="17"/>
              </w:rPr>
              <w:t xml:space="preserve">因公出国（境）费</w:t>
            </w:r>
          </w:p>
        </w:tc>
        <w:tc>
          <w:tcPr>
            <w:tcW w:w="5675" w:type="dxa"/>
            <w:gridSpan w:val="4"/>
          </w:tcPr>
          <w:p>
            <w:pPr>
              <w:pStyle w:val="Tablecaption|1"/>
              <w:bidi w:val="0"/>
              <w:jc w:val="center"/>
              <w:rPr>
                <w:rFonts w:hint="eastAsia"/>
                <w:vertAlign w:val="baseline"/>
                <w:lang w:val="en-US" w:eastAsia="zh-CN"/>
              </w:rPr>
            </w:pPr>
            <w:r>
              <w:rPr>
                <w:sz w:val="17"/>
                <w:szCs w:val="17"/>
              </w:rPr>
              <w:t xml:space="preserve">公务用车购置及运行维护费</w:t>
            </w:r>
          </w:p>
        </w:tc>
        <w:tc>
          <w:tcPr>
            <w:tcW w:w="1889" w:type="dxa"/>
            <w:vMerge w:val="restart"/>
          </w:tcPr>
          <w:p>
            <w:pPr>
              <w:pStyle w:val="Tablecaption|1"/>
              <w:bidi w:val="0"/>
              <w:jc w:val="center"/>
              <w:rPr>
                <w:rFonts w:hint="eastAsia"/>
                <w:vertAlign w:val="baseline"/>
                <w:lang w:val="en-US" w:eastAsia="zh-CN"/>
              </w:rPr>
            </w:pPr>
            <w:r>
              <w:rPr>
                <w:sz w:val="17"/>
                <w:szCs w:val="17"/>
              </w:rPr>
              <w:t xml:space="preserve">公务接待费</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2296" w:type="dxa"/>
            <w:vMerge/>
          </w:tcPr>
          <w:p>
            <w:pPr>
              <w:pStyle w:val="Tablecaption|1"/>
              <w:bidi w:val="0"/>
              <w:jc w:val="center"/>
              <w:rPr>
                <w:rFonts w:hint="eastAsia"/>
                <w:vertAlign w:val="baseline"/>
                <w:lang w:val="en-US" w:eastAsia="zh-CN"/>
              </w:rPr>
            </w:pPr>
          </w:p>
        </w:tc>
        <w:tc>
          <w:tcPr>
            <w:tcW w:w="1918" w:type="dxa"/>
            <w:vMerge/>
          </w:tcPr>
          <w:p>
            <w:pPr>
              <w:pStyle w:val="Tablecaption|1"/>
              <w:bidi w:val="0"/>
              <w:jc w:val="center"/>
              <w:rPr>
                <w:rFonts w:hint="eastAsia"/>
                <w:vertAlign w:val="baseline"/>
                <w:lang w:val="en-US" w:eastAsia="zh-CN"/>
              </w:rPr>
            </w:pPr>
          </w:p>
        </w:tc>
        <w:tc>
          <w:tcPr>
            <w:tcW w:w="1884" w:type="dxa"/>
            <w:vMerge/>
          </w:tcPr>
          <w:p>
            <w:pPr>
              <w:pStyle w:val="Tablecaption|1"/>
              <w:bidi w:val="0"/>
              <w:jc w:val="center"/>
              <w:rPr>
                <w:rFonts w:hint="eastAsia"/>
                <w:vertAlign w:val="baseline"/>
                <w:lang w:val="en-US" w:eastAsia="zh-CN"/>
              </w:rPr>
            </w:pPr>
          </w:p>
        </w:tc>
        <w:tc>
          <w:tcPr>
            <w:tcW w:w="1895" w:type="dxa"/>
            <w:vMerge/>
          </w:tcPr>
          <w:p>
            <w:pPr>
              <w:pStyle w:val="Tablecaption|1"/>
              <w:bidi w:val="0"/>
              <w:jc w:val="center"/>
              <w:rPr>
                <w:rFonts w:hint="eastAsia"/>
                <w:vertAlign w:val="baseline"/>
                <w:lang w:val="en-US" w:eastAsia="zh-CN"/>
              </w:rPr>
            </w:pPr>
          </w:p>
        </w:tc>
        <w:tc>
          <w:tcPr>
            <w:tcW w:w="1888" w:type="dxa"/>
            <w:vAlign w:val="center"/>
          </w:tcPr>
          <w:p>
            <w:pPr>
              <w:pStyle w:val="Other|1"/>
              <w:spacing w:line="240" w:lineRule="auto"/>
              <w:ind w:firstLine="0" w:firstLineChars="0"/>
              <w:jc w:val="center"/>
              <w:rPr>
                <w:rFonts w:hint="eastAsia"/>
                <w:vertAlign w:val="baseline"/>
                <w:lang w:val="en-US" w:eastAsia="zh-CN"/>
              </w:rPr>
            </w:pPr>
            <w:r>
              <w:rPr>
                <w:sz w:val="17"/>
                <w:szCs w:val="17"/>
              </w:rPr>
              <w:t xml:space="preserve">小计</w:t>
            </w:r>
          </w:p>
        </w:tc>
        <w:tc>
          <w:tcPr>
            <w:tcW w:w="1890" w:type="dxa"/>
            <w:vAlign w:val="center"/>
          </w:tcPr>
          <w:p>
            <w:pPr>
              <w:pStyle w:val="Other|1"/>
              <w:spacing w:line="240" w:lineRule="auto"/>
              <w:ind w:firstLine="220" w:firstLineChars="0"/>
              <w:jc w:val="center"/>
              <w:rPr>
                <w:rFonts w:hint="eastAsia"/>
                <w:vertAlign w:val="baseline"/>
                <w:lang w:val="en-US" w:eastAsia="zh-CN"/>
              </w:rPr>
            </w:pPr>
            <w:r>
              <w:rPr>
                <w:sz w:val="17"/>
                <w:szCs w:val="17"/>
              </w:rPr>
              <w:t xml:space="preserve">公务用车运行维护费</w:t>
            </w:r>
          </w:p>
        </w:tc>
        <w:tc>
          <w:tcPr>
            <w:tcW w:w="1897" w:type="dxa"/>
            <w:gridSpan w:val="2"/>
            <w:vAlign w:val="center"/>
          </w:tcPr>
          <w:p>
            <w:pPr>
              <w:pStyle w:val="Other|1"/>
              <w:spacing w:line="240" w:lineRule="auto"/>
              <w:ind w:firstLine="400" w:firstLineChars="0"/>
              <w:jc w:val="center"/>
              <w:rPr>
                <w:rFonts w:hint="eastAsia"/>
                <w:vertAlign w:val="baseline"/>
                <w:lang w:val="en-US" w:eastAsia="zh-CN"/>
              </w:rPr>
            </w:pPr>
            <w:r>
              <w:rPr>
                <w:sz w:val="17"/>
                <w:szCs w:val="17"/>
              </w:rPr>
              <w:t xml:space="preserve">公务用车购置费</w:t>
            </w:r>
          </w:p>
        </w:tc>
        <w:tc>
          <w:tcPr>
            <w:tcW w:w="1889" w:type="dxa"/>
            <w:vMerge/>
          </w:tcPr>
          <w:p>
            <w:pPr>
              <w:pStyle w:val="Tablecaption|1"/>
              <w:bidi w:val="0"/>
              <w:jc w:val="center"/>
              <w:rPr>
                <w:rFonts w:hint="eastAsia"/>
                <w:vertAlign w:val="baseline"/>
                <w:lang w:val="en-US"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2296" w:type="dxa"/>
            <w:vAlign w:val="center"/>
          </w:tcPr>
          <w:p>
            <w:pPr>
              <w:jc w:val="center"/>
              <w:rPr>
                <w:rFonts w:hint="eastAsia"/>
                <w:vertAlign w:val="baseline"/>
                <w:lang w:val="en-US" w:eastAsia="zh-CN"/>
              </w:rPr>
            </w:pPr>
          </w:p>
        </w:tc>
        <w:tc>
          <w:tcPr>
            <w:tcW w:w="1918" w:type="dxa"/>
            <w:vAlign w:val="center"/>
          </w:tcPr>
          <w:p>
            <w:pPr>
              <w:jc w:val="center"/>
              <w:rPr>
                <w:rFonts w:hint="eastAsia"/>
                <w:vertAlign w:val="baseline"/>
                <w:lang w:val="en-US" w:eastAsia="zh-CN"/>
              </w:rPr>
            </w:pPr>
          </w:p>
        </w:tc>
        <w:tc>
          <w:tcPr>
            <w:tcW w:w="1884" w:type="dxa"/>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1</w:t>
            </w:r>
          </w:p>
        </w:tc>
        <w:tc>
          <w:tcPr>
            <w:tcW w:w="1895" w:type="dxa"/>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2</w:t>
            </w:r>
          </w:p>
        </w:tc>
        <w:tc>
          <w:tcPr>
            <w:tcW w:w="1888" w:type="dxa"/>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3</w:t>
            </w:r>
          </w:p>
        </w:tc>
        <w:tc>
          <w:tcPr>
            <w:tcW w:w="1890" w:type="dxa"/>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4</w:t>
            </w:r>
          </w:p>
        </w:tc>
        <w:tc>
          <w:tcPr>
            <w:tcW w:w="1897" w:type="dxa"/>
            <w:gridSpan w:val="2"/>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5</w:t>
            </w:r>
          </w:p>
        </w:tc>
        <w:tc>
          <w:tcPr>
            <w:tcW w:w="1889" w:type="dxa"/>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6</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2296" w:type="dxa"/>
            <w:vAlign w:val="center"/>
          </w:tcPr>
          <w:p>
            <w:pPr>
              <w:pStyle w:val="Other|1"/>
              <w:spacing w:line="240" w:lineRule="auto"/>
              <w:ind w:firstLine="0" w:firstLineChars="0"/>
              <w:jc w:val="left"/>
              <w:rPr>
                <w:rFonts w:ascii="宋体" w:eastAsia="宋体" w:hAnsi="宋体" w:cs="宋体" w:hint="eastAsia"/>
                <w:b w:val="0"/>
                <w:bCs w:val="0"/>
                <w:vertAlign w:val="baseline"/>
                <w:lang w:val="en-US" w:eastAsia="zh-CN"/>
              </w:rPr>
            </w:pPr>
            <w:r>
              <w:rPr>
                <w:rFonts w:ascii="宋体" w:eastAsia="宋体" w:hAnsi="宋体" w:cs="宋体" w:hint="eastAsia"/>
                <w:b w:val="0"/>
                <w:bCs w:val="0"/>
                <w:sz w:val="17"/>
                <w:szCs w:val="17"/>
                <w:lang w:val="en-US" w:eastAsia="zh-CN"/>
              </w:rPr>
              <w:t xml:space="preserve">201039</w:t>
            </w:r>
          </w:p>
        </w:tc>
        <w:tc>
          <w:tcPr>
            <w:tcW w:w="1918" w:type="dxa"/>
            <w:vAlign w:val="center"/>
          </w:tcPr>
          <w:p>
            <w:pPr>
              <w:pStyle w:val="Other|1"/>
              <w:spacing w:line="240" w:lineRule="auto"/>
              <w:ind w:firstLine="0" w:firstLineChars="0"/>
              <w:jc w:val="left"/>
              <w:rPr>
                <w:rFonts w:ascii="宋体" w:eastAsia="宋体" w:hAnsi="宋体" w:cs="宋体" w:hint="eastAsia"/>
                <w:b w:val="0"/>
                <w:bCs w:val="0"/>
                <w:vertAlign w:val="baseline"/>
                <w:lang w:val="en-US" w:eastAsia="zh-CN"/>
              </w:rPr>
            </w:pPr>
          </w:p>
        </w:tc>
        <w:tc>
          <w:tcPr>
            <w:tcW w:w="1884" w:type="dxa"/>
            <w:vAlign w:val="center"/>
          </w:tcPr>
          <w:p>
            <w:pPr>
              <w:pStyle w:val="Other|1"/>
              <w:spacing w:line="240" w:lineRule="auto"/>
              <w:ind w:firstLine="0" w:firstLineChars="0"/>
              <w:jc w:val="right"/>
              <w:rPr>
                <w:rFonts w:ascii="宋体" w:eastAsia="宋体" w:hAnsi="宋体" w:cs="宋体" w:hint="eastAsia"/>
                <w:b w:val="0"/>
                <w:bCs w:val="0"/>
                <w:vertAlign w:val="baseline"/>
                <w:lang w:val="en-US" w:eastAsia="zh-CN"/>
              </w:rPr>
            </w:pPr>
            <w:r>
              <w:rPr>
                <w:rFonts w:ascii="宋体" w:eastAsia="宋体" w:hAnsi="宋体" w:cs="宋体" w:hint="eastAsia"/>
                <w:b w:val="0"/>
                <w:bCs w:val="0"/>
                <w:sz w:val="17"/>
                <w:szCs w:val="17"/>
                <w:lang w:val="en-US" w:eastAsia="zh-CN"/>
              </w:rPr>
              <w:t xml:space="preserve">0.00</w:t>
            </w:r>
          </w:p>
        </w:tc>
        <w:tc>
          <w:tcPr>
            <w:tcW w:w="1895" w:type="dxa"/>
            <w:vAlign w:val="center"/>
          </w:tcPr>
          <w:p>
            <w:pPr>
              <w:pStyle w:val="Other|1"/>
              <w:spacing w:line="240" w:lineRule="auto"/>
              <w:ind w:firstLine="0" w:firstLineChars="0"/>
              <w:jc w:val="right"/>
              <w:rPr>
                <w:rFonts w:ascii="宋体" w:eastAsia="宋体" w:hAnsi="宋体" w:cs="宋体" w:hint="eastAsia"/>
                <w:b w:val="0"/>
                <w:bCs w:val="0"/>
                <w:vertAlign w:val="baseline"/>
                <w:lang w:val="en-US" w:eastAsia="zh-CN"/>
              </w:rPr>
            </w:pPr>
            <w:r>
              <w:rPr>
                <w:rFonts w:ascii="宋体" w:eastAsia="宋体" w:hAnsi="宋体" w:cs="宋体" w:hint="eastAsia"/>
                <w:b w:val="0"/>
                <w:bCs w:val="0"/>
                <w:sz w:val="17"/>
                <w:szCs w:val="17"/>
                <w:lang w:val="en-US" w:eastAsia="zh-CN"/>
              </w:rPr>
              <w:t xml:space="preserve">0.00</w:t>
            </w:r>
          </w:p>
        </w:tc>
        <w:tc>
          <w:tcPr>
            <w:tcW w:w="1888" w:type="dxa"/>
            <w:vAlign w:val="center"/>
          </w:tcPr>
          <w:p>
            <w:pPr>
              <w:pStyle w:val="Other|1"/>
              <w:spacing w:line="240" w:lineRule="auto"/>
              <w:ind w:firstLine="0" w:firstLineChars="0"/>
              <w:jc w:val="right"/>
              <w:rPr>
                <w:rFonts w:ascii="宋体" w:eastAsia="宋体" w:hAnsi="宋体" w:cs="宋体" w:hint="eastAsia"/>
                <w:b w:val="0"/>
                <w:bCs w:val="0"/>
                <w:vertAlign w:val="baseline"/>
                <w:lang w:val="en-US" w:eastAsia="zh-CN"/>
              </w:rPr>
            </w:pPr>
            <w:r>
              <w:rPr>
                <w:rFonts w:ascii="宋体" w:eastAsia="宋体" w:hAnsi="宋体" w:cs="宋体" w:hint="eastAsia"/>
                <w:b w:val="0"/>
                <w:bCs w:val="0"/>
                <w:sz w:val="17"/>
                <w:szCs w:val="17"/>
                <w:lang w:val="en-US" w:eastAsia="zh-CN"/>
              </w:rPr>
              <w:t xml:space="preserve">0.00</w:t>
            </w:r>
          </w:p>
        </w:tc>
        <w:tc>
          <w:tcPr>
            <w:tcW w:w="1890" w:type="dxa"/>
            <w:vAlign w:val="center"/>
          </w:tcPr>
          <w:p>
            <w:pPr>
              <w:pStyle w:val="Other|1"/>
              <w:spacing w:line="240" w:lineRule="auto"/>
              <w:ind w:firstLine="0" w:firstLineChars="0"/>
              <w:jc w:val="right"/>
              <w:rPr>
                <w:rFonts w:ascii="宋体" w:eastAsia="宋体" w:hAnsi="宋体" w:cs="宋体" w:hint="eastAsia"/>
                <w:b w:val="0"/>
                <w:bCs w:val="0"/>
                <w:vertAlign w:val="baseline"/>
                <w:lang w:val="en-US" w:eastAsia="zh-CN"/>
              </w:rPr>
            </w:pPr>
            <w:r>
              <w:rPr>
                <w:rFonts w:ascii="宋体" w:eastAsia="宋体" w:hAnsi="宋体" w:cs="宋体" w:hint="eastAsia"/>
                <w:b w:val="0"/>
                <w:bCs w:val="0"/>
                <w:sz w:val="17"/>
                <w:szCs w:val="17"/>
                <w:lang w:val="en-US" w:eastAsia="zh-CN"/>
              </w:rPr>
              <w:t xml:space="preserve">0.00</w:t>
            </w:r>
          </w:p>
        </w:tc>
        <w:tc>
          <w:tcPr>
            <w:tcW w:w="1897" w:type="dxa"/>
            <w:gridSpan w:val="2"/>
            <w:vAlign w:val="center"/>
          </w:tcPr>
          <w:p>
            <w:pPr>
              <w:pStyle w:val="Other|1"/>
              <w:spacing w:line="240" w:lineRule="auto"/>
              <w:ind w:firstLine="0" w:firstLineChars="0"/>
              <w:jc w:val="right"/>
              <w:rPr>
                <w:rFonts w:ascii="宋体" w:eastAsia="宋体" w:hAnsi="宋体" w:cs="宋体" w:hint="eastAsia"/>
                <w:b w:val="0"/>
                <w:bCs w:val="0"/>
                <w:vertAlign w:val="baseline"/>
                <w:lang w:val="en-US" w:eastAsia="zh-CN"/>
              </w:rPr>
            </w:pPr>
            <w:r>
              <w:rPr>
                <w:rFonts w:ascii="宋体" w:eastAsia="宋体" w:hAnsi="宋体" w:cs="宋体" w:hint="eastAsia"/>
                <w:b w:val="0"/>
                <w:bCs w:val="0"/>
                <w:sz w:val="17"/>
                <w:szCs w:val="17"/>
                <w:lang w:val="en-US" w:eastAsia="zh-CN"/>
              </w:rPr>
              <w:t xml:space="preserve">0.00</w:t>
            </w:r>
          </w:p>
        </w:tc>
        <w:tc>
          <w:tcPr>
            <w:tcW w:w="1889" w:type="dxa"/>
            <w:vAlign w:val="center"/>
          </w:tcPr>
          <w:p>
            <w:pPr>
              <w:pStyle w:val="Other|1"/>
              <w:spacing w:line="240" w:lineRule="auto"/>
              <w:ind w:firstLine="0" w:firstLineChars="0"/>
              <w:jc w:val="right"/>
              <w:rPr>
                <w:rFonts w:ascii="宋体" w:eastAsia="宋体" w:hAnsi="宋体" w:cs="宋体" w:hint="eastAsia"/>
                <w:b w:val="0"/>
                <w:bCs w:val="0"/>
                <w:vertAlign w:val="baseline"/>
                <w:lang w:val="en-US" w:eastAsia="zh-CN"/>
              </w:rPr>
            </w:pPr>
            <w:r>
              <w:rPr>
                <w:rFonts w:ascii="宋体" w:eastAsia="宋体" w:hAnsi="宋体" w:cs="宋体" w:hint="eastAsia"/>
                <w:b w:val="0"/>
                <w:bCs w:val="0"/>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Height w:val="312"/>
        </w:trPr>
        <w:tc>
          <w:tcPr>
            <w:tcW w:w="15557" w:type="dxa"/>
            <w:gridSpan w:val="9"/>
            <w:tcBorders>
              <w:left w:val="nil"/>
              <w:bottom w:val="nil"/>
              <w:right w:val="nil"/>
            </w:tcBorders>
          </w:tcPr>
          <w:p>
            <w:pPr>
              <w:pStyle w:val="Tablecaption|1"/>
              <w:bidi w:val="0"/>
              <w:jc w:val="both"/>
              <w:rPr>
                <w:rFonts w:hint="eastAsia"/>
                <w:vertAlign w:val="baseline"/>
                <w:lang w:val="en-US" w:eastAsia="zh-CN"/>
              </w:rPr>
            </w:pPr>
            <w:r>
              <w:rPr>
                <w:rFonts w:ascii="宋体" w:eastAsia="宋体" w:hAnsi="宋体" w:cs="宋体" w:hint="eastAsia"/>
                <w:sz w:val="17"/>
                <w:szCs w:val="17"/>
              </w:rPr>
              <w:t xml:space="preserve">注：本报表金额单位转换时可能存在四舍五入尾数误差</w:t>
            </w:r>
          </w:p>
        </w:tc>
      </w:tr>
    </w:tbl>
    <w:p>
      <w:pPr>
        <w:pStyle w:val="Tablecaption|1"/>
        <w:bidi w:val="0"/>
        <w:rPr>
          <w:rFonts w:hint="eastAsia"/>
          <w:lang w:val="en-US" w:eastAsia="zh-CN"/>
        </w:rPr>
      </w:pPr>
    </w:p>
    <w:p>
      <w:pPr>
        <w:pStyle w:val="Heading#2|1"/>
        <w:keepNext/>
        <w:keepLines/>
        <w:spacing w:after="240"/>
        <w:jc w:val="center"/>
      </w:pPr>
    </w:p>
    <w:p>
      <w:pPr>
        <w:pStyle w:val="Heading#2|1"/>
        <w:keepNext/>
        <w:keepLines/>
        <w:spacing w:after="240"/>
        <w:jc w:val="center"/>
      </w:pPr>
    </w:p>
    <w:p>
      <w:pPr>
        <w:pStyle w:val="Heading#2|1"/>
        <w:keepNext/>
        <w:keepLines/>
        <w:spacing w:after="240"/>
        <w:jc w:val="center"/>
      </w:pPr>
    </w:p>
    <w:p>
      <w:pPr>
        <w:pStyle w:val="Heading#2|1"/>
        <w:keepNext/>
        <w:keepLines/>
        <w:spacing w:after="240"/>
        <w:jc w:val="center"/>
      </w:pPr>
    </w:p>
    <w:p>
      <w:pPr>
        <w:pStyle w:val="Heading#2|1"/>
        <w:keepNext/>
        <w:keepLines/>
        <w:spacing w:after="240"/>
        <w:jc w:val="center"/>
      </w:pPr>
    </w:p>
    <w:p>
      <w:pPr>
        <w:pStyle w:val="Tablecaption|1"/>
        <w:bidi w:val="0"/>
      </w:pPr>
    </w:p>
    <w:p>
      <w:pPr>
        <w:pStyle w:val="Heading#2|1"/>
        <w:keepNext/>
        <w:keepLines/>
        <w:spacing w:after="240"/>
        <w:jc w:val="center"/>
      </w:pPr>
      <w:r>
        <w:t xml:space="preserve">政府性基金预算支出情况表</w:t>
      </w:r>
      <w:bookmarkEnd w:id="29"/>
      <w:bookmarkEnd w:id="30"/>
      <w:bookmarkEnd w:id="31"/>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firstRow="0" w:lastRow="0" w:firstColumn="0" w:lastColumn="0" w:noHBand="1" w:noVBand="1"/>
      </w:tblPr>
      <w:tblGrid>
        <w:gridCol w:w="2527"/>
        <w:gridCol w:w="2161"/>
        <w:gridCol w:w="2162"/>
        <w:gridCol w:w="2222"/>
        <w:gridCol w:w="2161"/>
        <w:gridCol w:w="2161"/>
        <w:gridCol w:w="2163"/>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Height w:val="285"/>
        </w:trPr>
        <w:tc>
          <w:tcPr>
            <w:tcW w:w="13394" w:type="dxa"/>
            <w:gridSpan w:val="6"/>
            <w:tcBorders>
              <w:top w:val="nil"/>
              <w:left w:val="nil"/>
              <w:right w:val="nil"/>
            </w:tcBorders>
          </w:tcPr>
          <w:p>
            <w:pPr>
              <w:pStyle w:val="Tablecaption|1"/>
              <w:tabs>
                <w:tab w:val="left" w:pos="14213"/>
              </w:tabs>
              <w:ind w:left="101"/>
              <w:jc w:val="left"/>
            </w:pPr>
            <w:r>
              <w:t xml:space="preserve">单位名称：</w:t>
            </w:r>
            <w:r>
              <w:rPr>
                <w:rFonts w:hint="eastAsia"/>
                <w:lang w:eastAsia="zh-CN"/>
              </w:rPr>
              <w:t xml:space="preserve">环江毛南族自治县第四初级中学</w:t>
            </w:r>
            <w:r>
              <w:tab/>
            </w:r>
            <w:r>
              <w:t xml:space="preserve">单位：万元</w:t>
            </w:r>
          </w:p>
        </w:tc>
        <w:tc>
          <w:tcPr>
            <w:tcW w:w="2163" w:type="dxa"/>
            <w:tcBorders>
              <w:top w:val="nil"/>
              <w:left w:val="nil"/>
              <w:right w:val="nil"/>
            </w:tcBorders>
          </w:tcPr>
          <w:p>
            <w:pPr>
              <w:pStyle w:val="Tablecaption|1"/>
              <w:tabs>
                <w:tab w:val="left" w:pos="14213"/>
              </w:tabs>
              <w:ind w:left="101" w:firstLine="680" w:firstLineChars="400"/>
              <w:jc w:val="left"/>
            </w:pPr>
            <w:r>
              <w:rPr>
                <w:rFonts w:hint="eastAsia"/>
              </w:rPr>
              <w:t xml:space="preserve">单位：万元</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2527" w:type="dxa"/>
          </w:tcPr>
          <w:p>
            <w:pPr>
              <w:pStyle w:val="Tablecaption|1"/>
              <w:bidi w:val="0"/>
              <w:jc w:val="center"/>
              <w:rPr>
                <w:vertAlign w:val="baseline"/>
              </w:rPr>
            </w:pPr>
            <w:r>
              <w:rPr>
                <w:sz w:val="17"/>
                <w:szCs w:val="17"/>
              </w:rPr>
              <w:t xml:space="preserve">科目编码</w:t>
            </w:r>
          </w:p>
        </w:tc>
        <w:tc>
          <w:tcPr>
            <w:tcW w:w="2161" w:type="dxa"/>
          </w:tcPr>
          <w:p>
            <w:pPr>
              <w:pStyle w:val="Tablecaption|1"/>
              <w:bidi w:val="0"/>
              <w:jc w:val="center"/>
              <w:rPr>
                <w:vertAlign w:val="baseline"/>
              </w:rPr>
            </w:pPr>
            <w:r>
              <w:rPr>
                <w:sz w:val="17"/>
                <w:szCs w:val="17"/>
              </w:rPr>
              <w:t xml:space="preserve">部门（单位）代码</w:t>
            </w:r>
          </w:p>
        </w:tc>
        <w:tc>
          <w:tcPr>
            <w:tcW w:w="2162" w:type="dxa"/>
          </w:tcPr>
          <w:p>
            <w:pPr>
              <w:pStyle w:val="Tablecaption|1"/>
              <w:bidi w:val="0"/>
              <w:jc w:val="center"/>
              <w:rPr>
                <w:vertAlign w:val="baseline"/>
              </w:rPr>
            </w:pPr>
            <w:r>
              <w:rPr>
                <w:sz w:val="17"/>
                <w:szCs w:val="17"/>
              </w:rPr>
              <w:t xml:space="preserve">部门（单位）名称（功能分类科目名称）</w:t>
            </w:r>
          </w:p>
        </w:tc>
        <w:tc>
          <w:tcPr>
            <w:tcW w:w="2222" w:type="dxa"/>
            <w:vAlign w:val="center"/>
          </w:tcPr>
          <w:p>
            <w:pPr>
              <w:pStyle w:val="Other|1"/>
              <w:spacing w:line="240" w:lineRule="auto"/>
              <w:ind w:firstLine="0" w:firstLineChars="0"/>
              <w:jc w:val="center"/>
              <w:rPr>
                <w:vertAlign w:val="baseline"/>
              </w:rPr>
            </w:pPr>
            <w:r>
              <w:rPr>
                <w:sz w:val="17"/>
                <w:szCs w:val="17"/>
              </w:rPr>
              <w:t xml:space="preserve">合计</w:t>
            </w:r>
          </w:p>
        </w:tc>
        <w:tc>
          <w:tcPr>
            <w:tcW w:w="2161" w:type="dxa"/>
            <w:vAlign w:val="center"/>
          </w:tcPr>
          <w:p>
            <w:pPr>
              <w:pStyle w:val="Other|1"/>
              <w:spacing w:line="240" w:lineRule="auto"/>
              <w:ind w:firstLine="0" w:firstLineChars="0"/>
              <w:jc w:val="center"/>
              <w:rPr>
                <w:vertAlign w:val="baseline"/>
              </w:rPr>
            </w:pPr>
            <w:r>
              <w:rPr>
                <w:sz w:val="17"/>
                <w:szCs w:val="17"/>
              </w:rPr>
              <w:t xml:space="preserve">基本支出</w:t>
            </w:r>
          </w:p>
        </w:tc>
        <w:tc>
          <w:tcPr>
            <w:tcW w:w="2161" w:type="dxa"/>
            <w:vAlign w:val="center"/>
          </w:tcPr>
          <w:p>
            <w:pPr>
              <w:pStyle w:val="Other|1"/>
              <w:spacing w:line="240" w:lineRule="auto"/>
              <w:ind w:firstLine="0" w:firstLineChars="0"/>
              <w:jc w:val="center"/>
              <w:rPr>
                <w:vertAlign w:val="baseline"/>
              </w:rPr>
            </w:pPr>
            <w:r>
              <w:rPr>
                <w:sz w:val="17"/>
                <w:szCs w:val="17"/>
              </w:rPr>
              <w:t xml:space="preserve">项目支出</w:t>
            </w:r>
          </w:p>
        </w:tc>
        <w:tc>
          <w:tcPr>
            <w:tcW w:w="2163" w:type="dxa"/>
            <w:vAlign w:val="center"/>
          </w:tcPr>
          <w:p>
            <w:pPr>
              <w:pStyle w:val="Other|1"/>
              <w:spacing w:line="240" w:lineRule="auto"/>
              <w:ind w:firstLine="0" w:firstLineChars="0"/>
              <w:jc w:val="center"/>
              <w:rPr>
                <w:vertAlign w:val="baseline"/>
              </w:rPr>
            </w:pPr>
            <w:r>
              <w:rPr>
                <w:sz w:val="17"/>
                <w:szCs w:val="17"/>
              </w:rPr>
              <w:t xml:space="preserve">结转下年支出</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15557" w:type="dxa"/>
            <w:gridSpan w:val="7"/>
            <w:tcBorders>
              <w:left w:val="nil"/>
              <w:bottom w:val="nil"/>
              <w:right w:val="nil"/>
            </w:tcBorders>
          </w:tcPr>
          <w:p>
            <w:pPr>
              <w:pStyle w:val="Tablecaption|1"/>
              <w:bidi w:val="0"/>
              <w:jc w:val="both"/>
              <w:rPr>
                <w:vertAlign w:val="baseline"/>
              </w:rPr>
            </w:pPr>
            <w:r>
              <w:rPr>
                <w:b w:val="0"/>
                <w:bCs w:val="0"/>
              </w:rPr>
              <w:t xml:space="preserve">注：本报表金额单位转换时可能存在四舍五入尾数误差</w:t>
            </w:r>
          </w:p>
        </w:tc>
      </w:tr>
    </w:tbl>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jc w:val="center"/>
        <w:rPr>
          <w:sz w:val="28"/>
          <w:szCs w:val="28"/>
        </w:rPr>
      </w:pPr>
      <w:r>
        <w:rPr>
          <w:sz w:val="28"/>
          <w:szCs w:val="28"/>
        </w:rPr>
        <w:t xml:space="preserve">国有资本经营预算支出情况表</w:t>
      </w:r>
    </w:p>
    <w:p>
      <w:pPr>
        <w:pStyle w:val="Tablecaption|1"/>
        <w:bidi w:val="0"/>
        <w:jc w:val="center"/>
        <w:rPr>
          <w:sz w:val="28"/>
          <w:szCs w:val="28"/>
        </w:rPr>
      </w:pP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firstRow="0" w:lastRow="0" w:firstColumn="0" w:lastColumn="0" w:noHBand="1" w:noVBand="1"/>
      </w:tblPr>
      <w:tblGrid>
        <w:gridCol w:w="2527"/>
        <w:gridCol w:w="2161"/>
        <w:gridCol w:w="2162"/>
        <w:gridCol w:w="2222"/>
        <w:gridCol w:w="2161"/>
        <w:gridCol w:w="2161"/>
        <w:gridCol w:w="2163"/>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13394" w:type="dxa"/>
            <w:gridSpan w:val="6"/>
            <w:tcBorders>
              <w:top w:val="nil"/>
              <w:left w:val="nil"/>
              <w:right w:val="nil"/>
            </w:tcBorders>
          </w:tcPr>
          <w:p>
            <w:pPr>
              <w:pStyle w:val="Tablecaption|1"/>
              <w:tabs>
                <w:tab w:val="left" w:pos="14213"/>
              </w:tabs>
              <w:ind w:left="101"/>
              <w:jc w:val="left"/>
            </w:pPr>
            <w:r>
              <w:t xml:space="preserve">单位名称：</w:t>
            </w:r>
            <w:r>
              <w:rPr>
                <w:rFonts w:hint="eastAsia"/>
                <w:lang w:eastAsia="zh-CN"/>
              </w:rPr>
              <w:t xml:space="preserve">环江毛南族自治县第四初级中学</w:t>
            </w:r>
            <w:r>
              <w:tab/>
            </w:r>
            <w:r>
              <w:t xml:space="preserve">单位：万元</w:t>
            </w:r>
          </w:p>
        </w:tc>
        <w:tc>
          <w:tcPr>
            <w:tcW w:w="2163" w:type="dxa"/>
            <w:tcBorders>
              <w:top w:val="nil"/>
              <w:left w:val="nil"/>
              <w:right w:val="nil"/>
            </w:tcBorders>
          </w:tcPr>
          <w:p>
            <w:pPr>
              <w:pStyle w:val="Tablecaption|1"/>
              <w:tabs>
                <w:tab w:val="left" w:pos="14213"/>
              </w:tabs>
              <w:ind w:left="101"/>
              <w:jc w:val="left"/>
            </w:pPr>
            <w:r>
              <w:rPr>
                <w:rFonts w:ascii="宋体" w:eastAsia="宋体" w:hAnsi="宋体" w:cs="宋体" w:hint="eastAsia"/>
                <w:sz w:val="17"/>
                <w:szCs w:val="17"/>
              </w:rPr>
              <w:t xml:space="preserve">单位：万元</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2527" w:type="dxa"/>
            <w:vMerge w:val="restart"/>
          </w:tcPr>
          <w:p>
            <w:pPr>
              <w:pStyle w:val="Tablecaption|1"/>
              <w:bidi w:val="0"/>
              <w:jc w:val="center"/>
              <w:rPr>
                <w:vertAlign w:val="baseline"/>
              </w:rPr>
            </w:pPr>
            <w:r>
              <w:rPr>
                <w:sz w:val="17"/>
                <w:szCs w:val="17"/>
              </w:rPr>
              <w:t xml:space="preserve">科目编码</w:t>
            </w:r>
          </w:p>
        </w:tc>
        <w:tc>
          <w:tcPr>
            <w:tcW w:w="2161" w:type="dxa"/>
            <w:vMerge w:val="restart"/>
          </w:tcPr>
          <w:p>
            <w:pPr>
              <w:pStyle w:val="Tablecaption|1"/>
              <w:bidi w:val="0"/>
              <w:jc w:val="center"/>
              <w:rPr>
                <w:vertAlign w:val="baseline"/>
              </w:rPr>
            </w:pPr>
            <w:r>
              <w:rPr>
                <w:sz w:val="17"/>
                <w:szCs w:val="17"/>
              </w:rPr>
              <w:t xml:space="preserve">部门（单位）代码</w:t>
            </w:r>
          </w:p>
        </w:tc>
        <w:tc>
          <w:tcPr>
            <w:tcW w:w="2162" w:type="dxa"/>
            <w:vMerge w:val="restart"/>
          </w:tcPr>
          <w:p>
            <w:pPr>
              <w:pStyle w:val="Tablecaption|1"/>
              <w:bidi w:val="0"/>
              <w:jc w:val="center"/>
              <w:rPr>
                <w:vertAlign w:val="baseline"/>
              </w:rPr>
            </w:pPr>
            <w:r>
              <w:rPr>
                <w:sz w:val="17"/>
                <w:szCs w:val="17"/>
              </w:rPr>
              <w:t xml:space="preserve">部门（单位）名称（功能分类科目名称）</w:t>
            </w:r>
          </w:p>
        </w:tc>
        <w:tc>
          <w:tcPr>
            <w:tcW w:w="2222" w:type="dxa"/>
            <w:vAlign w:val="center"/>
          </w:tcPr>
          <w:p>
            <w:pPr>
              <w:pStyle w:val="Other|1"/>
              <w:spacing w:line="240" w:lineRule="auto"/>
              <w:ind w:firstLine="0" w:firstLineChars="0"/>
              <w:jc w:val="center"/>
              <w:rPr>
                <w:vertAlign w:val="baseline"/>
              </w:rPr>
            </w:pPr>
            <w:r>
              <w:rPr>
                <w:sz w:val="17"/>
                <w:szCs w:val="17"/>
              </w:rPr>
              <w:t xml:space="preserve">合计</w:t>
            </w:r>
          </w:p>
        </w:tc>
        <w:tc>
          <w:tcPr>
            <w:tcW w:w="2161" w:type="dxa"/>
            <w:vAlign w:val="center"/>
          </w:tcPr>
          <w:p>
            <w:pPr>
              <w:pStyle w:val="Other|1"/>
              <w:spacing w:line="240" w:lineRule="auto"/>
              <w:ind w:firstLine="0" w:firstLineChars="0"/>
              <w:jc w:val="center"/>
              <w:rPr>
                <w:vertAlign w:val="baseline"/>
              </w:rPr>
            </w:pPr>
            <w:r>
              <w:rPr>
                <w:sz w:val="17"/>
                <w:szCs w:val="17"/>
              </w:rPr>
              <w:t xml:space="preserve">基本支出</w:t>
            </w:r>
          </w:p>
        </w:tc>
        <w:tc>
          <w:tcPr>
            <w:tcW w:w="2161" w:type="dxa"/>
            <w:vAlign w:val="center"/>
          </w:tcPr>
          <w:p>
            <w:pPr>
              <w:pStyle w:val="Other|1"/>
              <w:spacing w:line="240" w:lineRule="auto"/>
              <w:ind w:firstLine="0" w:firstLineChars="0"/>
              <w:jc w:val="center"/>
              <w:rPr>
                <w:vertAlign w:val="baseline"/>
              </w:rPr>
            </w:pPr>
            <w:r>
              <w:rPr>
                <w:sz w:val="17"/>
                <w:szCs w:val="17"/>
              </w:rPr>
              <w:t xml:space="preserve">项目支出</w:t>
            </w:r>
          </w:p>
        </w:tc>
        <w:tc>
          <w:tcPr>
            <w:tcW w:w="2163" w:type="dxa"/>
            <w:vAlign w:val="center"/>
          </w:tcPr>
          <w:p>
            <w:pPr>
              <w:pStyle w:val="Other|1"/>
              <w:spacing w:line="240" w:lineRule="auto"/>
              <w:ind w:firstLine="0" w:firstLineChars="0"/>
              <w:jc w:val="center"/>
              <w:rPr>
                <w:vertAlign w:val="baseline"/>
              </w:rPr>
            </w:pPr>
            <w:r>
              <w:rPr>
                <w:sz w:val="17"/>
                <w:szCs w:val="17"/>
              </w:rPr>
              <w:t xml:space="preserve">结转下年支出</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2527" w:type="dxa"/>
            <w:vMerge/>
          </w:tcPr>
          <w:p>
            <w:pPr>
              <w:pStyle w:val="Tablecaption|1"/>
              <w:bidi w:val="0"/>
              <w:jc w:val="both"/>
              <w:rPr>
                <w:vertAlign w:val="baseline"/>
              </w:rPr>
            </w:pPr>
          </w:p>
        </w:tc>
        <w:tc>
          <w:tcPr>
            <w:tcW w:w="2161" w:type="dxa"/>
            <w:vMerge/>
          </w:tcPr>
          <w:p>
            <w:pPr>
              <w:pStyle w:val="Tablecaption|1"/>
              <w:bidi w:val="0"/>
              <w:jc w:val="both"/>
              <w:rPr>
                <w:vertAlign w:val="baseline"/>
              </w:rPr>
            </w:pPr>
          </w:p>
        </w:tc>
        <w:tc>
          <w:tcPr>
            <w:tcW w:w="2162" w:type="dxa"/>
            <w:vMerge/>
          </w:tcPr>
          <w:p>
            <w:pPr>
              <w:pStyle w:val="Tablecaption|1"/>
              <w:bidi w:val="0"/>
              <w:jc w:val="both"/>
              <w:rPr>
                <w:vertAlign w:val="baseline"/>
              </w:rPr>
            </w:pPr>
          </w:p>
        </w:tc>
        <w:tc>
          <w:tcPr>
            <w:tcW w:w="2222" w:type="dxa"/>
            <w:vAlign w:val="center"/>
          </w:tcPr>
          <w:p>
            <w:pPr>
              <w:pStyle w:val="Other|1"/>
              <w:spacing w:line="240" w:lineRule="auto"/>
              <w:ind w:firstLine="0" w:firstLineChars="0"/>
              <w:jc w:val="center"/>
              <w:rPr>
                <w:vertAlign w:val="baseline"/>
              </w:rPr>
            </w:pPr>
            <w:r>
              <w:rPr>
                <w:rFonts w:ascii="Times New Roman" w:eastAsia="Times New Roman" w:hAnsi="Times New Roman" w:cs="Times New Roman"/>
                <w:b/>
                <w:bCs/>
                <w:sz w:val="17"/>
                <w:szCs w:val="17"/>
              </w:rPr>
              <w:t xml:space="preserve">1</w:t>
            </w:r>
          </w:p>
        </w:tc>
        <w:tc>
          <w:tcPr>
            <w:tcW w:w="2161" w:type="dxa"/>
            <w:vAlign w:val="center"/>
          </w:tcPr>
          <w:p>
            <w:pPr>
              <w:pStyle w:val="Other|1"/>
              <w:spacing w:line="240" w:lineRule="auto"/>
              <w:ind w:firstLine="0" w:firstLineChars="0"/>
              <w:jc w:val="center"/>
              <w:rPr>
                <w:vertAlign w:val="baseline"/>
              </w:rPr>
            </w:pPr>
            <w:r>
              <w:rPr>
                <w:rFonts w:ascii="Times New Roman" w:eastAsia="Times New Roman" w:hAnsi="Times New Roman" w:cs="Times New Roman"/>
                <w:b/>
                <w:bCs/>
                <w:sz w:val="17"/>
                <w:szCs w:val="17"/>
              </w:rPr>
              <w:t xml:space="preserve">2</w:t>
            </w:r>
          </w:p>
        </w:tc>
        <w:tc>
          <w:tcPr>
            <w:tcW w:w="2161" w:type="dxa"/>
            <w:vAlign w:val="center"/>
          </w:tcPr>
          <w:p>
            <w:pPr>
              <w:pStyle w:val="Other|1"/>
              <w:spacing w:line="240" w:lineRule="auto"/>
              <w:ind w:firstLine="0" w:firstLineChars="0"/>
              <w:jc w:val="center"/>
              <w:rPr>
                <w:vertAlign w:val="baseline"/>
              </w:rPr>
            </w:pPr>
            <w:r>
              <w:rPr>
                <w:rFonts w:ascii="Times New Roman" w:eastAsia="Times New Roman" w:hAnsi="Times New Roman" w:cs="Times New Roman"/>
                <w:b/>
                <w:bCs/>
                <w:sz w:val="17"/>
                <w:szCs w:val="17"/>
              </w:rPr>
              <w:t xml:space="preserve">3</w:t>
            </w:r>
          </w:p>
        </w:tc>
        <w:tc>
          <w:tcPr>
            <w:tcW w:w="2163" w:type="dxa"/>
            <w:vAlign w:val="center"/>
          </w:tcPr>
          <w:p>
            <w:pPr>
              <w:pStyle w:val="Other|1"/>
              <w:spacing w:line="240" w:lineRule="auto"/>
              <w:ind w:firstLine="0" w:firstLineChars="0"/>
              <w:jc w:val="center"/>
              <w:rPr>
                <w:vertAlign w:val="baseline"/>
              </w:rPr>
            </w:pPr>
            <w:r>
              <w:rPr>
                <w:rFonts w:ascii="Times New Roman" w:eastAsia="Times New Roman" w:hAnsi="Times New Roman" w:cs="Times New Roman"/>
                <w:b/>
                <w:bCs/>
                <w:sz w:val="17"/>
                <w:szCs w:val="17"/>
              </w:rPr>
              <w:t xml:space="preserve">4</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2527" w:type="dxa"/>
          </w:tcPr>
          <w:p>
            <w:pPr>
              <w:jc w:val="left"/>
              <w:rPr>
                <w:vertAlign w:val="baseline"/>
              </w:rPr>
            </w:pPr>
          </w:p>
        </w:tc>
        <w:tc>
          <w:tcPr>
            <w:tcW w:w="2161" w:type="dxa"/>
          </w:tcPr>
          <w:p>
            <w:pPr>
              <w:jc w:val="left"/>
              <w:rPr>
                <w:vertAlign w:val="baseline"/>
              </w:rPr>
            </w:pPr>
          </w:p>
        </w:tc>
        <w:tc>
          <w:tcPr>
            <w:tcW w:w="2162" w:type="dxa"/>
            <w:vAlign w:val="center"/>
          </w:tcPr>
          <w:p>
            <w:pPr>
              <w:pStyle w:val="Other|1"/>
              <w:spacing w:line="240" w:lineRule="auto"/>
              <w:ind w:firstLine="0" w:firstLineChars="0"/>
              <w:jc w:val="left"/>
              <w:rPr>
                <w:vertAlign w:val="baseline"/>
              </w:rPr>
            </w:pPr>
            <w:r>
              <w:rPr>
                <w:sz w:val="17"/>
                <w:szCs w:val="17"/>
              </w:rPr>
              <w:t xml:space="preserve">合计</w:t>
            </w:r>
          </w:p>
        </w:tc>
        <w:tc>
          <w:tcPr>
            <w:tcW w:w="2222" w:type="dxa"/>
            <w:vAlign w:val="center"/>
          </w:tcPr>
          <w:p>
            <w:pPr>
              <w:pStyle w:val="Other|1"/>
              <w:spacing w:line="240" w:lineRule="auto"/>
              <w:ind w:left="1700" w:firstLine="0" w:leftChars="0" w:firstLineChars="0"/>
              <w:jc w:val="right"/>
              <w:rPr>
                <w:vertAlign w:val="baseline"/>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2161" w:type="dxa"/>
            <w:vAlign w:val="center"/>
          </w:tcPr>
          <w:p>
            <w:pPr>
              <w:pStyle w:val="Other|1"/>
              <w:spacing w:line="240" w:lineRule="auto"/>
              <w:ind w:firstLine="0" w:firstLineChars="0"/>
              <w:jc w:val="right"/>
              <w:rPr>
                <w:vertAlign w:val="baseline"/>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2161" w:type="dxa"/>
            <w:vAlign w:val="center"/>
          </w:tcPr>
          <w:p>
            <w:pPr>
              <w:pStyle w:val="Other|1"/>
              <w:spacing w:line="240" w:lineRule="auto"/>
              <w:ind w:firstLine="0" w:firstLineChars="0"/>
              <w:jc w:val="right"/>
              <w:rPr>
                <w:vertAlign w:val="baseline"/>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2163" w:type="dxa"/>
            <w:vAlign w:val="center"/>
          </w:tcPr>
          <w:p>
            <w:pPr>
              <w:pStyle w:val="Other|1"/>
              <w:spacing w:line="240" w:lineRule="auto"/>
              <w:ind w:firstLine="0" w:firstLineChars="0"/>
              <w:jc w:val="right"/>
              <w:rPr>
                <w:vertAlign w:val="baseline"/>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15557" w:type="dxa"/>
            <w:gridSpan w:val="7"/>
            <w:tcBorders>
              <w:left w:val="nil"/>
              <w:bottom w:val="nil"/>
              <w:right w:val="nil"/>
            </w:tcBorders>
          </w:tcPr>
          <w:p>
            <w:pPr>
              <w:pStyle w:val="Tablecaption|1"/>
              <w:spacing w:line="302" w:lineRule="exact"/>
              <w:ind w:left="672"/>
              <w:jc w:val="left"/>
              <w:rPr>
                <w:rFonts w:ascii="宋体" w:eastAsia="宋体" w:hAnsi="宋体" w:cs="宋体" w:hint="eastAsia"/>
                <w:b w:val="0"/>
                <w:bCs w:val="0"/>
              </w:rPr>
            </w:pPr>
            <w:r>
              <w:rPr>
                <w:rFonts w:ascii="宋体" w:eastAsia="宋体" w:hAnsi="宋体" w:cs="宋体" w:hint="eastAsia"/>
                <w:b w:val="0"/>
                <w:bCs w:val="0"/>
              </w:rPr>
              <w:t xml:space="preserve">注：本报表金额单位转换时可能存在四舍五入尾数误差。本部门</w:t>
            </w:r>
            <w:r>
              <w:rPr>
                <w:rFonts w:ascii="宋体" w:eastAsia="宋体" w:hAnsi="宋体" w:cs="宋体" w:hint="eastAsia"/>
                <w:b w:val="0"/>
                <w:bCs w:val="0"/>
                <w:lang w:eastAsia="zh-CN"/>
              </w:rPr>
              <w:t xml:space="preserve">2024</w:t>
            </w:r>
            <w:r>
              <w:rPr>
                <w:rFonts w:ascii="宋体" w:eastAsia="宋体" w:hAnsi="宋体" w:cs="宋体"/>
                <w:u w:color="auto"/>
              </w:rPr>
              <w:t xml:space="preserve">年</w:t>
            </w:r>
            <w:r>
              <w:rPr>
                <w:rFonts w:ascii="宋体" w:eastAsia="宋体" w:hAnsi="宋体" w:cs="宋体" w:hint="eastAsia"/>
                <w:b w:val="0"/>
                <w:bCs w:val="0"/>
              </w:rPr>
              <w:t xml:space="preserve">度没有国有资本经营预算支出，故本表无数据</w:t>
            </w:r>
          </w:p>
          <w:p>
            <w:pPr>
              <w:pStyle w:val="Tablecaption|1"/>
              <w:bidi w:val="0"/>
              <w:jc w:val="both"/>
              <w:rPr>
                <w:vertAlign w:val="baseline"/>
              </w:rPr>
            </w:pPr>
          </w:p>
        </w:tc>
      </w:tr>
    </w:tbl>
    <w:p>
      <w:pPr>
        <w:pStyle w:val="Tablecaption|1"/>
        <w:bidi w:val="0"/>
      </w:pPr>
    </w:p>
    <w:p>
      <w:pPr/>
      <w:r>
        <w:br w:type="page"/>
      </w:r>
    </w:p>
    <w:p>
      <w:pPr>
        <w:pStyle w:val="Heading#2|1"/>
        <w:keepNext/>
        <w:keepLines/>
        <w:spacing w:after="240"/>
        <w:jc w:val="center"/>
        <w:rPr>
          <w:rFonts w:eastAsia="宋体" w:hint="default"/>
          <w:lang w:val="en-US" w:eastAsia="zh-CN"/>
        </w:rPr>
      </w:pPr>
      <w:r>
        <w:rPr>
          <w:rFonts w:hint="eastAsia"/>
          <w:lang w:val="en-US" w:eastAsia="zh-CN"/>
        </w:rPr>
        <w:t xml:space="preserve">2024年度预算项目绩效目标公开表</w:t>
      </w:r>
    </w:p>
    <w:tbl>
      <w:tblPr>
        <w:tblStyle w:val="NormalTable"/>
        <w:tblW w:w="0" w:type="auto"/>
        <w:tblInd w:w="0" w:type="dxa"/>
        <w:tblLayout w:type="fixed"/>
        <w:tblCellMar>
          <w:top w:w="0" w:type="dxa"/>
          <w:left w:w="10" w:type="dxa"/>
          <w:bottom w:w="0" w:type="dxa"/>
          <w:right w:w="10" w:type="dxa"/>
        </w:tblCellMar>
        <w:tblLook w:firstRow="0" w:lastRow="0" w:firstColumn="0" w:lastColumn="0" w:noHBand="1" w:noVBand="1"/>
      </w:tblPr>
      <w:tblGrid>
        <w:gridCol w:w="1843"/>
        <w:gridCol w:w="2559"/>
        <w:gridCol w:w="3350"/>
        <w:gridCol w:w="1511"/>
        <w:gridCol w:w="6076"/>
      </w:tblGrid>
      <w:tr>
        <w:tblPrEx>
          <w:tblW w:w="0" w:type="auto"/>
          <w:tblInd w:w="0" w:type="dxa"/>
          <w:tblLayout w:type="fixed"/>
          <w:tblCellMar>
            <w:top w:w="0" w:type="dxa"/>
            <w:left w:w="10" w:type="dxa"/>
            <w:bottom w:w="0" w:type="dxa"/>
            <w:right w:w="10" w:type="dxa"/>
          </w:tblCellMar>
        </w:tblPrEx>
        <w:trPr>
          <w:cantSplit/>
          <w:trHeight w:hRule="exact" w:val="346"/>
        </w:trPr>
        <w:tc>
          <w:tcPr>
            <w:tcW w:w="9263" w:type="dxa"/>
            <w:gridSpan w:val="4"/>
            <w:shd w:val="clear" w:color="auto" w:fill="FFFFFF"/>
          </w:tcPr>
          <w:p>
            <w:pPr>
              <w:pStyle w:val="Other|1"/>
              <w:spacing w:line="240" w:lineRule="auto"/>
              <w:ind w:firstLine="0"/>
              <w:jc w:val="left"/>
              <w:rPr>
                <w:rFonts w:ascii="宋体" w:eastAsia="宋体" w:hAnsi="宋体" w:cs="宋体" w:hint="default"/>
                <w:sz w:val="17"/>
                <w:szCs w:val="17"/>
                <w:lang w:val="en-US"/>
              </w:rPr>
            </w:pPr>
            <w:r>
              <w:rPr>
                <w:rFonts w:ascii="宋体" w:eastAsia="宋体" w:hAnsi="宋体" w:cs="宋体" w:hint="eastAsia"/>
                <w:sz w:val="17"/>
                <w:szCs w:val="17"/>
              </w:rPr>
              <w:t xml:space="preserve">单位名称：</w:t>
            </w:r>
            <w:r>
              <w:rPr>
                <w:rFonts w:ascii="宋体" w:eastAsia="宋体" w:hAnsi="宋体" w:cs="宋体" w:hint="eastAsia"/>
                <w:sz w:val="17"/>
                <w:szCs w:val="17"/>
                <w:lang w:eastAsia="zh-CN"/>
              </w:rPr>
              <w:t xml:space="preserve">环江毛南族自治县第四初级中学</w:t>
            </w:r>
          </w:p>
        </w:tc>
        <w:tc>
          <w:tcPr>
            <w:tcW w:w="6076" w:type="dxa"/>
            <w:shd w:val="clear" w:color="auto" w:fill="FFFFFF"/>
          </w:tcPr>
          <w:p>
            <w:pPr>
              <w:pStyle w:val="Other|1"/>
              <w:spacing w:line="240" w:lineRule="auto"/>
              <w:ind w:firstLine="4760" w:firstLineChars="2800"/>
              <w:jc w:val="left"/>
              <w:rPr>
                <w:rFonts w:ascii="宋体" w:eastAsia="宋体" w:hAnsi="宋体" w:cs="宋体" w:hint="eastAsia"/>
                <w:sz w:val="17"/>
                <w:szCs w:val="17"/>
              </w:rPr>
            </w:pPr>
            <w:r>
              <w:rPr>
                <w:rFonts w:ascii="宋体" w:eastAsia="宋体" w:hAnsi="宋体" w:cs="宋体" w:hint="eastAsia"/>
                <w:sz w:val="17"/>
                <w:szCs w:val="17"/>
              </w:rPr>
              <w:t xml:space="preserve">单位：万元</w:t>
            </w:r>
          </w:p>
        </w:tc>
      </w:tr>
      <w:tr>
        <w:tblPrEx>
          <w:tblW w:w="0" w:type="auto"/>
          <w:tblInd w:w="0" w:type="dxa"/>
          <w:tblLayout w:type="fixed"/>
          <w:tblCellMar>
            <w:top w:w="0" w:type="dxa"/>
            <w:left w:w="10" w:type="dxa"/>
            <w:bottom w:w="0" w:type="dxa"/>
            <w:right w:w="10" w:type="dxa"/>
          </w:tblCellMar>
        </w:tblPrEx>
        <w:trPr>
          <w:cantSplit/>
          <w:trHeight w:hRule="exact" w:val="854"/>
        </w:trPr>
        <w:tc>
          <w:tcPr>
            <w:tcW w:w="1843"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center"/>
              <w:rPr>
                <w:rFonts w:ascii="宋体" w:eastAsia="宋体" w:hAnsi="宋体" w:cs="宋体" w:hint="eastAsia"/>
                <w:sz w:val="17"/>
                <w:szCs w:val="17"/>
                <w:lang w:val="en-US" w:eastAsia="zh-CN"/>
              </w:rPr>
            </w:pPr>
            <w:r>
              <w:rPr>
                <w:rFonts w:ascii="宋体" w:eastAsia="宋体" w:hAnsi="宋体" w:cs="宋体"/>
                <w:sz w:val="17"/>
                <w:u w:color="auto"/>
              </w:rPr>
              <w:t xml:space="preserve">单位代码</w:t>
            </w:r>
          </w:p>
        </w:tc>
        <w:tc>
          <w:tcPr>
            <w:tcW w:w="2559"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40"/>
              <w:jc w:val="center"/>
              <w:rPr>
                <w:rFonts w:ascii="宋体" w:eastAsia="宋体" w:hAnsi="宋体" w:cs="宋体" w:hint="eastAsia"/>
                <w:sz w:val="17"/>
                <w:szCs w:val="17"/>
                <w:lang w:val="en-US" w:eastAsia="zh-CN"/>
              </w:rPr>
            </w:pPr>
            <w:r>
              <w:rPr>
                <w:rFonts w:ascii="宋体" w:eastAsia="宋体" w:hAnsi="宋体" w:cs="宋体" w:hint="eastAsia"/>
                <w:sz w:val="17"/>
                <w:szCs w:val="17"/>
                <w:lang w:val="en-US" w:eastAsia="zh-CN"/>
              </w:rPr>
              <w:t xml:space="preserve">单位名称</w:t>
            </w:r>
          </w:p>
        </w:tc>
        <w:tc>
          <w:tcPr>
            <w:tcW w:w="335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center"/>
              <w:rPr>
                <w:rFonts w:ascii="宋体" w:eastAsia="宋体" w:hAnsi="宋体" w:cs="宋体" w:hint="eastAsia"/>
                <w:sz w:val="17"/>
                <w:szCs w:val="17"/>
                <w:lang w:val="en-US" w:eastAsia="zh-CN"/>
              </w:rPr>
            </w:pPr>
            <w:r>
              <w:rPr>
                <w:rFonts w:ascii="宋体" w:eastAsia="宋体" w:hAnsi="宋体" w:cs="宋体" w:hint="eastAsia"/>
                <w:sz w:val="17"/>
                <w:szCs w:val="17"/>
                <w:lang w:val="en-US" w:eastAsia="zh-CN"/>
              </w:rPr>
              <w:t xml:space="preserve">项目名称</w:t>
            </w:r>
          </w:p>
        </w:tc>
        <w:tc>
          <w:tcPr>
            <w:tcW w:w="1511"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center"/>
              <w:rPr>
                <w:rFonts w:ascii="宋体" w:eastAsia="宋体" w:hAnsi="宋体" w:cs="宋体" w:hint="eastAsia"/>
                <w:sz w:val="17"/>
                <w:szCs w:val="17"/>
                <w:lang w:val="en-US" w:eastAsia="zh-CN"/>
              </w:rPr>
            </w:pPr>
            <w:r>
              <w:rPr>
                <w:rFonts w:ascii="宋体" w:eastAsia="宋体" w:hAnsi="宋体" w:cs="宋体" w:hint="eastAsia"/>
                <w:sz w:val="17"/>
                <w:szCs w:val="17"/>
                <w:lang w:val="en-US" w:eastAsia="zh-CN"/>
              </w:rPr>
              <w:t xml:space="preserve">预算金额</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center"/>
              <w:rPr>
                <w:rFonts w:ascii="宋体" w:eastAsia="宋体" w:hAnsi="宋体" w:cs="宋体" w:hint="eastAsia"/>
                <w:sz w:val="17"/>
                <w:szCs w:val="17"/>
                <w:lang w:val="en-US" w:eastAsia="zh-CN"/>
              </w:rPr>
            </w:pPr>
            <w:r>
              <w:rPr>
                <w:rFonts w:ascii="宋体" w:eastAsia="宋体" w:hAnsi="宋体" w:cs="宋体" w:hint="eastAsia"/>
                <w:sz w:val="17"/>
                <w:szCs w:val="17"/>
                <w:lang w:val="en-US" w:eastAsia="zh-CN"/>
              </w:rPr>
              <w:t xml:space="preserve">年度绩效目标</w:t>
            </w:r>
          </w:p>
        </w:tc>
      </w:tr>
      <w:tr>
        <w:tblPrEx>
          <w:tblW w:w="0" w:type="auto"/>
          <w:tblInd w:w="0" w:type="dxa"/>
          <w:tblLayout w:type="fixed"/>
          <w:tblCellMar>
            <w:top w:w="0" w:type="dxa"/>
            <w:left w:w="10" w:type="dxa"/>
            <w:bottom w:w="0" w:type="dxa"/>
            <w:right w:w="10" w:type="dxa"/>
          </w:tblCellMar>
        </w:tblPrEx>
        <w:trPr>
          <w:cantSplit/>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201039</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环江毛南族自治县第四初级中学</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义务教育中央级公用经费</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26.58</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保障学校正常运转，持续改善学校基本办学条件，促进教育健康发展。</w:t>
            </w:r>
          </w:p>
        </w:tc>
      </w:tr>
      <w:tr>
        <w:tblPrEx>
          <w:tblW w:w="0" w:type="auto"/>
          <w:tblInd w:w="0" w:type="dxa"/>
          <w:tblLayout w:type="fixed"/>
          <w:tblCellMar>
            <w:top w:w="0" w:type="dxa"/>
            <w:left w:w="10" w:type="dxa"/>
            <w:bottom w:w="0" w:type="dxa"/>
            <w:right w:w="10" w:type="dxa"/>
          </w:tblCellMar>
        </w:tblPrEx>
        <w:trPr>
          <w:cantSplit/>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201039</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环江毛南族自治县第四初级中学</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营养改善计划膳食补助资金</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17.96</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解决困难家庭及学生的经济负担，保障学校教育教学正常运转，增强学生体质，保障学生健康成长，促进教育均衡发展。</w:t>
            </w:r>
          </w:p>
        </w:tc>
      </w:tr>
      <w:tr>
        <w:tblPrEx>
          <w:tblW w:w="0" w:type="auto"/>
          <w:tblInd w:w="0" w:type="dxa"/>
          <w:tblLayout w:type="fixed"/>
          <w:tblCellMar>
            <w:top w:w="0" w:type="dxa"/>
            <w:left w:w="10" w:type="dxa"/>
            <w:bottom w:w="0" w:type="dxa"/>
            <w:right w:w="10" w:type="dxa"/>
          </w:tblCellMar>
        </w:tblPrEx>
        <w:trPr>
          <w:cantSplit/>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201039</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环江毛南族自治县第四初级中学</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义务教育阶段家庭经济困难学生生活自治区补助资金</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0.53</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项目立项依据：根据环教通〔2022〕23号《关于下达2022年春季学期义务教育阶段家庭困难困难学生生活费补助资金的通知》、《环教通〔2022〕88号：关于下达2022年秋季学期义务教育阶段家庭困难困难学生生活费补助资金的通知》等文件精神；</w:t>
            </w:r>
            <w:r>
              <w:rPr>
                <w:rFonts w:ascii="宋体" w:eastAsia="宋体" w:hAnsi="宋体" w:cs="宋体" w:hint="eastAsia"/>
                <w:b w:val="0"/>
                <w:bCs w:val="0"/>
                <w:sz w:val="17"/>
                <w:szCs w:val="17"/>
                <w:lang w:val="en-US" w:eastAsia="zh-CN"/>
              </w:rPr>
              <w:br/>
            </w:r>
            <w:r>
              <w:rPr>
                <w:rFonts w:ascii="宋体" w:eastAsia="宋体" w:hAnsi="宋体" w:cs="宋体" w:hint="eastAsia"/>
                <w:b w:val="0"/>
                <w:bCs w:val="0"/>
                <w:sz w:val="17"/>
                <w:szCs w:val="17"/>
                <w:lang w:val="en-US" w:eastAsia="zh-CN"/>
              </w:rPr>
              <w:t xml:space="preserve">可行性和必要性：解决困难家庭及学生的经济负担，促进教育均衡发展。</w:t>
            </w:r>
            <w:r>
              <w:rPr>
                <w:rFonts w:ascii="宋体" w:eastAsia="宋体" w:hAnsi="宋体" w:cs="宋体" w:hint="eastAsia"/>
                <w:b w:val="0"/>
                <w:bCs w:val="0"/>
                <w:sz w:val="17"/>
                <w:szCs w:val="17"/>
                <w:lang w:val="en-US" w:eastAsia="zh-CN"/>
              </w:rPr>
              <w:br/>
            </w:r>
            <w:r>
              <w:rPr>
                <w:rFonts w:ascii="宋体" w:eastAsia="宋体" w:hAnsi="宋体" w:cs="宋体" w:hint="eastAsia"/>
                <w:b w:val="0"/>
                <w:bCs w:val="0"/>
                <w:sz w:val="17"/>
                <w:szCs w:val="17"/>
                <w:lang w:val="en-US" w:eastAsia="zh-CN"/>
              </w:rPr>
              <w:t xml:space="preserve">支持范围：环江县第四初级中学家庭困难困难学生</w:t>
            </w:r>
            <w:r>
              <w:rPr>
                <w:rFonts w:ascii="宋体" w:eastAsia="宋体" w:hAnsi="宋体" w:cs="宋体" w:hint="eastAsia"/>
                <w:b w:val="0"/>
                <w:bCs w:val="0"/>
                <w:sz w:val="17"/>
                <w:szCs w:val="17"/>
                <w:lang w:val="en-US" w:eastAsia="zh-CN"/>
              </w:rPr>
              <w:br/>
            </w:r>
            <w:r>
              <w:rPr>
                <w:rFonts w:ascii="宋体" w:eastAsia="宋体" w:hAnsi="宋体" w:cs="宋体" w:hint="eastAsia"/>
                <w:b w:val="0"/>
                <w:bCs w:val="0"/>
                <w:sz w:val="17"/>
                <w:szCs w:val="17"/>
                <w:lang w:val="en-US" w:eastAsia="zh-CN"/>
              </w:rPr>
              <w:t xml:space="preserve">实施内容：通过发放义务教育阶段家庭困难困难学生生活费补助资金补贴，解决家庭经济困难生活问题，提高学生的生活质量。</w:t>
            </w:r>
          </w:p>
        </w:tc>
      </w:tr>
      <w:tr>
        <w:tblPrEx>
          <w:tblW w:w="0" w:type="auto"/>
          <w:tblInd w:w="0" w:type="dxa"/>
          <w:tblLayout w:type="fixed"/>
          <w:tblCellMar>
            <w:top w:w="0" w:type="dxa"/>
            <w:left w:w="10" w:type="dxa"/>
            <w:bottom w:w="0" w:type="dxa"/>
            <w:right w:w="10" w:type="dxa"/>
          </w:tblCellMar>
        </w:tblPrEx>
        <w:trPr>
          <w:cantSplit/>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201039</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环江毛南族自治县第四初级中学</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自治区公用经费</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7.17</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保障学校正常运转，持续改善学校基本办学条件，促进教育健康发展</w:t>
            </w:r>
          </w:p>
        </w:tc>
      </w:tr>
      <w:tr>
        <w:tblPrEx>
          <w:tblW w:w="0" w:type="auto"/>
          <w:tblInd w:w="0" w:type="dxa"/>
          <w:tblLayout w:type="fixed"/>
          <w:tblCellMar>
            <w:top w:w="0" w:type="dxa"/>
            <w:left w:w="10" w:type="dxa"/>
            <w:bottom w:w="0" w:type="dxa"/>
            <w:right w:w="10" w:type="dxa"/>
          </w:tblCellMar>
        </w:tblPrEx>
        <w:trPr>
          <w:cantSplit/>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201039</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环江毛南族自治县第四初级中学</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公用经费（特教）自治区补助</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1.71</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保障学校适龄残疾儿童随班就读经费正常运转，持续改善学校基本办学条件，促进教育健康发展。</w:t>
            </w:r>
          </w:p>
        </w:tc>
      </w:tr>
      <w:tr>
        <w:tblPrEx>
          <w:tblW w:w="0" w:type="auto"/>
          <w:tblInd w:w="0" w:type="dxa"/>
          <w:tblLayout w:type="fixed"/>
          <w:tblCellMar>
            <w:top w:w="0" w:type="dxa"/>
            <w:left w:w="10" w:type="dxa"/>
            <w:bottom w:w="0" w:type="dxa"/>
            <w:right w:w="10" w:type="dxa"/>
          </w:tblCellMar>
        </w:tblPrEx>
        <w:trPr>
          <w:cantSplit/>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201039</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环江毛南族自治县第四初级中学</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环江县四中年初预算经费</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30.60</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项目立项依据：根据年初预算安排。</w:t>
            </w:r>
            <w:r>
              <w:rPr>
                <w:rFonts w:ascii="宋体" w:eastAsia="宋体" w:hAnsi="宋体" w:cs="宋体" w:hint="eastAsia"/>
                <w:b w:val="0"/>
                <w:bCs w:val="0"/>
                <w:sz w:val="17"/>
                <w:szCs w:val="17"/>
                <w:lang w:val="en-US" w:eastAsia="zh-CN"/>
              </w:rPr>
              <w:br/>
            </w:r>
            <w:r>
              <w:rPr>
                <w:rFonts w:ascii="宋体" w:eastAsia="宋体" w:hAnsi="宋体" w:cs="宋体" w:hint="eastAsia"/>
                <w:b w:val="0"/>
                <w:bCs w:val="0"/>
                <w:sz w:val="17"/>
                <w:szCs w:val="17"/>
                <w:lang w:val="en-US" w:eastAsia="zh-CN"/>
              </w:rPr>
              <w:t xml:space="preserve">可行性和必要性：通过小卖部租金（非税收入），主要用于学校聘用人员安保协管员、水电工、清洁工等开支，在一定程度上补充了学校经费的不足。</w:t>
            </w:r>
            <w:r>
              <w:rPr>
                <w:rFonts w:ascii="宋体" w:eastAsia="宋体" w:hAnsi="宋体" w:cs="宋体" w:hint="eastAsia"/>
                <w:b w:val="0"/>
                <w:bCs w:val="0"/>
                <w:sz w:val="17"/>
                <w:szCs w:val="17"/>
                <w:lang w:val="en-US" w:eastAsia="zh-CN"/>
              </w:rPr>
              <w:br/>
            </w:r>
            <w:r>
              <w:rPr>
                <w:rFonts w:ascii="宋体" w:eastAsia="宋体" w:hAnsi="宋体" w:cs="宋体" w:hint="eastAsia"/>
                <w:b w:val="0"/>
                <w:bCs w:val="0"/>
                <w:sz w:val="17"/>
                <w:szCs w:val="17"/>
                <w:lang w:val="en-US" w:eastAsia="zh-CN"/>
              </w:rPr>
              <w:t xml:space="preserve">支持范围：全校安保协管员聘用人员工资、水电工、清洁工工资等。</w:t>
            </w:r>
            <w:r>
              <w:rPr>
                <w:rFonts w:ascii="宋体" w:eastAsia="宋体" w:hAnsi="宋体" w:cs="宋体" w:hint="eastAsia"/>
                <w:b w:val="0"/>
                <w:bCs w:val="0"/>
                <w:sz w:val="17"/>
                <w:szCs w:val="17"/>
                <w:lang w:val="en-US" w:eastAsia="zh-CN"/>
              </w:rPr>
              <w:br/>
            </w:r>
            <w:r>
              <w:rPr>
                <w:rFonts w:ascii="宋体" w:eastAsia="宋体" w:hAnsi="宋体" w:cs="宋体" w:hint="eastAsia"/>
                <w:b w:val="0"/>
                <w:bCs w:val="0"/>
                <w:sz w:val="17"/>
                <w:szCs w:val="17"/>
                <w:lang w:val="en-US" w:eastAsia="zh-CN"/>
              </w:rPr>
              <w:t xml:space="preserve">实施内容：通过发放聘用人员安保协管员、水电工、清洁工工资等开支，有效完善学校后勤组的工作开展，解决聘用人员工资问题，调动工作积极性，保障学校的稳定发</w:t>
            </w:r>
          </w:p>
        </w:tc>
      </w:tr>
    </w:tbl>
    <w:p>
      <w:pPr>
        <w:jc w:val="left"/>
        <w:rPr>
          <w:rFonts w:hint="eastAsia"/>
        </w:rPr>
      </w:pPr>
      <w:r>
        <w:t xml:space="preserve">注：本报表金额单位转换时可能存在四舍五入尾数误差。</w:t>
      </w:r>
    </w:p>
    <w:p>
      <w:pPr>
        <w:jc w:val="left"/>
        <w:rPr>
          <w:rFonts w:hint="eastAsia"/>
          <w:lang w:eastAsia="zh-CN"/>
        </w:rPr>
        <w:sectPr>
          <w:headerReference w:type="default" r:id="rId20"/>
          <w:footerReference w:type="default" r:id="rId21"/>
          <w:pgSz w:w="16840" w:h="11900" w:orient="landscape"/>
          <w:pgMar w:top="2714" w:right="764" w:bottom="2714" w:left="735" w:header="2286" w:footer="1474" w:gutter="0"/>
          <w:pgBorders>
            <w:top w:val="none" w:sz="0" w:space="0" w:color="auto"/>
            <w:left w:val="none" w:sz="0" w:space="0" w:color="auto"/>
            <w:bottom w:val="none" w:sz="0" w:space="0" w:color="auto"/>
            <w:right w:val="none" w:sz="0" w:space="0" w:color="auto"/>
          </w:pgBorders>
          <w:pgNumType w:fmt="decimal"/>
          <w:cols w:num="1" w:space="720">
            <w:col w:w="15341" w:space="720"/>
          </w:cols>
          <w:docGrid w:linePitch="360" w:charSpace="0"/>
        </w:sectPr>
      </w:pPr>
    </w:p>
    <w:p>
      <w:pPr>
        <w:pStyle w:val="Heading#1|1"/>
        <w:keepNext/>
        <w:keepLines/>
        <w:spacing w:before="200" w:after="0"/>
        <w:jc w:val="center"/>
        <w:rPr>
          <w:sz w:val="40"/>
          <w:szCs w:val="40"/>
        </w:rPr>
      </w:pPr>
      <w:bookmarkStart w:id="32" w:name="bookmark94"/>
      <w:bookmarkStart w:id="33" w:name="bookmark96"/>
      <w:bookmarkStart w:id="34" w:name="bookmark95"/>
      <w:r>
        <w:rPr>
          <w:sz w:val="40"/>
          <w:szCs w:val="40"/>
        </w:rPr>
        <w:t xml:space="preserve">第四部</w:t>
      </w:r>
      <w:r>
        <w:rPr>
          <w:sz w:val="40"/>
          <w:szCs w:val="40"/>
        </w:rPr>
        <w:t xml:space="preserve">分名词解释</w:t>
      </w:r>
      <w:bookmarkEnd w:id="32"/>
      <w:bookmarkEnd w:id="33"/>
      <w:bookmarkEnd w:id="34"/>
    </w:p>
    <w:p>
      <w:pPr>
        <w:pStyle w:val="Bodytext|1"/>
        <w:tabs>
          <w:tab w:val="left" w:pos="1270"/>
        </w:tabs>
        <w:spacing w:line="626" w:lineRule="exact"/>
        <w:ind w:firstLine="640"/>
        <w:jc w:val="left"/>
      </w:pPr>
      <w:bookmarkStart w:id="35" w:name="bookmark97"/>
      <w:r>
        <w:t xml:space="preserve">一</w:t>
      </w:r>
      <w:bookmarkEnd w:id="35"/>
      <w:r>
        <w:t xml:space="preserve">、</w:t>
      </w:r>
      <w:r>
        <w:tab/>
      </w:r>
      <w:r>
        <w:t xml:space="preserve">财政拨款收入：指预算单位从本级财政部门取得的财政预算资金收入。</w:t>
      </w:r>
    </w:p>
    <w:p>
      <w:pPr>
        <w:pStyle w:val="Bodytext|1"/>
        <w:tabs>
          <w:tab w:val="left" w:pos="1280"/>
        </w:tabs>
        <w:spacing w:line="626" w:lineRule="exact"/>
        <w:ind w:firstLine="640"/>
        <w:jc w:val="left"/>
      </w:pPr>
      <w:bookmarkStart w:id="36" w:name="bookmark98"/>
      <w:r>
        <w:t xml:space="preserve">二</w:t>
      </w:r>
      <w:bookmarkEnd w:id="36"/>
      <w:r>
        <w:t xml:space="preserve">、</w:t>
      </w:r>
      <w:r>
        <w:tab/>
      </w:r>
      <w:r>
        <w:t xml:space="preserve">事业收入：指事业单位开展专业业务活动及辅助活动所取得的收入。</w:t>
      </w:r>
    </w:p>
    <w:p>
      <w:pPr>
        <w:pStyle w:val="Bodytext|1"/>
        <w:tabs>
          <w:tab w:val="left" w:pos="1275"/>
        </w:tabs>
        <w:spacing w:line="626" w:lineRule="exact"/>
        <w:ind w:firstLine="640"/>
        <w:jc w:val="left"/>
      </w:pPr>
      <w:bookmarkStart w:id="37" w:name="bookmark99"/>
      <w:r>
        <w:t xml:space="preserve">三</w:t>
      </w:r>
      <w:bookmarkEnd w:id="37"/>
      <w:r>
        <w:t xml:space="preserve">、</w:t>
      </w:r>
      <w:r>
        <w:tab/>
      </w:r>
      <w:r>
        <w:t xml:space="preserve">经营收入：指事业单位在专业业务活动及其辅助活动之外开展非独立核算经营活动取得的收入。</w:t>
      </w:r>
    </w:p>
    <w:p>
      <w:pPr>
        <w:pStyle w:val="Bodytext|1"/>
        <w:tabs>
          <w:tab w:val="left" w:pos="1309"/>
        </w:tabs>
        <w:spacing w:line="626" w:lineRule="exact"/>
        <w:ind w:firstLine="640"/>
        <w:jc w:val="left"/>
      </w:pPr>
      <w:bookmarkStart w:id="38" w:name="bookmark100"/>
      <w:r>
        <w:t xml:space="preserve">四</w:t>
      </w:r>
      <w:bookmarkEnd w:id="38"/>
      <w:r>
        <w:t xml:space="preserve">、</w:t>
      </w:r>
      <w:r>
        <w:tab/>
      </w:r>
      <w:r>
        <w:t xml:space="preserve">其他收入：指除上述</w:t>
      </w:r>
      <w:r>
        <w:rPr>
          <w:lang w:val="zh-CN" w:eastAsia="zh-CN" w:bidi="zh-CN"/>
        </w:rPr>
        <w:t xml:space="preserve">“财</w:t>
      </w:r>
      <w:r>
        <w:t xml:space="preserve">政拨款收入”、</w:t>
      </w:r>
      <w:r>
        <w:rPr>
          <w:lang w:val="zh-CN" w:eastAsia="zh-CN" w:bidi="zh-CN"/>
        </w:rPr>
        <w:t xml:space="preserve">“事</w:t>
      </w:r>
      <w:r>
        <w:t xml:space="preserve">业收入"、</w:t>
      </w:r>
      <w:r>
        <w:rPr>
          <w:lang w:val="zh-CN" w:eastAsia="zh-CN" w:bidi="zh-CN"/>
        </w:rPr>
        <w:t xml:space="preserve">“经营</w:t>
      </w:r>
      <w:r>
        <w:t xml:space="preserve">收入"等以外的收入。主要是非本级财政拨款、存款利息收入、事业单位固定资产出租收入等。</w:t>
      </w:r>
    </w:p>
    <w:p>
      <w:pPr>
        <w:pStyle w:val="Bodytext|1"/>
        <w:tabs>
          <w:tab w:val="left" w:pos="1275"/>
        </w:tabs>
        <w:spacing w:line="626" w:lineRule="exact"/>
        <w:ind w:firstLine="640"/>
        <w:jc w:val="left"/>
      </w:pPr>
      <w:bookmarkStart w:id="39" w:name="bookmark101"/>
      <w:r>
        <w:t xml:space="preserve">五</w:t>
      </w:r>
      <w:bookmarkEnd w:id="39"/>
      <w:r>
        <w:t xml:space="preserve">、</w:t>
      </w:r>
      <w:r>
        <w:tab/>
      </w:r>
      <w:r>
        <w:t xml:space="preserve">用事业基金弥补收支差额：指事业单位在用当年的</w:t>
      </w:r>
      <w:r>
        <w:rPr>
          <w:lang w:val="zh-CN" w:eastAsia="zh-CN" w:bidi="zh-CN"/>
        </w:rPr>
        <w:t xml:space="preserve">“财</w:t>
      </w:r>
      <w:r>
        <w:t xml:space="preserve">政拨款收入"、</w:t>
      </w:r>
      <w:r>
        <w:rPr>
          <w:lang w:val="zh-CN" w:eastAsia="zh-CN" w:bidi="zh-CN"/>
        </w:rPr>
        <w:t xml:space="preserve">“事业</w:t>
      </w:r>
      <w:r>
        <w:t xml:space="preserve">收入"、</w:t>
      </w:r>
      <w:r>
        <w:rPr>
          <w:lang w:val="zh-CN" w:eastAsia="zh-CN" w:bidi="zh-CN"/>
        </w:rPr>
        <w:t xml:space="preserve">“经营</w:t>
      </w:r>
      <w:r>
        <w:t xml:space="preserve">收入"、</w:t>
      </w:r>
      <w:r>
        <w:rPr>
          <w:lang w:val="zh-CN" w:eastAsia="zh-CN" w:bidi="zh-CN"/>
        </w:rPr>
        <w:t xml:space="preserve">“其他</w:t>
      </w:r>
      <w:r>
        <w:t xml:space="preserve">收入"不足以安排当年支出的情况下，使用以前年度积累的事业基金（事业单位当年收支相抵后按国家规定提取、用于弥补以后年度收支差额的基金）弥补本年度收支缺口的资金。</w:t>
      </w:r>
    </w:p>
    <w:p>
      <w:pPr>
        <w:pStyle w:val="Bodytext|1"/>
        <w:tabs>
          <w:tab w:val="left" w:pos="1270"/>
        </w:tabs>
        <w:spacing w:line="626" w:lineRule="exact"/>
        <w:ind w:firstLine="640"/>
        <w:jc w:val="left"/>
      </w:pPr>
      <w:bookmarkStart w:id="40" w:name="bookmark102"/>
      <w:r>
        <w:t xml:space="preserve">六</w:t>
      </w:r>
      <w:bookmarkEnd w:id="40"/>
      <w:r>
        <w:t xml:space="preserve">、</w:t>
      </w:r>
      <w:r>
        <w:tab/>
      </w:r>
      <w:r>
        <w:t xml:space="preserve">年初结转和结余：指以前年度尚未完成、结转到本年按有关规定继续使用的资金。</w:t>
      </w:r>
    </w:p>
    <w:p>
      <w:pPr>
        <w:pStyle w:val="Bodytext|1"/>
        <w:tabs>
          <w:tab w:val="left" w:pos="1275"/>
        </w:tabs>
        <w:spacing w:line="626" w:lineRule="exact"/>
        <w:ind w:firstLine="640"/>
        <w:jc w:val="left"/>
      </w:pPr>
      <w:bookmarkStart w:id="41" w:name="bookmark103"/>
      <w:r>
        <w:t xml:space="preserve">七</w:t>
      </w:r>
      <w:bookmarkEnd w:id="41"/>
      <w:r>
        <w:t xml:space="preserve">、</w:t>
      </w:r>
      <w:r>
        <w:tab/>
      </w:r>
      <w:r>
        <w:t xml:space="preserve">结余分配：指事业单位按规定提取的职工福利基金、事业基金和缴纳的所得税，以及建设单位按规定应交回的基本建设竣工项目结余资金。</w:t>
      </w:r>
    </w:p>
    <w:p>
      <w:pPr>
        <w:pStyle w:val="Bodytext|1"/>
        <w:tabs>
          <w:tab w:val="left" w:pos="632"/>
        </w:tabs>
        <w:spacing w:line="626" w:lineRule="exact"/>
        <w:ind w:firstLine="640"/>
        <w:jc w:val="left"/>
      </w:pPr>
      <w:bookmarkStart w:id="42" w:name="bookmark104"/>
      <w:r>
        <w:t xml:space="preserve">八</w:t>
      </w:r>
      <w:bookmarkEnd w:id="42"/>
      <w:r>
        <w:t xml:space="preserve">、</w:t>
      </w:r>
      <w:r>
        <w:tab/>
      </w:r>
      <w:r>
        <w:t xml:space="preserve">年末结转和结余：指本年度或以前年度预算安排、因客观条件发生变化无法按原计划实施，需要延迟到以后年度按有关规定继续使用的资金。</w:t>
      </w:r>
    </w:p>
    <w:p>
      <w:pPr>
        <w:pStyle w:val="Bodytext|1"/>
        <w:spacing w:line="628" w:lineRule="exact"/>
        <w:ind w:firstLine="640"/>
        <w:jc w:val="left"/>
      </w:pPr>
      <w:bookmarkStart w:id="43" w:name="bookmark105"/>
      <w:r>
        <w:t xml:space="preserve">九</w:t>
      </w:r>
      <w:bookmarkEnd w:id="43"/>
      <w:r>
        <w:t xml:space="preserve">、基本支出：指为保障机构正常运转、完成日常工作任务而发生的人员支出和公用支出。</w:t>
      </w:r>
    </w:p>
    <w:p>
      <w:pPr>
        <w:pStyle w:val="Bodytext|1"/>
        <w:spacing w:line="628" w:lineRule="exact"/>
        <w:ind w:firstLine="640"/>
        <w:jc w:val="left"/>
      </w:pPr>
      <w:r>
        <w:t xml:space="preserve">十、项目支出：指在基本支出之外为完成特定行政任务和事业发展目标所发生的支出。</w:t>
      </w:r>
    </w:p>
    <w:p>
      <w:pPr>
        <w:pStyle w:val="Bodytext|1"/>
        <w:spacing w:line="628" w:lineRule="exact"/>
        <w:ind w:firstLine="640"/>
        <w:jc w:val="left"/>
      </w:pPr>
      <w:r>
        <w:t xml:space="preserve">十一、经营支出：指事业单位在专业业务活动及其辅助活动之外开展非独立核算经营活动所发生的支出。</w:t>
      </w:r>
    </w:p>
    <w:p>
      <w:pPr>
        <w:pStyle w:val="Bodytext|1"/>
        <w:spacing w:line="628" w:lineRule="exact"/>
        <w:ind w:firstLine="640"/>
        <w:jc w:val="left"/>
      </w:pPr>
      <w:r>
        <w:t xml:space="preserve">十二、</w:t>
      </w:r>
      <w:r>
        <w:rPr>
          <w:lang w:val="zh-CN" w:eastAsia="zh-CN" w:bidi="zh-CN"/>
        </w:rPr>
        <w:t xml:space="preserve">“三</w:t>
      </w:r>
      <w:r>
        <w:t xml:space="preserve">公”经费：纳入财政预决算管理的</w:t>
      </w:r>
      <w:r>
        <w:rPr>
          <w:lang w:val="zh-CN" w:eastAsia="zh-CN" w:bidi="zh-CN"/>
        </w:rPr>
        <w:t xml:space="preserve">“三公</w:t>
      </w:r>
      <w:r>
        <w:t xml:space="preserve">”经费，是指市本级各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pStyle w:val="Bodytext|1"/>
        <w:spacing w:line="628" w:lineRule="exact"/>
        <w:ind w:firstLine="640"/>
        <w:jc w:val="left"/>
      </w:pPr>
      <w:r>
        <w:t xml:space="preserve">十三、机关运行经费：为保障行政单位（含参照公务员法管理的事业单位、机关服务中心）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sectPr>
      <w:headerReference w:type="default" r:id="rId22"/>
      <w:footerReference w:type="default" r:id="rId23"/>
      <w:type w:val="continuous"/>
      <w:pgSz w:w="11900" w:h="16840" w:orient="portrait"/>
      <w:pgMar w:top="1302" w:right="1735" w:bottom="1568" w:left="1793" w:header="874" w:footer="1077" w:gutter="0"/>
      <w:pgBorders>
        <w:top w:val="none" w:sz="0" w:space="0" w:color="auto"/>
        <w:left w:val="none" w:sz="0" w:space="0" w:color="auto"/>
        <w:bottom w:val="none" w:sz="0" w:space="0" w:color="auto"/>
        <w:right w:val="none" w:sz="0" w:space="0" w:color="auto"/>
      </w:pgBorders>
      <w:pgNumType w:fmt="decimal"/>
      <w:cols w:num="1" w:space="720">
        <w:col w:w="8372" w:space="720"/>
      </w:cols>
      <w:docGrid w:linePitch="360" w:charSpace="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Auto"/>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Auto"/>
    <w:pitch w:val="default"/>
    <w:sig w:usb0="E0002EFF" w:usb1="C0007843" w:usb2="00000009" w:usb3="00000000" w:csb0="400001FF" w:csb1="FFFF0000"/>
  </w:font>
  <w:font w:name="Symbol">
    <w:panose1 w:val="05050102010706020507"/>
    <w:charset w:val="02"/>
    <w:family w:val="Auto"/>
    <w:pitch w:val="default"/>
    <w:sig w:usb0="00000000" w:usb1="00000000" w:usb2="00000000" w:usb3="00000000" w:csb0="80000000" w:csb1="00000000"/>
  </w:font>
  <w:font w:name="Calibri">
    <w:panose1 w:val="020F0502020204030204"/>
    <w:charset w:val="00"/>
    <w:family w:val="Auto"/>
    <w:pitch w:val="default"/>
    <w:sig w:usb0="E4002EFF" w:usb1="C200247B" w:usb2="00000009" w:usb3="00000000" w:csb0="200001FF"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w:rPr>
        <w:sz w:val="24"/>
      </w:rPr>
      <mc:AlternateContent xmlns:mc="http://schemas.openxmlformats.org/markup-compatibility/2006">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551" name="文本框 2"/>
              <wp:cNvGraphicFramePr>
                <a:graphicFrameLocks noChangeAspect="0"/>
              </wp:cNvGraphicFramePr>
              <a:graphic>
                <a:graphicData uri="http://schemas.microsoft.com/office/word/2010/wordprocessingShape">
                  <wps:wsp>
                    <wps:cNvSpPr/>
                    <wps:spPr>
                      <a:xfrm>
                        <a:off x="0" y="0"/>
                        <a:ext cx="1828800" cy="1828800"/>
                      </a:xfrm>
                      <a:prstGeom prst="rect">
                        <a:avLst/>
                      </a:prstGeom>
                      <a:noFill/>
                      <a:ln>
                        <a:noFill/>
                      </a:ln>
                    </wps:spPr>
                    <wps:style>
                      <a:lnRef idx="0"/>
                      <a:fillRef idx="0"/>
                      <a:effectRef idx="0">
                        <a:schemeClr val="accent1"/>
                      </a:effectRef>
                      <a:fontRef idx="minor">
                        <a:schemeClr val="dk1"/>
                      </a:fontRef>
                    </wps:style>
                    <wps:txbx>
                      <w:txbxContent>
                        <w:p>
                          <w:pPr>
                            <w:pStyle w:val="Footer"/>
                          </w:pPr>
                          <w:r>
                            <w:fldChar w:fldCharType="begin"/>
                          </w:r>
                          <w:r>
                            <w:instrText xml:space="preserve"> PAGE  \* MERGEFORMAT </w:instrText>
                          </w:r>
                          <w:r>
                            <w:fldChar w:fldCharType="separate"/>
                          </w:r>
                          <w:r>
                            <w:t xml:space="preserve">2</w:t>
                          </w:r>
                          <w:r>
                            <w:fldChar w:fldCharType="end"/>
                          </w:r>
                        </w:p>
                      </w:txbxContent>
                    </wps:txbx>
                    <wps:bodyPr rot="0" spcFirstLastPara="0" vertOverflow="overflow" horzOverflow="overflow" vert="horz" wrap="none" lIns="0" tIns="0" rIns="0" bIns="0" numCol="1" rtlCol="0" anchor="t" upright="0">
                      <a:spAutoFit/>
                    </wps:bodyPr>
                  </wps:wsp>
                </a:graphicData>
              </a:graphic>
            </wp:anchor>
          </w:drawing>
        </mc:Choice>
        <mc:Fallback>
          <w:pict>
            <v:shape id="文本框 2" o:spid="_x0000_s5047" type="#_x0000_t202" style="height:2in;margin-left:0;margin-top:0;mso-height-relative:page;mso-position-horizontal:center;mso-position-horizontal-relative:margin;mso-width-relative:page;mso-wrap-distance-bottom:0;mso-wrap-distance-left:9pt;mso-wrap-distance-right:9pt;mso-wrap-distance-top:0;mso-wrap-style:none;position:absolute;v-text-anchor:top;width:2in;z-index:251661312" coordsize="21600,21600" filled="f" stroked="f" strokeweight="0.5pt">
              <w10:bordertop type="none" width="0"/>
              <w10:borderleft type="none" width="0"/>
              <w10:borderbottom type="none" width="0"/>
              <w10:borderright type="none" width="0"/>
              <v:textbox style="layout-flow:horizontal;mso-fit-shape-to-text:t" inset="0,0,0,0">
                <w:txbxContent>
                  <w:p>
                    <w:pPr>
                      <w:pStyle w:val="Footer"/>
                    </w:pPr>
                    <w:r>
                      <w:fldChar w:fldCharType="begin"/>
                    </w:r>
                    <w:r>
                      <w:instrText xml:space="preserve"> PAGE  \* MERGEFORMAT </w:instrText>
                    </w:r>
                    <w:r>
                      <w:fldChar w:fldCharType="separate"/>
                    </w:r>
                    <w:r>
                      <w:t xml:space="preserve">2</w:t>
                    </w:r>
                    <w:r>
                      <w:fldChar w:fldCharType="end"/>
                    </w:r>
                  </w:p>
                </w:txbxContent>
              </v:textbox>
            </v:shape>
          </w:pict>
        </mc:Fallback>
      </mc:AlternateContent>
    </w:r>
  </w:p>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w:rPr>
        <w:sz w:val="24"/>
      </w:rPr>
      <mc:AlternateContent xmlns:mc="http://schemas.openxmlformats.org/markup-compatibility/2006">
        <mc:Choice Requires="wps">
          <w:drawing>
            <wp:anchor distT="0" distB="0" distL="114300" distR="114300" simplePos="0" relativeHeight="251662336" behindDoc="0" locked="0" layoutInCell="1" allowOverlap="1">
              <wp:simplePos x="0" y="0"/>
              <wp:positionH relativeFrom="margin">
                <wp:posOffset>2574925</wp:posOffset>
              </wp:positionH>
              <wp:positionV relativeFrom="paragraph">
                <wp:posOffset>0</wp:posOffset>
              </wp:positionV>
              <wp:extent cx="394970" cy="168910"/>
              <wp:effectExtent l="0" t="0" r="0" b="0"/>
              <wp:wrapNone/>
              <wp:docPr id="2559" name="文本框 4"/>
              <wp:cNvGraphicFramePr>
                <a:graphicFrameLocks noChangeAspect="0"/>
              </wp:cNvGraphicFramePr>
              <a:graphic>
                <a:graphicData uri="http://schemas.microsoft.com/office/word/2010/wordprocessingShape">
                  <wps:wsp>
                    <wps:cNvSpPr/>
                    <wps:spPr>
                      <a:xfrm>
                        <a:off x="0" y="0"/>
                        <a:ext cx="394970" cy="168910"/>
                      </a:xfrm>
                      <a:prstGeom prst="rect">
                        <a:avLst/>
                      </a:prstGeom>
                      <a:noFill/>
                      <a:ln>
                        <a:noFill/>
                      </a:ln>
                    </wps:spPr>
                    <wps:style>
                      <a:lnRef idx="0"/>
                      <a:fillRef idx="0"/>
                      <a:effectRef idx="0">
                        <a:schemeClr val="accent1"/>
                      </a:effectRef>
                      <a:fontRef idx="minor">
                        <a:schemeClr val="dk1"/>
                      </a:fontRef>
                    </wps:style>
                    <wps:txbx>
                      <w:txbxContent>
                        <w:p>
                          <w:pPr>
                            <w:pStyle w:val="Footer"/>
                          </w:pPr>
                          <w:r>
                            <w:fldChar w:fldCharType="begin"/>
                          </w:r>
                          <w:r>
                            <w:instrText xml:space="preserve"> PAGE  \* MERGEFORMAT </w:instrText>
                          </w:r>
                          <w:r>
                            <w:fldChar w:fldCharType="separate"/>
                          </w:r>
                          <w:r>
                            <w:t xml:space="preserve">4</w:t>
                          </w:r>
                          <w:r>
                            <w:fldChar w:fldCharType="end"/>
                          </w:r>
                        </w:p>
                      </w:txbxContent>
                    </wps:txbx>
                    <wps:bodyPr rot="0" spcFirstLastPara="0" vertOverflow="overflow" horzOverflow="overflow" vert="horz" wrap="square" lIns="0" tIns="0" rIns="0" bIns="0" numCol="1" rtlCol="0" anchor="t" upright="0">
                      <a:noAutofit/>
                    </wps:bodyPr>
                  </wps:wsp>
                </a:graphicData>
              </a:graphic>
            </wp:anchor>
          </w:drawing>
        </mc:Choice>
        <mc:Fallback>
          <w:pict>
            <v:shape id="文本框 4" o:spid="_x0000_s5049" type="#_x0000_t202" style="height:13.3pt;margin-left:202.75pt;margin-top:0;mso-height-relative:page;mso-position-horizontal-relative:margin;mso-width-relative:page;mso-wrap-distance-bottom:0;mso-wrap-distance-left:9pt;mso-wrap-distance-right:9pt;mso-wrap-distance-top:0;mso-wrap-style:square;position:absolute;v-text-anchor:top;width:31.1pt;z-index:251662336" coordsize="21600,21600" filled="f" stroked="f" strokeweight="0.5pt">
              <w10:bordertop type="none" width="0"/>
              <w10:borderleft type="none" width="0"/>
              <w10:borderbottom type="none" width="0"/>
              <w10:borderright type="none" width="0"/>
              <v:textbox style="layout-flow:horizontal" inset="0,0,0,0">
                <w:txbxContent>
                  <w:p>
                    <w:pPr>
                      <w:pStyle w:val="Footer"/>
                    </w:pPr>
                    <w:r>
                      <w:fldChar w:fldCharType="begin"/>
                    </w:r>
                    <w:r>
                      <w:instrText xml:space="preserve"> PAGE  \* MERGEFORMAT </w:instrText>
                    </w:r>
                    <w:r>
                      <w:fldChar w:fldCharType="separate"/>
                    </w:r>
                    <w:r>
                      <w:t xml:space="preserve">4</w:t>
                    </w:r>
                    <w:r>
                      <w:fldChar w:fldCharType="end"/>
                    </w:r>
                  </w:p>
                </w:txbxContent>
              </v:textbox>
            </v:shape>
          </w:pict>
        </mc:Fallback>
      </mc:AlternateContent>
    </w:r>
  </w:p>
</w:ftr>
</file>

<file path=word/footer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w:rPr>
        <w:sz w:val="24"/>
      </w:rPr>
      <mc:AlternateContent xmlns:mc="http://schemas.openxmlformats.org/markup-compatibility/2006">
        <mc:Choice Requires="wps">
          <w:drawing>
            <wp:anchor distT="0" distB="0" distL="114300" distR="114300" simplePos="0" relativeHeight="251663360" behindDoc="0" locked="0" layoutInCell="1" allowOverlap="1">
              <wp:simplePos x="0" y="0"/>
              <wp:positionH relativeFrom="margin">
                <wp:posOffset>4810125</wp:posOffset>
              </wp:positionH>
              <wp:positionV relativeFrom="paragraph">
                <wp:posOffset>0</wp:posOffset>
              </wp:positionV>
              <wp:extent cx="440055" cy="206375"/>
              <wp:effectExtent l="0" t="0" r="0" b="0"/>
              <wp:wrapNone/>
              <wp:docPr id="2561" name="文本框 7"/>
              <wp:cNvGraphicFramePr>
                <a:graphicFrameLocks noChangeAspect="0"/>
              </wp:cNvGraphicFramePr>
              <a:graphic>
                <a:graphicData uri="http://schemas.microsoft.com/office/word/2010/wordprocessingShape">
                  <wps:wsp>
                    <wps:cNvSpPr/>
                    <wps:spPr>
                      <a:xfrm>
                        <a:off x="0" y="0"/>
                        <a:ext cx="440055" cy="206375"/>
                      </a:xfrm>
                      <a:prstGeom prst="rect">
                        <a:avLst/>
                      </a:prstGeom>
                      <a:noFill/>
                      <a:ln>
                        <a:noFill/>
                      </a:ln>
                    </wps:spPr>
                    <wps:style>
                      <a:lnRef idx="0"/>
                      <a:fillRef idx="0"/>
                      <a:effectRef idx="0">
                        <a:schemeClr val="accent1"/>
                      </a:effectRef>
                      <a:fontRef idx="minor">
                        <a:schemeClr val="dk1"/>
                      </a:fontRef>
                    </wps:style>
                    <wps:txbx>
                      <w:txbxContent>
                        <w:p>
                          <w:pPr>
                            <w:pStyle w:val="Footer"/>
                          </w:pPr>
                          <w:r>
                            <w:fldChar w:fldCharType="begin"/>
                          </w:r>
                          <w:r>
                            <w:instrText xml:space="preserve"> PAGE  \* MERGEFORMAT </w:instrText>
                          </w:r>
                          <w:r>
                            <w:fldChar w:fldCharType="separate"/>
                          </w:r>
                          <w:r>
                            <w:t xml:space="preserve">15</w:t>
                          </w:r>
                          <w:r>
                            <w:fldChar w:fldCharType="end"/>
                          </w:r>
                        </w:p>
                      </w:txbxContent>
                    </wps:txbx>
                    <wps:bodyPr rot="0" spcFirstLastPara="0" vertOverflow="overflow" horzOverflow="overflow" vert="horz" wrap="square" lIns="0" tIns="0" rIns="0" bIns="0" numCol="1" rtlCol="0" anchor="t" upright="0">
                      <a:noAutofit/>
                    </wps:bodyPr>
                  </wps:wsp>
                </a:graphicData>
              </a:graphic>
            </wp:anchor>
          </w:drawing>
        </mc:Choice>
        <mc:Fallback>
          <w:pict>
            <v:shape id="文本框 7" o:spid="_x0000_s5051" type="#_x0000_t202" style="height:16.25pt;margin-left:378.75pt;margin-top:0;mso-height-relative:page;mso-position-horizontal-relative:margin;mso-width-relative:page;mso-wrap-distance-bottom:0;mso-wrap-distance-left:9pt;mso-wrap-distance-right:9pt;mso-wrap-distance-top:0;mso-wrap-style:square;position:absolute;v-text-anchor:top;width:34.65pt;z-index:251663360" coordsize="21600,21600" filled="f" stroked="f" strokeweight="0.5pt">
              <w10:bordertop type="none" width="0"/>
              <w10:borderleft type="none" width="0"/>
              <w10:borderbottom type="none" width="0"/>
              <w10:borderright type="none" width="0"/>
              <v:textbox style="layout-flow:horizontal" inset="0,0,0,0">
                <w:txbxContent>
                  <w:p>
                    <w:pPr>
                      <w:pStyle w:val="Footer"/>
                    </w:pPr>
                    <w:r>
                      <w:fldChar w:fldCharType="begin"/>
                    </w:r>
                    <w:r>
                      <w:instrText xml:space="preserve"> PAGE  \* MERGEFORMAT </w:instrText>
                    </w:r>
                    <w:r>
                      <w:fldChar w:fldCharType="separate"/>
                    </w:r>
                    <w:r>
                      <w:t xml:space="preserve">15</w:t>
                    </w:r>
                    <w:r>
                      <w:fldChar w:fldCharType="end"/>
                    </w:r>
                  </w:p>
                </w:txbxContent>
              </v:textbox>
            </v:shape>
          </w:pict>
        </mc:Fallback>
      </mc:AlternateContent>
    </w:r>
  </w:p>
</w:ftr>
</file>

<file path=word/footer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w:rPr>
        <w:sz w:val="24"/>
      </w:rPr>
      <mc:AlternateContent xmlns:mc="http://schemas.openxmlformats.org/markup-compatibility/2006">
        <mc:Choice Requires="wps">
          <w:drawing>
            <wp:anchor distT="0" distB="0" distL="114300" distR="114300" simplePos="0" relativeHeight="251664384" behindDoc="0" locked="0" layoutInCell="1" allowOverlap="1">
              <wp:simplePos x="0" y="0"/>
              <wp:positionH relativeFrom="margin">
                <wp:posOffset>4538345</wp:posOffset>
              </wp:positionH>
              <wp:positionV relativeFrom="paragraph">
                <wp:posOffset>-151765</wp:posOffset>
              </wp:positionV>
              <wp:extent cx="478790" cy="323215"/>
              <wp:effectExtent l="0" t="0" r="0" b="0"/>
              <wp:wrapNone/>
              <wp:docPr id="2562" name="文本框 9"/>
              <wp:cNvGraphicFramePr>
                <a:graphicFrameLocks noChangeAspect="0"/>
              </wp:cNvGraphicFramePr>
              <a:graphic>
                <a:graphicData uri="http://schemas.microsoft.com/office/word/2010/wordprocessingShape">
                  <wps:wsp>
                    <wps:cNvSpPr/>
                    <wps:spPr>
                      <a:xfrm>
                        <a:off x="0" y="0"/>
                        <a:ext cx="478790" cy="323215"/>
                      </a:xfrm>
                      <a:prstGeom prst="rect">
                        <a:avLst/>
                      </a:prstGeom>
                      <a:noFill/>
                      <a:ln>
                        <a:noFill/>
                      </a:ln>
                    </wps:spPr>
                    <wps:style>
                      <a:lnRef idx="0"/>
                      <a:fillRef idx="0"/>
                      <a:effectRef idx="0">
                        <a:schemeClr val="accent1"/>
                      </a:effectRef>
                      <a:fontRef idx="minor">
                        <a:schemeClr val="dk1"/>
                      </a:fontRef>
                    </wps:style>
                    <wps:txbx>
                      <w:txbxContent>
                        <w:p>
                          <w:pPr>
                            <w:pStyle w:val="Footer"/>
                          </w:pPr>
                          <w:r>
                            <w:fldChar w:fldCharType="begin"/>
                          </w:r>
                          <w:r>
                            <w:instrText xml:space="preserve"> PAGE  \* MERGEFORMAT </w:instrText>
                          </w:r>
                          <w:r>
                            <w:fldChar w:fldCharType="separate"/>
                          </w:r>
                          <w:r>
                            <w:t xml:space="preserve">16</w:t>
                          </w:r>
                          <w:r>
                            <w:fldChar w:fldCharType="end"/>
                          </w:r>
                        </w:p>
                      </w:txbxContent>
                    </wps:txbx>
                    <wps:bodyPr rot="0" spcFirstLastPara="0" vertOverflow="overflow" horzOverflow="overflow" vert="horz" wrap="square" lIns="0" tIns="0" rIns="0" bIns="0" numCol="1" rtlCol="0" anchor="t" upright="0">
                      <a:noAutofit/>
                    </wps:bodyPr>
                  </wps:wsp>
                </a:graphicData>
              </a:graphic>
            </wp:anchor>
          </w:drawing>
        </mc:Choice>
        <mc:Fallback>
          <w:pict>
            <v:shape id="文本框 9" o:spid="_x0000_s5052" type="#_x0000_t202" style="height:25.45pt;margin-left:357.35pt;margin-top:-11.95pt;mso-height-relative:page;mso-position-horizontal-relative:margin;mso-width-relative:page;mso-wrap-distance-bottom:0;mso-wrap-distance-left:9pt;mso-wrap-distance-right:9pt;mso-wrap-distance-top:0;mso-wrap-style:square;position:absolute;v-text-anchor:top;width:37.7pt;z-index:251664384" coordsize="21600,21600" filled="f" stroked="f" strokeweight="0.5pt">
              <w10:bordertop type="none" width="0"/>
              <w10:borderleft type="none" width="0"/>
              <w10:borderbottom type="none" width="0"/>
              <w10:borderright type="none" width="0"/>
              <v:textbox style="layout-flow:horizontal" inset="0,0,0,0">
                <w:txbxContent>
                  <w:p>
                    <w:pPr>
                      <w:pStyle w:val="Footer"/>
                    </w:pPr>
                    <w:r>
                      <w:fldChar w:fldCharType="begin"/>
                    </w:r>
                    <w:r>
                      <w:instrText xml:space="preserve"> PAGE  \* MERGEFORMAT </w:instrText>
                    </w:r>
                    <w:r>
                      <w:fldChar w:fldCharType="separate"/>
                    </w:r>
                    <w:r>
                      <w:t xml:space="preserve">16</w:t>
                    </w:r>
                    <w:r>
                      <w:fldChar w:fldCharType="end"/>
                    </w:r>
                  </w:p>
                </w:txbxContent>
              </v:textbox>
            </v:shape>
          </w:pict>
        </mc:Fallback>
      </mc:AlternateContent>
    </w:r>
  </w:p>
</w:ftr>
</file>

<file path=word/footer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w:rPr>
        <w:sz w:val="24"/>
      </w:rPr>
      <mc:AlternateContent xmlns:mc="http://schemas.openxmlformats.org/markup-compatibility/2006">
        <mc:Choice Requires="wps">
          <w:drawing>
            <wp:anchor distT="0" distB="0" distL="114300" distR="114300" simplePos="0" relativeHeight="251665408" behindDoc="0" locked="0" layoutInCell="1" allowOverlap="1">
              <wp:simplePos x="0" y="0"/>
              <wp:positionH relativeFrom="margin">
                <wp:posOffset>4473575</wp:posOffset>
              </wp:positionH>
              <wp:positionV relativeFrom="paragraph">
                <wp:posOffset>-86360</wp:posOffset>
              </wp:positionV>
              <wp:extent cx="447040" cy="267970"/>
              <wp:effectExtent l="0" t="0" r="0" b="0"/>
              <wp:wrapNone/>
              <wp:docPr id="2563" name="文本框 11"/>
              <wp:cNvGraphicFramePr>
                <a:graphicFrameLocks noChangeAspect="0"/>
              </wp:cNvGraphicFramePr>
              <a:graphic>
                <a:graphicData uri="http://schemas.microsoft.com/office/word/2010/wordprocessingShape">
                  <wps:wsp>
                    <wps:cNvSpPr/>
                    <wps:spPr>
                      <a:xfrm>
                        <a:off x="0" y="0"/>
                        <a:ext cx="447040" cy="267970"/>
                      </a:xfrm>
                      <a:prstGeom prst="rect">
                        <a:avLst/>
                      </a:prstGeom>
                      <a:noFill/>
                      <a:ln>
                        <a:noFill/>
                      </a:ln>
                    </wps:spPr>
                    <wps:style>
                      <a:lnRef idx="0"/>
                      <a:fillRef idx="0"/>
                      <a:effectRef idx="0">
                        <a:schemeClr val="accent1"/>
                      </a:effectRef>
                      <a:fontRef idx="minor">
                        <a:schemeClr val="dk1"/>
                      </a:fontRef>
                    </wps:style>
                    <wps:txbx>
                      <w:txbxContent>
                        <w:p>
                          <w:pPr>
                            <w:pStyle w:val="Footer"/>
                          </w:pPr>
                          <w:r>
                            <w:fldChar w:fldCharType="begin"/>
                          </w:r>
                          <w:r>
                            <w:instrText xml:space="preserve"> PAGE  \* MERGEFORMAT </w:instrText>
                          </w:r>
                          <w:r>
                            <w:fldChar w:fldCharType="separate"/>
                          </w:r>
                          <w:r>
                            <w:t xml:space="preserve">17</w:t>
                          </w:r>
                          <w:r>
                            <w:fldChar w:fldCharType="end"/>
                          </w:r>
                        </w:p>
                      </w:txbxContent>
                    </wps:txbx>
                    <wps:bodyPr rot="0" spcFirstLastPara="0" vertOverflow="overflow" horzOverflow="overflow" vert="horz" wrap="square" lIns="0" tIns="0" rIns="0" bIns="0" numCol="1" rtlCol="0" anchor="t" upright="0">
                      <a:noAutofit/>
                    </wps:bodyPr>
                  </wps:wsp>
                </a:graphicData>
              </a:graphic>
            </wp:anchor>
          </w:drawing>
        </mc:Choice>
        <mc:Fallback>
          <w:pict>
            <v:shape id="文本框 11" o:spid="_x0000_s5053" type="#_x0000_t202" style="height:21.1pt;margin-left:352.25pt;margin-top:-6.8pt;mso-height-relative:page;mso-position-horizontal-relative:margin;mso-width-relative:page;mso-wrap-distance-bottom:0;mso-wrap-distance-left:9pt;mso-wrap-distance-right:9pt;mso-wrap-distance-top:0;mso-wrap-style:square;position:absolute;v-text-anchor:top;width:35.2pt;z-index:251665408" coordsize="21600,21600" filled="f" stroked="f" strokeweight="0.5pt">
              <w10:bordertop type="none" width="0"/>
              <w10:borderleft type="none" width="0"/>
              <w10:borderbottom type="none" width="0"/>
              <w10:borderright type="none" width="0"/>
              <v:textbox style="layout-flow:horizontal" inset="0,0,0,0">
                <w:txbxContent>
                  <w:p>
                    <w:pPr>
                      <w:pStyle w:val="Footer"/>
                    </w:pPr>
                    <w:r>
                      <w:fldChar w:fldCharType="begin"/>
                    </w:r>
                    <w:r>
                      <w:instrText xml:space="preserve"> PAGE  \* MERGEFORMAT </w:instrText>
                    </w:r>
                    <w:r>
                      <w:fldChar w:fldCharType="separate"/>
                    </w:r>
                    <w:r>
                      <w:t xml:space="preserve">17</w:t>
                    </w:r>
                    <w:r>
                      <w:fldChar w:fldCharType="end"/>
                    </w:r>
                  </w:p>
                </w:txbxContent>
              </v:textbox>
            </v:shape>
          </w:pict>
        </mc:Fallback>
      </mc:AlternateContent>
    </w:r>
  </w:p>
</w:ftr>
</file>

<file path=word/footer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w:rPr>
        <w:sz w:val="24"/>
      </w:rPr>
      <mc:AlternateContent xmlns:mc="http://schemas.openxmlformats.org/markup-compatibility/2006">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2564" name="文本框 12"/>
              <wp:cNvGraphicFramePr>
                <a:graphicFrameLocks noChangeAspect="0"/>
              </wp:cNvGraphicFramePr>
              <a:graphic>
                <a:graphicData uri="http://schemas.microsoft.com/office/word/2010/wordprocessingShape">
                  <wps:wsp>
                    <wps:cNvSpPr/>
                    <wps:spPr>
                      <a:xfrm>
                        <a:off x="0" y="0"/>
                        <a:ext cx="1828800" cy="1828800"/>
                      </a:xfrm>
                      <a:prstGeom prst="rect">
                        <a:avLst/>
                      </a:prstGeom>
                      <a:noFill/>
                      <a:ln>
                        <a:noFill/>
                      </a:ln>
                    </wps:spPr>
                    <wps:style>
                      <a:lnRef idx="0"/>
                      <a:fillRef idx="0"/>
                      <a:effectRef idx="0">
                        <a:schemeClr val="accent1"/>
                      </a:effectRef>
                      <a:fontRef idx="minor">
                        <a:schemeClr val="dk1"/>
                      </a:fontRef>
                    </wps:style>
                    <wps:txbx>
                      <w:txbxContent>
                        <w:p>
                          <w:pPr>
                            <w:pStyle w:val="Footer"/>
                          </w:pPr>
                          <w:r>
                            <w:fldChar w:fldCharType="begin"/>
                          </w:r>
                          <w:r>
                            <w:instrText xml:space="preserve"> PAGE  \* MERGEFORMAT </w:instrText>
                          </w:r>
                          <w:r>
                            <w:fldChar w:fldCharType="separate"/>
                          </w:r>
                          <w:r>
                            <w:t xml:space="preserve">25</w:t>
                          </w:r>
                          <w:r>
                            <w:fldChar w:fldCharType="end"/>
                          </w:r>
                        </w:p>
                      </w:txbxContent>
                    </wps:txbx>
                    <wps:bodyPr rot="0" spcFirstLastPara="0" vertOverflow="overflow" horzOverflow="overflow" vert="horz" wrap="none" lIns="0" tIns="0" rIns="0" bIns="0" numCol="1" rtlCol="0" anchor="t" upright="0">
                      <a:spAutoFit/>
                    </wps:bodyPr>
                  </wps:wsp>
                </a:graphicData>
              </a:graphic>
            </wp:anchor>
          </w:drawing>
        </mc:Choice>
        <mc:Fallback>
          <w:pict>
            <v:shape id="文本框 12" o:spid="_x0000_s5054" type="#_x0000_t202" style="height:2in;margin-left:0;margin-top:0;mso-height-relative:page;mso-position-horizontal:center;mso-position-horizontal-relative:margin;mso-width-relative:page;mso-wrap-distance-bottom:0;mso-wrap-distance-left:9pt;mso-wrap-distance-right:9pt;mso-wrap-distance-top:0;mso-wrap-style:none;position:absolute;v-text-anchor:top;width:2in;z-index:251666432" coordsize="21600,21600" filled="f" stroked="f" strokeweight="0.5pt">
              <w10:bordertop type="none" width="0"/>
              <w10:borderleft type="none" width="0"/>
              <w10:borderbottom type="none" width="0"/>
              <w10:borderright type="none" width="0"/>
              <v:textbox style="layout-flow:horizontal;mso-fit-shape-to-text:t" inset="0,0,0,0">
                <w:txbxContent>
                  <w:p>
                    <w:pPr>
                      <w:pStyle w:val="Footer"/>
                    </w:pPr>
                    <w:r>
                      <w:fldChar w:fldCharType="begin"/>
                    </w:r>
                    <w:r>
                      <w:instrText xml:space="preserve"> PAGE  \* MERGEFORMAT </w:instrText>
                    </w:r>
                    <w:r>
                      <w:fldChar w:fldCharType="separate"/>
                    </w:r>
                    <w:r>
                      <w:t xml:space="preserve">25</w:t>
                    </w:r>
                    <w:r>
                      <w:fldChar w:fldCharType="end"/>
                    </w:r>
                  </w:p>
                </w:txbxContent>
              </v:textbox>
            </v:shape>
          </w:pict>
        </mc:Fallback>
      </mc:AlternateConten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Header"/>
    </w:pPr>
  </w:p>
</w:hdr>
</file>

<file path=word/header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mc:AlternateContent xmlns:mc="http://schemas.openxmlformats.org/markup-compatibility/2006">
        <mc:Choice Requires="wps">
          <w:drawing>
            <wp:anchor distT="0" distB="0" distL="0" distR="0" simplePos="0" relativeHeight="251659264" behindDoc="1" locked="0" layoutInCell="1" allowOverlap="1">
              <wp:simplePos x="0" y="0"/>
              <wp:positionH relativeFrom="page">
                <wp:posOffset>9117330</wp:posOffset>
              </wp:positionH>
              <wp:positionV relativeFrom="page">
                <wp:posOffset>1217295</wp:posOffset>
              </wp:positionV>
              <wp:extent cx="581025" cy="109855"/>
              <wp:effectExtent l="0" t="0" r="0" b="0"/>
              <wp:wrapNone/>
              <wp:docPr id="2558" name="Shape 5"/>
              <wp:cNvGraphicFramePr>
                <a:graphicFrameLocks noChangeAspect="0"/>
              </wp:cNvGraphicFramePr>
              <a:graphic>
                <a:graphicData uri="http://schemas.microsoft.com/office/word/2010/wordprocessingShape">
                  <wps:wsp>
                    <wps:cNvSpPr/>
                    <wps:spPr>
                      <a:xfrm>
                        <a:off x="0" y="0"/>
                        <a:ext cx="581025" cy="109855"/>
                      </a:xfrm>
                      <a:prstGeom prst="rect">
                        <a:avLst/>
                      </a:prstGeom>
                      <a:noFill/>
                    </wps:spPr>
                    <wps:txbx>
                      <w:txbxContent>
                        <w:p>
                          <w:pPr>
                            <w:pStyle w:val="Headerorfooter|1"/>
                          </w:pPr>
                        </w:p>
                      </w:txbxContent>
                    </wps:txbx>
                    <wps:bodyPr rot="0" spcFirstLastPara="0" vertOverflow="overflow" horzOverflow="overflow" vert="horz" wrap="square" lIns="0" tIns="0" rIns="0" bIns="0" numCol="1" anchor="t" upright="0">
                      <a:spAutoFit/>
                    </wps:bodyPr>
                  </wps:wsp>
                </a:graphicData>
              </a:graphic>
            </wp:anchor>
          </w:drawing>
        </mc:Choice>
        <mc:Fallback>
          <w:pict>
            <v:shape id="Shape 5" o:spid="_x0000_s5048" type="#_x0000_t202" style="height:8.65pt;margin-left:717.9pt;margin-top:95.85pt;mso-height-relative:page;mso-position-horizontal-relative:page;mso-position-vertical-relative:page;mso-width-relative:page;mso-wrap-distance-bottom:0;mso-wrap-distance-left:0;mso-wrap-distance-right:0;mso-wrap-distance-top:0;mso-wrap-style:square;position:absolute;width:45.75pt;z-index:-4043308031" coordsize="21600,21600" filled="f" stroked="f">
              <v:textbox style="mso-fit-shape-to-text:t" inset="0,0,0,0">
                <w:txbxContent>
                  <w:p>
                    <w:pPr>
                      <w:pStyle w:val="Headerorfooter|1"/>
                    </w:pPr>
                  </w:p>
                </w:txbxContent>
              </v:textbox>
            </v:shape>
          </w:pict>
        </mc:Fallback>
      </mc:AlternateContent>
    </w:r>
  </w:p>
</w:hdr>
</file>

<file path=word/header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mc:AlternateContent xmlns:mc="http://schemas.openxmlformats.org/markup-compatibility/2006">
        <mc:Choice Requires="wps">
          <w:drawing>
            <wp:anchor distT="0" distB="0" distL="0" distR="0" simplePos="0" relativeHeight="251660288" behindDoc="1" locked="0" layoutInCell="1" allowOverlap="1">
              <wp:simplePos x="0" y="0"/>
              <wp:positionH relativeFrom="page">
                <wp:posOffset>9117330</wp:posOffset>
              </wp:positionH>
              <wp:positionV relativeFrom="page">
                <wp:posOffset>1217295</wp:posOffset>
              </wp:positionV>
              <wp:extent cx="581025" cy="109855"/>
              <wp:effectExtent l="0" t="0" r="0" b="0"/>
              <wp:wrapNone/>
              <wp:docPr id="2560" name="Shape 5"/>
              <wp:cNvGraphicFramePr>
                <a:graphicFrameLocks noChangeAspect="0"/>
              </wp:cNvGraphicFramePr>
              <a:graphic>
                <a:graphicData uri="http://schemas.microsoft.com/office/word/2010/wordprocessingShape">
                  <wps:wsp>
                    <wps:cNvSpPr/>
                    <wps:spPr>
                      <a:xfrm>
                        <a:off x="0" y="0"/>
                        <a:ext cx="581025" cy="109855"/>
                      </a:xfrm>
                      <a:prstGeom prst="rect">
                        <a:avLst/>
                      </a:prstGeom>
                      <a:noFill/>
                    </wps:spPr>
                    <wps:txbx>
                      <w:txbxContent>
                        <w:p>
                          <w:pPr>
                            <w:pStyle w:val="Headerorfooter|1"/>
                          </w:pPr>
                        </w:p>
                      </w:txbxContent>
                    </wps:txbx>
                    <wps:bodyPr rot="0" spcFirstLastPara="0" vertOverflow="overflow" horzOverflow="overflow" vert="horz" wrap="square" lIns="0" tIns="0" rIns="0" bIns="0" numCol="1" anchor="t" upright="0">
                      <a:spAutoFit/>
                    </wps:bodyPr>
                  </wps:wsp>
                </a:graphicData>
              </a:graphic>
            </wp:anchor>
          </w:drawing>
        </mc:Choice>
        <mc:Fallback>
          <w:pict>
            <v:shape id="Shape 5" o:spid="_x0000_s5050" type="#_x0000_t202" style="height:8.65pt;margin-left:717.9pt;margin-top:95.85pt;mso-height-relative:page;mso-position-horizontal-relative:page;mso-position-vertical-relative:page;mso-width-relative:page;mso-wrap-distance-bottom:0;mso-wrap-distance-left:0;mso-wrap-distance-right:0;mso-wrap-distance-top:0;mso-wrap-style:square;position:absolute;width:45.75pt;z-index:-4043307007" coordsize="21600,21600" filled="f" stroked="f">
              <v:textbox style="mso-fit-shape-to-text:t" inset="0,0,0,0">
                <w:txbxContent>
                  <w:p>
                    <w:pPr>
                      <w:pStyle w:val="Headerorfooter|1"/>
                    </w:pPr>
                  </w:p>
                </w:txbxContent>
              </v:textbox>
            </v:shape>
          </w:pict>
        </mc:Fallback>
      </mc:AlternateContent>
    </w:r>
  </w:p>
</w:hdr>
</file>

<file path=word/header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
</w:hdr>
</file>

<file path=word/header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
</w:hdr>
</file>

<file path=word/header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2">
    <w:multiLevelType w:val="singleLevel"/>
    <w:lvl w:ilvl="0">
      <w:start w:val="1"/>
      <w:numFmt w:val="decimal"/>
      <w:suff w:val="nothing"/>
      <w:lvlText w:val="%1．"/>
      <w:lvlJc w:val="left"/>
      <w:pPr>
        <w:ind w:left="0" w:firstLine="400"/>
      </w:pPr>
      <w:rPr>
        <w:rFont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xmlns:w="http://schemas.openxmlformats.org/wordprocessingml/2006/main" xmlns:w14="http://schemas.microsoft.com/office/word/2010/wordml" xmlns:w15="http://schemas.microsoft.com/office/word/2012/wordml" mc:Ignorable="w14 w15">
  <w:zoom w:percent="60"/>
  <w:bordersDoNotSurroundFooter w:val="0"/>
  <w:bordersDoNotSurroundHeader w:val="0"/>
  <w:doNotTrackMoves/>
  <w:documentProtection w:enforcement="1" w:edit="readOnly" w:salt="6N24Zl8Z4n+qyvkv2eXA0g==" w:hash="0PCqSqtiBCjQgp9DEfMNAN1Sm3DQYfyyQER01l2wPQL35Cb703GOWPE2rG2hE388hAUDZvZUi/zn8asrRe2mGw==" w:cryptSpinCount="100000" w:cryptAlgorithmType="typeAny" w:cryptAlgorithmClass="hash" w:cryptProviderType="rsaAES" w:cryptAlgorithmSid="14"/>
  <w:defaultTabStop w:val="420"/>
  <w:drawingGridHorizontalSpacing w:val="181"/>
  <w:drawingGridVerticalSpacing w:val="181"/>
  <w:noPunctuationKerning/>
  <w:characterSpacingControl w:val="compressPunctuation"/>
  <w:compat>
    <w:doNotExpandShiftReturn/>
    <w:doNotWrapTextWithPunct/>
    <w:doNotUseEastAsianBreakRules/>
    <w:useFELayout/>
    <w:doNotUseIndentAsNumberingTabStop/>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w:docVars>
    <w:docVar w:name="commondata" w:val="eyJoZGlkIjoiYmQ3NjQxYmZmN2ZkODIxYWNiNTEzMzQyMTZmNzQ1MmMifQ=="/>
  </w:docVars>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qFormat="1"/>
    <w:lsdException w:name="header" w:semiHidden="0" w:uiPriority="0" w:unhideWhenUsed="0" w:qFormat="1"/>
    <w:lsdException w:name="footer" w:semiHidden="0" w:uiPriority="0" w:unhideWhenUsed="0" w:qFormat="1"/>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qFormat="1"/>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1"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Variable" w:semiHidden="0" w:uiPriority="0" w:unhideWhenUsed="0"/>
    <w:lsdException w:name="Normal Table" w:qFormat="1"/>
    <w:lsdException w:name="annotation subject" w:semiHidden="0" w:uiPriority="0" w:unhideWhenUsed="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semiHidden="0" w:uiPriority="0" w:unhideWhenUsed="0"/>
    <w:lsdException w:name="Table Grid" w:semiHidden="0" w:uiPriority="0" w:unhideWhenUsed="0" w:qFormat="1"/>
    <w:lsdException w:name="Table Theme"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pPr>
    <w:rPr>
      <w:rFonts w:ascii="Times New Roman" w:eastAsia="Times New Roman" w:hAnsi="Times New Roman" w:cs="Times New Roman"/>
      <w:color w:val="000000"/>
      <w:sz w:val="24"/>
      <w:szCs w:val="24"/>
      <w:lang w:val="en-US" w:eastAsia="en-US" w:bidi="en-US"/>
    </w:rPr>
  </w:style>
  <w:style w:type="character" w:default="1" w:styleId="DefaultParagraphFont">
    <w:name w:val="Default Paragraph Font"/>
    <w:autoRedefine/>
    <w:uiPriority w:val="1"/>
    <w:semiHidden/>
    <w:unhideWhenUsed/>
    <w:qFormat/>
    <w:rPr/>
  </w:style>
  <w:style w:type="table" w:default="1" w:styleId="NormalTable">
    <w:name w:val="Normal Table"/>
    <w:autoRedefine/>
    <w:uiPriority w:val="99"/>
    <w:semiHidden/>
    <w:unhideWhenUsed/>
    <w:qFormat/>
    <w:rPr/>
    <w:tblPr>
      <w:tblCellMar>
        <w:top w:w="0" w:type="dxa"/>
        <w:left w:w="108" w:type="dxa"/>
        <w:bottom w:w="0" w:type="dxa"/>
        <w:right w:w="108" w:type="dxa"/>
      </w:tblCellMar>
    </w:tblPr>
  </w:style>
  <w:style w:type="paragraph" w:styleId="CommentText">
    <w:name w:val="Comment Text"/>
    <w:basedOn w:val="Normal"/>
    <w:autoRedefine/>
    <w:qFormat/>
    <w:rPr/>
  </w:style>
  <w:style w:type="paragraph" w:styleId="Footer">
    <w:name w:val="Footer"/>
    <w:basedOn w:val="Normal"/>
    <w:autoRedefine/>
    <w:qFormat/>
    <w:pPr>
      <w:tabs>
        <w:tab w:val="center" w:pos="4153"/>
        <w:tab w:val="right" w:pos="8306"/>
      </w:tabs>
      <w:snapToGrid w:val="0"/>
    </w:pPr>
    <w:rPr>
      <w:sz w:val="18"/>
    </w:rPr>
  </w:style>
  <w:style w:type="paragraph" w:styleId="Header">
    <w:name w:val="Header"/>
    <w:basedOn w:val="Normal"/>
    <w:autoRedefine/>
    <w:qFormat/>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table" w:styleId="TableGrid">
    <w:name w:val="Table Grid"/>
    <w:basedOn w:val="NormalTable"/>
    <w:autoRedefine/>
    <w:qFormat/>
    <w:pPr>
      <w:widowControl w:val="0"/>
      <w:jc w:val="both"/>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Comment Reference"/>
    <w:basedOn w:val="DefaultParagraphFont"/>
    <w:autoRedefine/>
    <w:qFormat/>
    <w:rPr>
      <w:sz w:val="21"/>
      <w:szCs w:val="21"/>
    </w:rPr>
  </w:style>
  <w:style w:type="character" w:customStyle="1" w:styleId="Bodytext|5_">
    <w:name w:val="Body text|5_"/>
    <w:basedOn w:val="DefaultParagraphFont"/>
    <w:link w:val="Bodytext|5"/>
    <w:autoRedefine/>
    <w:qFormat/>
    <w:rPr>
      <w:rFonts w:ascii="宋体" w:eastAsia="宋体" w:hAnsi="宋体" w:cs="宋体"/>
      <w:sz w:val="54"/>
      <w:szCs w:val="54"/>
      <w:u w:val="none"/>
      <w:shd w:val="clear" w:color="auto" w:fill="auto"/>
      <w:lang w:val="zh-TW" w:eastAsia="zh-TW" w:bidi="zh-TW"/>
    </w:rPr>
  </w:style>
  <w:style w:type="paragraph" w:customStyle="1" w:styleId="Bodytext|5">
    <w:name w:val="Body text|5"/>
    <w:basedOn w:val="Normal"/>
    <w:link w:val="Bodytext|5_"/>
    <w:autoRedefine/>
    <w:qFormat/>
    <w:pPr>
      <w:jc w:val="center"/>
    </w:pPr>
    <w:rPr>
      <w:rFonts w:ascii="宋体" w:eastAsia="宋体" w:hAnsi="宋体" w:cs="宋体"/>
      <w:sz w:val="54"/>
      <w:szCs w:val="54"/>
      <w:lang w:val="zh-TW" w:eastAsia="zh-TW" w:bidi="zh-TW"/>
    </w:rPr>
  </w:style>
  <w:style w:type="character" w:customStyle="1" w:styleId="Heading#1|1_">
    <w:name w:val="Heading #1|1_"/>
    <w:basedOn w:val="DefaultParagraphFont"/>
    <w:link w:val="Heading#1|1"/>
    <w:autoRedefine/>
    <w:qFormat/>
    <w:rPr>
      <w:rFonts w:ascii="宋体" w:eastAsia="宋体" w:hAnsi="宋体" w:cs="宋体"/>
      <w:sz w:val="44"/>
      <w:szCs w:val="44"/>
      <w:u w:val="none"/>
      <w:shd w:val="clear" w:color="auto" w:fill="auto"/>
      <w:lang w:val="zh-TW" w:eastAsia="zh-TW" w:bidi="zh-TW"/>
    </w:rPr>
  </w:style>
  <w:style w:type="paragraph" w:customStyle="1" w:styleId="Heading#1|1">
    <w:name w:val="Heading #1|1"/>
    <w:basedOn w:val="Normal"/>
    <w:link w:val="Heading#1|1_"/>
    <w:autoRedefine/>
    <w:qFormat/>
    <w:pPr>
      <w:spacing w:after="400"/>
      <w:jc w:val="center"/>
      <w:outlineLvl w:val="0"/>
    </w:pPr>
    <w:rPr>
      <w:rFonts w:ascii="宋体" w:eastAsia="宋体" w:hAnsi="宋体" w:cs="宋体"/>
      <w:sz w:val="44"/>
      <w:szCs w:val="44"/>
      <w:lang w:val="zh-TW" w:eastAsia="zh-TW" w:bidi="zh-TW"/>
    </w:rPr>
  </w:style>
  <w:style w:type="character" w:customStyle="1" w:styleId="Headerorfooter|2_">
    <w:name w:val="Header or footer|2_"/>
    <w:basedOn w:val="DefaultParagraphFont"/>
    <w:link w:val="Headerorfooter|2"/>
    <w:autoRedefine/>
    <w:qFormat/>
    <w:rPr>
      <w:sz w:val="20"/>
      <w:szCs w:val="20"/>
      <w:u w:val="none"/>
      <w:shd w:val="clear" w:color="auto" w:fill="auto"/>
      <w:lang w:val="zh-TW" w:eastAsia="zh-TW" w:bidi="zh-TW"/>
    </w:rPr>
  </w:style>
  <w:style w:type="paragraph" w:customStyle="1" w:styleId="Headerorfooter|2">
    <w:name w:val="Header or footer|2"/>
    <w:basedOn w:val="Normal"/>
    <w:link w:val="Headerorfooter|2_"/>
    <w:autoRedefine/>
    <w:qFormat/>
    <w:rPr>
      <w:sz w:val="20"/>
      <w:szCs w:val="20"/>
      <w:lang w:val="zh-TW" w:eastAsia="zh-TW" w:bidi="zh-TW"/>
    </w:rPr>
  </w:style>
  <w:style w:type="character" w:customStyle="1" w:styleId="Bodytext|2_">
    <w:name w:val="Body text|2_"/>
    <w:basedOn w:val="DefaultParagraphFont"/>
    <w:link w:val="Bodytext|2"/>
    <w:autoRedefine/>
    <w:qFormat/>
    <w:rPr>
      <w:rFonts w:ascii="宋体" w:eastAsia="宋体" w:hAnsi="宋体" w:cs="宋体"/>
      <w:sz w:val="32"/>
      <w:szCs w:val="32"/>
      <w:u w:val="none"/>
      <w:shd w:val="clear" w:color="auto" w:fill="auto"/>
      <w:lang w:val="zh-TW" w:eastAsia="zh-TW" w:bidi="zh-TW"/>
    </w:rPr>
  </w:style>
  <w:style w:type="paragraph" w:customStyle="1" w:styleId="Bodytext|2">
    <w:name w:val="Body text|2"/>
    <w:basedOn w:val="Normal"/>
    <w:link w:val="Bodytext|2_"/>
    <w:autoRedefine/>
    <w:qFormat/>
    <w:pPr>
      <w:spacing w:after="240"/>
      <w:ind w:firstLine="560"/>
    </w:pPr>
    <w:rPr>
      <w:rFonts w:ascii="宋体" w:eastAsia="宋体" w:hAnsi="宋体" w:cs="宋体"/>
      <w:sz w:val="32"/>
      <w:szCs w:val="32"/>
      <w:lang w:val="zh-TW" w:eastAsia="zh-TW" w:bidi="zh-TW"/>
    </w:rPr>
  </w:style>
  <w:style w:type="character" w:customStyle="1" w:styleId="Bodytext|1_">
    <w:name w:val="Body text|1_"/>
    <w:basedOn w:val="DefaultParagraphFont"/>
    <w:link w:val="Bodytext|1"/>
    <w:autoRedefine/>
    <w:qFormat/>
    <w:rPr>
      <w:rFonts w:ascii="宋体" w:eastAsia="宋体" w:hAnsi="宋体" w:cs="宋体"/>
      <w:sz w:val="28"/>
      <w:szCs w:val="28"/>
      <w:u w:val="none"/>
      <w:shd w:val="clear" w:color="auto" w:fill="auto"/>
      <w:lang w:val="zh-TW" w:eastAsia="zh-TW" w:bidi="zh-TW"/>
    </w:rPr>
  </w:style>
  <w:style w:type="paragraph" w:customStyle="1" w:styleId="Bodytext|1">
    <w:name w:val="Body text|1"/>
    <w:basedOn w:val="Normal"/>
    <w:link w:val="Bodytext|1_"/>
    <w:autoRedefine/>
    <w:qFormat/>
    <w:pPr>
      <w:spacing w:line="468" w:lineRule="auto"/>
      <w:ind w:firstLine="400"/>
    </w:pPr>
    <w:rPr>
      <w:rFonts w:ascii="宋体" w:eastAsia="宋体" w:hAnsi="宋体" w:cs="宋体"/>
      <w:sz w:val="28"/>
      <w:szCs w:val="28"/>
      <w:lang w:val="zh-TW" w:eastAsia="zh-TW" w:bidi="zh-TW"/>
    </w:rPr>
  </w:style>
  <w:style w:type="character" w:customStyle="1" w:styleId="Headerorfooter|1_">
    <w:name w:val="Header or footer|1_"/>
    <w:basedOn w:val="DefaultParagraphFont"/>
    <w:link w:val="Headerorfooter|1"/>
    <w:autoRedefine/>
    <w:qFormat/>
    <w:rPr>
      <w:b/>
      <w:bCs/>
      <w:sz w:val="17"/>
      <w:szCs w:val="17"/>
      <w:u w:val="none"/>
      <w:shd w:val="clear" w:color="auto" w:fill="auto"/>
      <w:lang w:val="zh-TW" w:eastAsia="zh-TW" w:bidi="zh-TW"/>
    </w:rPr>
  </w:style>
  <w:style w:type="paragraph" w:customStyle="1" w:styleId="Headerorfooter|1">
    <w:name w:val="Header or footer|1"/>
    <w:basedOn w:val="Normal"/>
    <w:link w:val="Headerorfooter|1_"/>
    <w:autoRedefine/>
    <w:qFormat/>
    <w:rPr>
      <w:b/>
      <w:bCs/>
      <w:sz w:val="17"/>
      <w:szCs w:val="17"/>
      <w:lang w:val="zh-TW" w:eastAsia="zh-TW" w:bidi="zh-TW"/>
    </w:rPr>
  </w:style>
  <w:style w:type="character" w:customStyle="1" w:styleId="Heading#2|1_">
    <w:name w:val="Heading #2|1_"/>
    <w:basedOn w:val="DefaultParagraphFont"/>
    <w:link w:val="Heading#2|1"/>
    <w:autoRedefine/>
    <w:qFormat/>
    <w:rPr>
      <w:rFonts w:ascii="宋体" w:eastAsia="宋体" w:hAnsi="宋体" w:cs="宋体"/>
      <w:sz w:val="26"/>
      <w:szCs w:val="26"/>
      <w:u w:val="none"/>
      <w:shd w:val="clear" w:color="auto" w:fill="auto"/>
      <w:lang w:val="zh-TW" w:eastAsia="zh-TW" w:bidi="zh-TW"/>
    </w:rPr>
  </w:style>
  <w:style w:type="paragraph" w:customStyle="1" w:styleId="Heading#2|1">
    <w:name w:val="Heading #2|1"/>
    <w:basedOn w:val="Normal"/>
    <w:link w:val="Heading#2|1_"/>
    <w:autoRedefine/>
    <w:qFormat/>
    <w:pPr>
      <w:spacing w:after="230"/>
      <w:jc w:val="center"/>
      <w:outlineLvl w:val="1"/>
    </w:pPr>
    <w:rPr>
      <w:rFonts w:ascii="宋体" w:eastAsia="宋体" w:hAnsi="宋体" w:cs="宋体"/>
      <w:sz w:val="26"/>
      <w:szCs w:val="26"/>
      <w:lang w:val="zh-TW" w:eastAsia="zh-TW" w:bidi="zh-TW"/>
    </w:rPr>
  </w:style>
  <w:style w:type="character" w:customStyle="1" w:styleId="Other|1_">
    <w:name w:val="Other|1_"/>
    <w:basedOn w:val="DefaultParagraphFont"/>
    <w:link w:val="Other|1"/>
    <w:autoRedefine/>
    <w:qFormat/>
    <w:rPr>
      <w:rFonts w:ascii="宋体" w:eastAsia="宋体" w:hAnsi="宋体" w:cs="宋体"/>
      <w:sz w:val="28"/>
      <w:szCs w:val="28"/>
      <w:u w:val="none"/>
      <w:shd w:val="clear" w:color="auto" w:fill="auto"/>
      <w:lang w:val="zh-TW" w:eastAsia="zh-TW" w:bidi="zh-TW"/>
    </w:rPr>
  </w:style>
  <w:style w:type="paragraph" w:customStyle="1" w:styleId="Other|1">
    <w:name w:val="Other|1"/>
    <w:basedOn w:val="Normal"/>
    <w:link w:val="Other|1_"/>
    <w:autoRedefine/>
    <w:qFormat/>
    <w:pPr>
      <w:spacing w:line="468" w:lineRule="auto"/>
      <w:ind w:firstLine="400"/>
    </w:pPr>
    <w:rPr>
      <w:rFonts w:ascii="宋体" w:eastAsia="宋体" w:hAnsi="宋体" w:cs="宋体"/>
      <w:sz w:val="28"/>
      <w:szCs w:val="28"/>
      <w:lang w:val="zh-TW" w:eastAsia="zh-TW" w:bidi="zh-TW"/>
    </w:rPr>
  </w:style>
  <w:style w:type="character" w:customStyle="1" w:styleId="Tablecaption|1_">
    <w:name w:val="Table caption|1_"/>
    <w:basedOn w:val="DefaultParagraphFont"/>
    <w:link w:val="Tablecaption|1"/>
    <w:autoRedefine/>
    <w:qFormat/>
    <w:rPr>
      <w:rFonts w:ascii="宋体" w:eastAsia="宋体" w:hAnsi="宋体" w:cs="宋体"/>
      <w:sz w:val="17"/>
      <w:szCs w:val="17"/>
      <w:u w:val="none"/>
      <w:shd w:val="clear" w:color="auto" w:fill="auto"/>
      <w:lang w:val="zh-TW" w:eastAsia="zh-TW" w:bidi="zh-TW"/>
    </w:rPr>
  </w:style>
  <w:style w:type="paragraph" w:customStyle="1" w:styleId="Tablecaption|1">
    <w:name w:val="Table caption|1"/>
    <w:basedOn w:val="Normal"/>
    <w:link w:val="Tablecaption|1_"/>
    <w:autoRedefine/>
    <w:qFormat/>
    <w:rPr>
      <w:rFonts w:ascii="宋体" w:eastAsia="宋体" w:hAnsi="宋体" w:cs="宋体"/>
      <w:sz w:val="17"/>
      <w:szCs w:val="17"/>
      <w:lang w:val="zh-TW" w:eastAsia="zh-TW" w:bidi="zh-TW"/>
    </w:rPr>
  </w:style>
  <w:style w:type="character" w:customStyle="1" w:styleId="Bodytext|4_">
    <w:name w:val="Body text|4_"/>
    <w:basedOn w:val="DefaultParagraphFont"/>
    <w:link w:val="Bodytext|4"/>
    <w:autoRedefine/>
    <w:qFormat/>
    <w:rPr>
      <w:rFonts w:ascii="宋体" w:eastAsia="宋体" w:hAnsi="宋体" w:cs="宋体"/>
      <w:sz w:val="17"/>
      <w:szCs w:val="17"/>
      <w:u w:val="none"/>
      <w:shd w:val="clear" w:color="auto" w:fill="auto"/>
      <w:lang w:val="zh-TW" w:eastAsia="zh-TW" w:bidi="zh-TW"/>
    </w:rPr>
  </w:style>
  <w:style w:type="paragraph" w:customStyle="1" w:styleId="Bodytext|4">
    <w:name w:val="Body text|4"/>
    <w:basedOn w:val="Normal"/>
    <w:link w:val="Bodytext|4_"/>
    <w:autoRedefine/>
    <w:qFormat/>
    <w:pPr>
      <w:ind w:firstLine="680"/>
    </w:pPr>
    <w:rPr>
      <w:rFonts w:ascii="宋体" w:eastAsia="宋体" w:hAnsi="宋体" w:cs="宋体"/>
      <w:sz w:val="17"/>
      <w:szCs w:val="17"/>
      <w:lang w:val="zh-TW" w:eastAsia="zh-TW" w:bidi="zh-TW"/>
    </w:rPr>
  </w:style>
  <w:style w:type="character" w:customStyle="1" w:styleId="Bodytext|3_">
    <w:name w:val="Body text|3_"/>
    <w:basedOn w:val="DefaultParagraphFont"/>
    <w:link w:val="Bodytext|3"/>
    <w:autoRedefine/>
    <w:qFormat/>
    <w:rPr>
      <w:sz w:val="30"/>
      <w:szCs w:val="30"/>
      <w:u w:val="none"/>
      <w:shd w:val="clear" w:color="auto" w:fill="auto"/>
      <w:lang w:val="zh-TW" w:eastAsia="zh-TW" w:bidi="zh-TW"/>
    </w:rPr>
  </w:style>
  <w:style w:type="paragraph" w:customStyle="1" w:styleId="Bodytext|3">
    <w:name w:val="Body text|3"/>
    <w:basedOn w:val="Normal"/>
    <w:link w:val="Bodytext|3_"/>
    <w:autoRedefine/>
    <w:qFormat/>
    <w:pPr>
      <w:spacing w:after="140" w:line="336" w:lineRule="auto"/>
      <w:ind w:firstLine="370"/>
    </w:pPr>
    <w:rPr>
      <w:sz w:val="30"/>
      <w:szCs w:val="30"/>
      <w:lang w:val="zh-TW" w:eastAsia="zh-TW" w:bidi="zh-TW"/>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charts/chart3.xml" Type="http://schemas.openxmlformats.org/officeDocument/2006/relationships/chart"/><Relationship Id="rId11" Target="charts/chart4.xml" Type="http://schemas.openxmlformats.org/officeDocument/2006/relationships/chart"/><Relationship Id="rId12" Target="charts/chart5.xml" Type="http://schemas.openxmlformats.org/officeDocument/2006/relationships/chart"/><Relationship Id="rId13" Target="charts/chart6.xml" Type="http://schemas.openxmlformats.org/officeDocument/2006/relationships/chart"/><Relationship Id="rId14" Target="header2.xml" Type="http://schemas.openxmlformats.org/officeDocument/2006/relationships/header"/><Relationship Id="rId15" Target="footer3.xml" Type="http://schemas.openxmlformats.org/officeDocument/2006/relationships/footer"/><Relationship Id="rId16" Target="header3.xml" Type="http://schemas.openxmlformats.org/officeDocument/2006/relationships/header"/><Relationship Id="rId17" Target="footer4.xml" Type="http://schemas.openxmlformats.org/officeDocument/2006/relationships/footer"/><Relationship Id="rId18" Target="header4.xml" Type="http://schemas.openxmlformats.org/officeDocument/2006/relationships/header"/><Relationship Id="rId19" Target="footer5.xml" Type="http://schemas.openxmlformats.org/officeDocument/2006/relationships/footer"/><Relationship Id="rId2" Target="../customXml/item2.xml" Type="http://schemas.openxmlformats.org/officeDocument/2006/relationships/customXml"/><Relationship Id="rId20" Target="header5.xml" Type="http://schemas.openxmlformats.org/officeDocument/2006/relationships/header"/><Relationship Id="rId21" Target="footer6.xml" Type="http://schemas.openxmlformats.org/officeDocument/2006/relationships/footer"/><Relationship Id="rId22" Target="header6.xml" Type="http://schemas.openxmlformats.org/officeDocument/2006/relationships/header"/><Relationship Id="rId23" Target="footer7.xml" Type="http://schemas.openxmlformats.org/officeDocument/2006/relationships/footer"/><Relationship Id="rId24" Target="theme/theme1.xml" Type="http://schemas.openxmlformats.org/officeDocument/2006/relationships/theme"/><Relationship Id="rId25" Target="styles.xml" Type="http://schemas.openxmlformats.org/officeDocument/2006/relationships/styles"/><Relationship Id="rId26" Target="webSettings.xml" Type="http://schemas.openxmlformats.org/officeDocument/2006/relationships/webSettings"/><Relationship Id="rId27" Target="numbering.xml" Type="http://schemas.openxmlformats.org/officeDocument/2006/relationships/numbering"/><Relationship Id="rId28" Target="fontTable.xml" Type="http://schemas.openxmlformats.org/officeDocument/2006/relationships/fontTable"/><Relationship Id="rId29" Target="settings.xml" Type="http://schemas.openxmlformats.org/officeDocument/2006/relationships/settings"/><Relationship Id="rId3" Target="../customXml/item3.xml" Type="http://schemas.openxmlformats.org/officeDocument/2006/relationships/customXml"/><Relationship Id="rId4" Target="../customXml/item4.xml" Type="http://schemas.openxmlformats.org/officeDocument/2006/relationships/customXml"/><Relationship Id="rId5" Target="header1.xml" Type="http://schemas.openxmlformats.org/officeDocument/2006/relationships/header"/><Relationship Id="rId6" Target="footer1.xml" Type="http://schemas.openxmlformats.org/officeDocument/2006/relationships/footer"/><Relationship Id="rId7" Target="footer2.xml" Type="http://schemas.openxmlformats.org/officeDocument/2006/relationships/footer"/><Relationship Id="rId8" Target="charts/chart1.xml" Type="http://schemas.openxmlformats.org/officeDocument/2006/relationships/chart"/><Relationship Id="rId9" Target="charts/chart2.xml" Type="http://schemas.openxmlformats.org/officeDocument/2006/relationships/chart"/></Relationships>
</file>

<file path=word/charts/_rels/chart1.xml.rels><?xml version="1.0" encoding="UTF-8" standalone="yes"?><Relationships xmlns="http://schemas.openxmlformats.org/package/2006/relationships"><Relationship Id="rId1" Target="../embeddings/Microsoft_Office_Excel_Worksheet1.xlsx" Type="http://schemas.openxmlformats.org/officeDocument/2006/relationships/package"/></Relationships>
</file>

<file path=word/charts/_rels/chart2.xml.rels><?xml version="1.0" encoding="UTF-8" standalone="yes"?><Relationships xmlns="http://schemas.openxmlformats.org/package/2006/relationships"><Relationship Id="rId1" Target="../embeddings/Microsoft_Office_Excel_Worksheet2.xlsx" Type="http://schemas.openxmlformats.org/officeDocument/2006/relationships/package"/></Relationships>
</file>

<file path=word/charts/_rels/chart3.xml.rels><?xml version="1.0" encoding="UTF-8" standalone="yes"?><Relationships xmlns="http://schemas.openxmlformats.org/package/2006/relationships"><Relationship Id="rId1" Target="../embeddings/Microsoft_Office_Excel_Worksheet3.xlsx" Type="http://schemas.openxmlformats.org/officeDocument/2006/relationships/package"/></Relationships>
</file>

<file path=word/charts/_rels/chart4.xml.rels><?xml version="1.0" encoding="UTF-8" standalone="yes"?><Relationships xmlns="http://schemas.openxmlformats.org/package/2006/relationships"><Relationship Id="rId1" Target="../embeddings/Microsoft_Office_Excel_Worksheet4.xlsx" Type="http://schemas.openxmlformats.org/officeDocument/2006/relationships/package"/></Relationships>
</file>

<file path=word/charts/_rels/chart5.xml.rels><?xml version="1.0" encoding="UTF-8" standalone="yes"?><Relationships xmlns="http://schemas.openxmlformats.org/package/2006/relationships"><Relationship Id="rId1" Target="../embeddings/Microsoft_Office_Excel_Worksheet5.xlsx" Type="http://schemas.openxmlformats.org/officeDocument/2006/relationships/package"/></Relationships>
</file>

<file path=word/charts/_rels/chart6.xml.rels><?xml version="1.0" encoding="UTF-8" standalone="yes"?><Relationships xmlns="http://schemas.openxmlformats.org/package/2006/relationships"><Relationship Id="rId1" Target="../embeddings/Microsoft_Office_Excel_Worksheet6.xlsx" Type="http://schemas.openxmlformats.org/officeDocument/2006/relationships/package"/></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部门收入总体情况</a:t>
            </a:r>
            <a:endParaRPr lang="en-US" sz="1100"/>
          </a:p>
        </c:rich>
      </c:tx>
      <c:layout/>
      <c:overlay val="0"/>
      <c:spPr>
        <a:noFill/>
        <a:ln>
          <a:noFill/>
        </a:ln>
        <a:effectLst/>
      </c:spPr>
    </c:title>
    <c:autoTitleDeleted val="0"/>
    <c:plotArea>
      <c:layout/>
      <c:pieChart>
        <c:varyColors val="1"/>
        <c:ser>
          <c:idx val="0"/>
          <c:order val="0"/>
          <c:tx>
            <c:strRef>
              <c:f>Sheet1!$B$1</c:f>
              <c:strCache>
                <c:ptCount val="1"/>
                <c:pt idx="0">
                  <c:v>countries</c:v>
                </c:pt>
              </c:strCache>
            </c:strRef>
          </c:tx>
          <c:explosion val="0"/>
          <c:dPt>
            <c:idx val="0"/>
            <c:bubble3D val="0"/>
            <c:spPr>
              <a:solidFill>
                <a:schemeClr val="accent1"/>
              </a:solidFill>
              <a:ln w="19050">
                <a:solidFill>
                  <a:schemeClr val="lt1"/>
                </a:solidFill>
              </a:ln>
              <a:effectLst/>
            </c:spPr>
          </c:dPt>
          <c:dLbls>
            <c:delete val="1"/>
          </c:dLbls>
          <c:cat>
            <c:strRef>
              <c:f>Sheet1!$A$2</c:f>
              <c:strCache>
                <c:ptCount val="1"/>
                <c:pt idx="0">
                  <c:v>一般公共预算拨款</c:v>
                </c:pt>
              </c:strCache>
            </c:strRef>
          </c:cat>
          <c:val>
            <c:numRef>
              <c:f>Sheet1!$B$2</c:f>
              <c:numCache>
                <c:ptCount val="1"/>
                <c:pt idx="0">
                  <c:v>1489.19</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部门支出总体情况</a:t>
            </a:r>
            <a:endParaRPr lang="en-US" sz="1100"/>
          </a:p>
        </c:rich>
      </c:tx>
      <c:layout/>
      <c:overlay val="0"/>
      <c:spPr>
        <a:noFill/>
        <a:ln>
          <a:noFill/>
        </a:ln>
        <a:effectLst/>
      </c:spPr>
    </c:title>
    <c:autoTitleDeleted val="0"/>
    <c:plotArea>
      <c:layout/>
      <c:pieChart>
        <c:varyColors val="1"/>
        <c:ser>
          <c:idx val="0"/>
          <c:order val="0"/>
          <c:tx>
            <c:strRef>
              <c:f>Sheet1!$B$1</c:f>
              <c:strCache>
                <c:ptCount val="1"/>
                <c:pt idx="0">
                  <c:v>countries</c:v>
                </c:pt>
              </c:strCache>
            </c:strRef>
          </c:tx>
          <c:explosion val="0"/>
          <c:dPt>
            <c:idx val="0"/>
            <c:bubble3D val="0"/>
            <c:spPr>
              <a:solidFill>
                <a:schemeClr val="accent1"/>
              </a:solidFill>
              <a:ln w="19050">
                <a:solidFill>
                  <a:schemeClr val="lt1"/>
                </a:solidFill>
              </a:ln>
              <a:effectLst/>
            </c:spPr>
          </c:dPt>
          <c:dLbls>
            <c:delete val="1"/>
          </c:dLbls>
          <c:cat>
            <c:strRef>
              <c:f>Sheet1!$A$2:$A$5</c:f>
              <c:strCache>
                <c:ptCount val="4"/>
                <c:pt idx="0">
                  <c:v>一般公共服务支出</c:v>
                </c:pt>
                <c:pt idx="1">
                  <c:v>教育支出</c:v>
                </c:pt>
                <c:pt idx="2">
                  <c:v>社会保障和就业支出</c:v>
                </c:pt>
                <c:pt idx="3">
                  <c:v>住房保障支出</c:v>
                </c:pt>
              </c:strCache>
            </c:strRef>
          </c:cat>
          <c:val>
            <c:numRef>
              <c:f>Sheet1!$B$2:$B$5</c:f>
              <c:numCache>
                <c:ptCount val="4"/>
                <c:pt idx="0">
                  <c:v>20.77</c:v>
                </c:pt>
                <c:pt idx="1">
                  <c:v>1107.12</c:v>
                </c:pt>
                <c:pt idx="2">
                  <c:v>166.17</c:v>
                </c:pt>
                <c:pt idx="3">
                  <c:v>141.18</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财政拨款收支总体情况</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上年</c:v>
                </c:pt>
              </c:strCache>
            </c:strRef>
          </c:tx>
          <c:spPr>
            <a:solidFill>
              <a:schemeClr val="accent1"/>
            </a:solidFill>
            <a:ln>
              <a:noFill/>
            </a:ln>
            <a:effectLst/>
          </c:spPr>
          <c:invertIfNegative val="0"/>
          <c:dLbls>
            <c:delete val="1"/>
          </c:dLbls>
          <c:cat>
            <c:strRef>
              <c:f>Sheet1!$A$2</c:f>
              <c:strCache>
                <c:ptCount val="1"/>
                <c:pt idx="0">
                  <c:v>收入</c:v>
                </c:pt>
              </c:strCache>
            </c:strRef>
          </c:cat>
          <c:val>
            <c:numRef>
              <c:f>Sheet1!$B$2</c:f>
              <c:numCache>
                <c:formatCode>General</c:formatCode>
                <c:ptCount val="1"/>
                <c:pt idx="0">
                  <c:v>1057.58</c:v>
                </c:pt>
              </c:numCache>
            </c:numRef>
          </c:val>
        </c:ser>
        <c:ser>
          <c:idx val="1"/>
          <c:order val="1"/>
          <c:tx>
            <c:strRef>
              <c:f>Sheet1!$C$1</c:f>
              <c:strCache>
                <c:ptCount val="1"/>
                <c:pt idx="0">
                  <c:v>当年</c:v>
                </c:pt>
              </c:strCache>
            </c:strRef>
          </c:tx>
          <c:spPr>
            <a:solidFill>
              <a:schemeClr val="accent2"/>
            </a:solidFill>
            <a:ln>
              <a:noFill/>
            </a:ln>
            <a:effectLst/>
          </c:spPr>
          <c:invertIfNegative val="0"/>
          <c:dLbls>
            <c:delete val="1"/>
          </c:dLbls>
          <c:cat>
            <c:strRef>
              <c:f>Sheet1!$A$2</c:f>
              <c:strCache>
                <c:ptCount val="1"/>
                <c:pt idx="0">
                  <c:v>收入</c:v>
                </c:pt>
              </c:strCache>
            </c:strRef>
          </c:cat>
          <c:val>
            <c:numRef>
              <c:f>Sheet1!$C$2</c:f>
              <c:numCache>
                <c:formatCode>General</c:formatCode>
                <c:ptCount val="1"/>
                <c:pt idx="0">
                  <c:v>1489.19</c:v>
                </c:pt>
              </c:numCache>
            </c:numRef>
          </c:val>
        </c:ser>
        <c:dLbls>
          <c:showLegendKey val="0"/>
          <c:showVal val="0"/>
          <c:showCatName val="0"/>
          <c:showSerName val="0"/>
          <c:showPercent val="0"/>
          <c:showBubbleSize val="0"/>
        </c:dLbls>
        <c:gapWidth val="219"/>
        <c:overlap val="-27"/>
        <c:axId val="811850650"/>
        <c:axId val="698020238"/>
      </c:barChart>
      <c:catAx>
        <c:axId val="81185065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98020238"/>
        <c:crosses val="autoZero"/>
        <c:auto val="1"/>
        <c:lblAlgn val="ctr"/>
        <c:lblOffset val="100"/>
        <c:noMultiLvlLbl val="0"/>
      </c:catAx>
      <c:valAx>
        <c:axId val="69802023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11850650"/>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nchor="t" rtlCol="false"/>
          <a:lstStyle/>
          <a:p>
            <a:pPr algn="l">
              <a:defRPr/>
            </a:pPr>
            <a:r>
              <a:rPr lang="zh-CN"/>
              <a:t>一般公共预算支出情况</a:t>
            </a:r>
            <a:endParaRPr lang="en-US" sz="1100"/>
          </a:p>
        </c:rich>
      </c:tx>
      <c:layout/>
      <c:overlay val="false"/>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barChart>
        <c:barDir val="bar"/>
        <c:grouping val="clustered"/>
        <c:varyColors val="0"/>
        <c:ser>
          <c:idx val="0"/>
          <c:order val="0"/>
          <c:tx>
            <c:strRef>
              <c:f>Sheet1!$B$1</c:f>
              <c:strCache>
                <c:ptCount val="1"/>
                <c:pt idx="0">
                  <c:v>基本支出</c:v>
                </c:pt>
              </c:strCache>
            </c:strRef>
          </c:tx>
          <c:spPr>
            <a:solidFill>
              <a:schemeClr val="accent1"/>
            </a:solidFill>
            <a:ln>
              <a:noFill/>
            </a:ln>
            <a:effectLst/>
          </c:spPr>
          <c:invertIfNegative val="0"/>
          <c:dLbls>
            <c:delete val="1"/>
          </c:dLbls>
          <c:cat>
            <c:strRef>
              <c:f>Sheet1!$A$2</c:f>
              <c:strCache>
                <c:ptCount val="1"/>
                <c:pt idx="0">
                  <c:v>当年</c:v>
                </c:pt>
              </c:strCache>
            </c:strRef>
          </c:cat>
          <c:val>
            <c:numRef>
              <c:f>Sheet1!$B$2</c:f>
              <c:numCache>
                <c:formatCode>General</c:formatCode>
                <c:ptCount val="1"/>
                <c:pt idx="0">
                  <c:v>1404.64</c:v>
                </c:pt>
              </c:numCache>
            </c:numRef>
          </c:val>
        </c:ser>
        <c:ser>
          <c:idx val="1"/>
          <c:order val="1"/>
          <c:tx>
            <c:strRef>
              <c:f>Sheet1!$C$1</c:f>
              <c:strCache>
                <c:ptCount val="1"/>
                <c:pt idx="0">
                  <c:v>结转下年支出</c:v>
                </c:pt>
              </c:strCache>
            </c:strRef>
          </c:tx>
          <c:cat>
            <c:strRef>
              <c:f>Sheet1!$A$2</c:f>
              <c:strCache>
                <c:ptCount val="1"/>
                <c:pt idx="0">
                  <c:v>当年</c:v>
                </c:pt>
              </c:strCache>
            </c:strRef>
          </c:cat>
          <c:val>
            <c:numRef>
              <c:f>Sheet1!$C$2</c:f>
              <c:numCache>
                <c:ptCount val="1"/>
                <c:pt idx="0">
                  <c:v>0.0</c:v>
                </c:pt>
              </c:numCache>
            </c:numRef>
          </c:val>
        </c:ser>
        <c:ser>
          <c:idx val="2"/>
          <c:order val="2"/>
          <c:tx>
            <c:strRef>
              <c:f>Sheet1!$D$1</c:f>
              <c:strCache>
                <c:ptCount val="1"/>
                <c:pt idx="0">
                  <c:v>项目支出</c:v>
                </c:pt>
              </c:strCache>
            </c:strRef>
          </c:tx>
          <c:cat>
            <c:strRef>
              <c:f>Sheet1!$A$2</c:f>
              <c:strCache>
                <c:ptCount val="1"/>
                <c:pt idx="0">
                  <c:v>当年</c:v>
                </c:pt>
              </c:strCache>
            </c:strRef>
          </c:cat>
          <c:val>
            <c:numRef>
              <c:f>Sheet1!$D$2</c:f>
              <c:numCache>
                <c:ptCount val="1"/>
                <c:pt idx="0">
                  <c:v>30.6</c:v>
                </c:pt>
              </c:numCache>
            </c:numRef>
          </c:val>
        </c:ser>
        <c:ser>
          <c:idx val="3"/>
          <c:order val="3"/>
          <c:tx>
            <c:strRef>
              <c:f>Sheet1!$E$1</c:f>
              <c:strCache>
                <c:ptCount val="1"/>
                <c:pt idx="0">
                  <c:v>公用经费</c:v>
                </c:pt>
              </c:strCache>
            </c:strRef>
          </c:tx>
          <c:cat>
            <c:strRef>
              <c:f>Sheet1!$A$2</c:f>
              <c:strCache>
                <c:ptCount val="1"/>
                <c:pt idx="0">
                  <c:v>当年</c:v>
                </c:pt>
              </c:strCache>
            </c:strRef>
          </c:cat>
          <c:val>
            <c:numRef>
              <c:f>Sheet1!$E$2</c:f>
              <c:numCache>
                <c:ptCount val="1"/>
                <c:pt idx="0">
                  <c:v>20.77</c:v>
                </c:pt>
              </c:numCache>
            </c:numRef>
          </c:val>
        </c:ser>
        <c:ser>
          <c:idx val="4"/>
          <c:order val="4"/>
          <c:tx>
            <c:strRef>
              <c:f>Sheet1!$F$1</c:f>
              <c:strCache>
                <c:ptCount val="1"/>
                <c:pt idx="0">
                  <c:v>人员经费</c:v>
                </c:pt>
              </c:strCache>
            </c:strRef>
          </c:tx>
          <c:cat>
            <c:strRef>
              <c:f>Sheet1!$A$2</c:f>
              <c:strCache>
                <c:ptCount val="1"/>
                <c:pt idx="0">
                  <c:v>当年</c:v>
                </c:pt>
              </c:strCache>
            </c:strRef>
          </c:cat>
          <c:val>
            <c:numRef>
              <c:f>Sheet1!$F$2</c:f>
              <c:numCache>
                <c:ptCount val="1"/>
                <c:pt idx="0">
                  <c:v>1383.87</c:v>
                </c:pt>
              </c:numCache>
            </c:numRef>
          </c:val>
        </c:ser>
        <c:dLbls>
          <c:showLegendKey val="0"/>
          <c:showVal val="0"/>
          <c:showCatName val="0"/>
          <c:showSerName val="0"/>
          <c:showPercent val="0"/>
          <c:showBubbleSize val="0"/>
        </c:dLbls>
        <c:gapWidth val="182"/>
        <c:overlap val="0"/>
        <c:axId val="691519273"/>
        <c:axId val="850134922"/>
      </c:barChart>
      <c:catAx>
        <c:axId val="691519273"/>
        <c:scaling>
          <c:orientation val="minMax"/>
        </c:scaling>
        <c:delete val="1"/>
        <c:axPos val="l"/>
        <c:majorTickMark val="none"/>
        <c:minorTickMark val="none"/>
        <c:tickLblPos val="nextTo"/>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50134922"/>
        <c:crosses val="autoZero"/>
        <c:auto val="1"/>
        <c:lblAlgn val="ctr"/>
        <c:lblOffset val="100"/>
        <c:noMultiLvlLbl val="0"/>
      </c:catAx>
      <c:valAx>
        <c:axId val="850134922"/>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91519273"/>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nchor="t" rtlCol="false"/>
          <a:lstStyle/>
          <a:p>
            <a:pPr algn="l">
              <a:defRPr/>
            </a:pPr>
            <a:r>
              <a:rPr lang="zh-CN"/>
              <a:t>一般公共预算基本支出情况</a:t>
            </a:r>
            <a:endParaRPr lang="en-US" sz="1100"/>
          </a:p>
        </c:rich>
      </c:tx>
      <c:layout/>
      <c:overlay val="false"/>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pieChart>
        <c:varyColors val="1"/>
        <c:ser>
          <c:idx val="0"/>
          <c:order val="0"/>
          <c:tx>
            <c:strRef>
              <c:f>Sheet1!$B$1</c:f>
              <c:strCache>
                <c:ptCount val="1"/>
                <c:pt idx="0">
                  <c:v>countries</c:v>
                </c:pt>
              </c:strCache>
            </c:strRef>
          </c:tx>
          <c:spPr/>
          <c:explosion val="0"/>
          <c:dPt>
            <c:idx val="0"/>
            <c:bubble3D val="0"/>
            <c:spPr>
              <a:solidFill>
                <a:schemeClr val="accent1"/>
              </a:solidFill>
              <a:ln w="19050">
                <a:solidFill>
                  <a:schemeClr val="lt1"/>
                </a:solidFill>
              </a:ln>
              <a:effectLst/>
            </c:spPr>
          </c:dPt>
          <c:dLbls>
            <c:delete val="1"/>
          </c:dLbls>
          <c:cat>
            <c:strRef>
              <c:f>Sheet1!$A$2:$A$3</c:f>
              <c:strCache>
                <c:ptCount val="2"/>
                <c:pt idx="0">
                  <c:v>人员经费</c:v>
                </c:pt>
                <c:pt idx="1">
                  <c:v>公用经费</c:v>
                </c:pt>
              </c:strCache>
            </c:strRef>
          </c:cat>
          <c:val>
            <c:numRef>
              <c:f>Sheet1!$B$2:$B$3</c:f>
              <c:numCache>
                <c:ptCount val="2"/>
                <c:pt idx="0">
                  <c:v>1383.87</c:v>
                </c:pt>
                <c:pt idx="1">
                  <c:v>20.77</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一般公共预算“三公”经费安排情况</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上年</c:v>
                </c:pt>
              </c:strCache>
            </c:strRef>
          </c:tx>
          <c:spPr>
            <a:solidFill>
              <a:schemeClr val="accent1"/>
            </a:solidFill>
            <a:ln>
              <a:noFill/>
            </a:ln>
            <a:effectLst/>
          </c:spPr>
          <c:invertIfNegative val="0"/>
          <c:dLbls>
            <c:delete val="1"/>
          </c:dLbls>
          <c:cat>
            <c:strRef>
              <c:f>Sheet1!$A$2:$A$4</c:f>
              <c:strCache>
                <c:ptCount val="3"/>
                <c:pt idx="0">
                  <c:v>因公出国（境）经费预算</c:v>
                </c:pt>
                <c:pt idx="1">
                  <c:v>公务接待费预算</c:v>
                </c:pt>
                <c:pt idx="2">
                  <c:v>公务用车购置及运行费预算</c:v>
                </c:pt>
              </c:strCache>
            </c:strRef>
          </c:cat>
          <c:val>
            <c:numRef>
              <c:f>Sheet1!$B$2:$B$4</c:f>
              <c:numCache>
                <c:formatCode>General</c:formatCode>
                <c:ptCount val="3"/>
                <c:pt idx="0">
                  <c:v>0.0</c:v>
                </c:pt>
                <c:pt idx="1">
                  <c:v>0.0</c:v>
                </c:pt>
                <c:pt idx="2">
                  <c:v>0.0</c:v>
                </c:pt>
              </c:numCache>
            </c:numRef>
          </c:val>
        </c:ser>
        <c:ser>
          <c:idx val="1"/>
          <c:order val="1"/>
          <c:tx>
            <c:strRef>
              <c:f>Sheet1!$C$1</c:f>
              <c:strCache>
                <c:ptCount val="1"/>
                <c:pt idx="0">
                  <c:v>当年</c:v>
                </c:pt>
              </c:strCache>
            </c:strRef>
          </c:tx>
          <c:invertIfNegative val="0"/>
          <c:dLbls>
            <c:delete val="1"/>
          </c:dLbls>
          <c:cat>
            <c:strRef>
              <c:f>Sheet1!$A$2:$A$4</c:f>
              <c:strCache>
                <c:ptCount val="3"/>
                <c:pt idx="0">
                  <c:v>因公出国（境）经费预算</c:v>
                </c:pt>
                <c:pt idx="1">
                  <c:v>公务接待费预算</c:v>
                </c:pt>
                <c:pt idx="2">
                  <c:v>公务用车购置及运行费预算</c:v>
                </c:pt>
              </c:strCache>
            </c:strRef>
          </c:cat>
          <c:val>
            <c:numRef>
              <c:f>Sheet1!$C$2:$C$4</c:f>
              <c:numCache>
                <c:formatCode>General</c:formatCode>
                <c:ptCount val="3"/>
                <c:pt idx="0">
                  <c:v>0.0</c:v>
                </c:pt>
                <c:pt idx="1">
                  <c:v>0.0</c:v>
                </c:pt>
                <c:pt idx="2">
                  <c:v>0.0</c:v>
                </c:pt>
              </c:numCache>
            </c:numRef>
          </c:val>
        </c:ser>
        <c:dLbls>
          <c:showLegendKey val="0"/>
          <c:showVal val="0"/>
          <c:showCatName val="0"/>
          <c:showSerName val="0"/>
          <c:showPercent val="0"/>
          <c:showBubbleSize val="0"/>
        </c:dLbls>
        <c:gapWidth val="182"/>
        <c:overlap val="0"/>
        <c:axId val="587647791"/>
        <c:axId val="468612210"/>
      </c:barChart>
      <c:catAx>
        <c:axId val="587647791"/>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68612210"/>
        <c:crosses val="autoZero"/>
        <c:auto val="1"/>
        <c:lblAlgn val="ctr"/>
        <c:lblOffset val="100"/>
        <c:noMultiLvlLbl val="0"/>
      </c:catAx>
      <c:valAx>
        <c:axId val="468612210"/>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87647791"/>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cp:coreProperties xmlns:cp="http://schemas.openxmlformats.org/package/2006/metadata/core-properties" xmlns:dc="http://purl.org/dc/elements/1.1/" xmlns:dcterms="http://purl.org/dc/terms/" xmlns:xsi="http://www.w3.org/2001/XMLSchema-instance">
  <dcterms:created xsi:type="dcterms:W3CDTF">2023-02-07T06:11:00Z</dcterms:created>
  <dc:creator>蔡冬冬</dc:creator>
  <cp:lastModifiedBy>A sentiment</cp:lastModifiedBy>
  <dcterms:modified xsi:type="dcterms:W3CDTF">2024-03-01T08:17:38Z</dcterms:modified>
  <cp:revision>3</cp:revision>
</cp:coreProperties>
</file>

<file path=customXml/item2.xml><?xml version="1.0" encoding="utf-8"?>
<Properties xmlns="http://schemas.openxmlformats.org/officeDocument/2006/extended-properties" xmlns:vt="http://schemas.openxmlformats.org/officeDocument/2006/docPropsVTypes">
  <Template>Normal.dotm</Template>
  <Pages>35</Pages>
  <Words>8576</Words>
  <Characters>11046</Characters>
  <Lines>105</Lines>
  <Paragraphs>29</Paragraphs>
  <TotalTime>17</TotalTime>
  <ScaleCrop>false</ScaleCrop>
  <LinksUpToDate>false</LinksUpToDate>
  <CharactersWithSpaces>11333</CharactersWithSpaces>
  <Application>WPS Office_12.1.0.16388_F1E327BC-269C-435d-A152-05C5408002CA</Application>
  <DocSecurity>0</DocSecurity>
</Properties>
</file>

<file path=customXml/item3.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4E3C581BBF724D7C94F9FADCFB18DEB4_13</vt:lpwstr>
  </property>
</Properties>
</file>

<file path=customXml/item4.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vt="http://schemas.openxmlformats.org/officeDocument/2006/docPropsVTypes" xmlns="http://schemas.openxmlformats.org/officeDocument/2006/extended-properties">
  <Template>Normal.dotm</Template>
  <TotalTime>17</TotalTime>
  <Pages>35</Pages>
  <Words>8576</Words>
  <Characters>11046</Characters>
  <Application>WPS Office_12.1.0.16388_F1E327BC-269C-435d-A152-05C5408002CA</Application>
  <DocSecurity>0</DocSecurity>
  <Lines>105</Lines>
  <Paragraphs>29</Paragraphs>
  <CharactersWithSpaces>11333</CharactersWithSpaces>
  <AppVersion>15.0000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2023-02-07T06:11:00Z</dcterms:created>
  <dc:creator>蔡冬冬</dc:creator>
  <cp:lastModifiedBy>A sentiment</cp:lastModifiedBy>
  <dcterms:modified xsi:type="dcterms:W3CDTF">2024-03-03T07:41:58Z</dcterms:modified>
  <cp:revision>3</cp:revision>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str>2052-12.1.0.16388</vt:lpstr>
  </property>
  <property fmtid="{D5CDD505-2E9C-101B-9397-08002B2CF9AE}" pid="3" name="ICV">
    <vt:lpstr>4E3C581BBF724D7C94F9FADCFB18DEB4_13</vt:lpstr>
  </property>
</Properties>
</file>