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环江毛南族自治县非物质文化遗产保护传承中心</w:t>
      </w:r>
    </w:p>
    <w:p>
      <w:pPr>
        <w:pStyle w:val="Bodytext|5"/>
        <w:jc w:val="center"/>
        <w:rPr>
          <w:rFonts w:eastAsia="宋体" w:eastAsiaTheme="majorEastAsia" w:hint="eastAsia"/>
          <w:sz w:val="56"/>
          <w:szCs w:val="56"/>
          <w:lang w:val="en-US" w:eastAsia="zh-CN"/>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r>
        <w:rPr>
          <w:rFonts w:ascii="宋体" w:eastAsia="宋体" w:hAnsi="宋体" w:asciiTheme="majorEastAsia" w:eastAsiaTheme="majorEastAsia" w:hAnsiTheme="majorEastAsia" w:cs="Times New Roman" w:cstheme="majorEastAsia" w:hint="eastAsia"/>
          <w:sz w:val="56"/>
          <w:szCs w:val="56"/>
          <w:lang w:val="en-US" w:eastAsia="zh-CN"/>
        </w:rPr>
        <w:t xml:space="preserve">公开</w:t>
      </w:r>
    </w:p>
    <w:p>
      <w:pPr>
        <w:pStyle w:val="Heading#1|1"/>
        <w:keepNext/>
        <w:keepLines/>
        <w:spacing w:after="240"/>
        <w:jc w:val="center"/>
      </w:pPr>
      <w:bookmarkStart w:id="0" w:name="bookmark1"/>
      <w:bookmarkStart w:id="1" w:name="bookmark2"/>
      <w:bookmarkStart w:id="2" w:name="bookmark0"/>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环江毛南族自治县非物质文化遗产保护传承中心</w:t>
      </w:r>
      <w:r>
        <w:rPr>
          <w:u w:color="auto"/>
        </w:rPr>
        <w:t xml:space="preserve">单位</w:t>
      </w:r>
      <w:r>
        <w:t xml:space="preserve">概况</w:t>
      </w:r>
    </w:p>
    <w:p>
      <w:pPr>
        <w:pStyle w:val="Bodytext|2"/>
        <w:jc w:val="left"/>
        <w:rPr>
          <w:rFonts w:hint="eastAsia"/>
          <w:b w:val="0"/>
          <w:bCs w:val="0"/>
          <w:lang w:val="en-US" w:eastAsia="zh-CN"/>
        </w:rPr>
      </w:pPr>
      <w:r>
        <w:rPr>
          <w:rFonts w:hint="eastAsia"/>
          <w:b w:val="0"/>
          <w:bCs w:val="0"/>
          <w:lang w:val="en-US" w:eastAsia="zh-CN"/>
        </w:rPr>
        <w:t xml:space="preserve">一、主要职责</w:t>
      </w:r>
    </w:p>
    <w:p>
      <w:pPr>
        <w:pStyle w:val="Bodytext|2"/>
        <w:jc w:val="left"/>
        <w:rPr>
          <w:rFonts w:hint="eastAsia"/>
          <w:b w:val="0"/>
          <w:bCs w:val="0"/>
        </w:rPr>
      </w:pPr>
      <w:r>
        <w:rPr>
          <w:rFonts w:hint="eastAsia"/>
          <w:b w:val="0"/>
          <w:bCs w:val="0"/>
          <w:lang w:val="en-US" w:eastAsia="zh-CN"/>
        </w:rPr>
        <w:t xml:space="preserve">二、</w:t>
      </w:r>
      <w:r>
        <w:rPr>
          <w:rFonts w:hint="eastAsia"/>
          <w:b w:val="0"/>
          <w:bCs w:val="0"/>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环江毛南族自治县非物质文化遗产保护传承中心</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bookmarkStart w:id="3" w:name="_GoBack"/>
      <w:bookmarkEnd w:id="3"/>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环江毛南族自治县非物质文化遗产保护传承中心</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七、一般公共预算“三公”经费支出情况表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4" w:name="bookmark14"/>
      <w:bookmarkStart w:id="5" w:name="bookmark13"/>
      <w:bookmarkStart w:id="6" w:name="bookmark12"/>
      <w:r>
        <w:rPr>
          <w:b/>
          <w:bCs/>
          <w:sz w:val="40"/>
          <w:szCs w:val="40"/>
        </w:rPr>
        <w:t xml:space="preserve">第一部分</w:t>
      </w:r>
      <w:r>
        <w:rPr>
          <w:rFonts w:hint="eastAsia"/>
          <w:b/>
          <w:bCs/>
          <w:sz w:val="40"/>
          <w:szCs w:val="40"/>
          <w:lang w:eastAsia="zh-CN"/>
        </w:rPr>
        <w:t xml:space="preserve">：</w:t>
      </w:r>
      <w:r>
        <w:rPr>
          <w:b/>
          <w:sz w:val="40"/>
          <w:u w:color="auto"/>
        </w:rPr>
        <w:t xml:space="preserve">环江毛南族自治县非物质文化遗产保护传承中心</w:t>
      </w:r>
      <w:r>
        <w:rPr>
          <w:b/>
          <w:bCs/>
          <w:sz w:val="40"/>
          <w:szCs w:val="40"/>
        </w:rPr>
        <w:t xml:space="preserve">概况</w:t>
      </w:r>
      <w:bookmarkEnd w:id="4"/>
      <w:bookmarkEnd w:id="5"/>
      <w:bookmarkEnd w:id="6"/>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保护非物质文化遗产，促进非物质文化文化遗产事业发展。非物质文化遗产普查、挖掘、抢救、研究、保护和整理；非物质文化遗产项目申报工作；舞台艺术作品创作与演出；对外文化交流和展。</w:t>
      </w:r>
    </w:p>
    <w:p>
      <w:pPr>
        <w:pStyle w:val="Bodytext|2"/>
        <w:spacing w:after="0" w:line="619" w:lineRule="exact"/>
        <w:ind w:firstLine="620"/>
        <w:jc w:val="left"/>
        <w:rPr>
          <w:rFonts w:hint="eastAsia"/>
          <w:b/>
          <w:bCs/>
          <w:lang w:val="en-US" w:eastAsia="zh-CN"/>
        </w:rPr>
      </w:pPr>
      <w:bookmarkStart w:id="7" w:name="bookmark24"/>
      <w:r>
        <w:rPr>
          <w:rFonts w:hint="eastAsia"/>
          <w:b/>
          <w:bCs/>
          <w:lang w:val="en-US" w:eastAsia="zh-CN"/>
        </w:rPr>
        <w:t xml:space="preserve">二</w:t>
      </w:r>
      <w:bookmarkEnd w:id="7"/>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环江毛南族自治县非物质文化遗产保护传承中心为财政全额拨款事业单位。</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8" w:name="bookmark69"/>
      <w:bookmarkStart w:id="9" w:name="bookmark70"/>
      <w:bookmarkStart w:id="10" w:name="bookmark68"/>
      <w:bookmarkStart w:id="11" w:name="bookmark28"/>
      <w:bookmarkStart w:id="12" w:name="bookmark27"/>
      <w:bookmarkStart w:id="13"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8"/>
      <w:bookmarkEnd w:id="9"/>
      <w:bookmarkEnd w:id="10"/>
      <w:r>
        <w:rPr>
          <w:rFonts w:hint="eastAsia"/>
          <w:b/>
          <w:bCs/>
          <w:sz w:val="40"/>
          <w:szCs w:val="40"/>
          <w:lang w:eastAsia="zh-CN"/>
        </w:rPr>
        <w:t xml:space="preserve">环江毛南族自治县非物质文化遗产保护传承中心</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4" w:name="bookmark71"/>
      <w:r>
        <w:rPr>
          <w:rFonts w:hint="eastAsia"/>
          <w:b/>
          <w:bCs/>
          <w:lang w:val="en-US" w:eastAsia="zh-CN"/>
        </w:rPr>
        <w:t xml:space="preserve">一</w:t>
      </w:r>
      <w:bookmarkEnd w:id="14"/>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564.46</w:t>
      </w:r>
      <w:r>
        <w:rPr>
          <w:rFonts w:hint="eastAsia"/>
          <w:b w:val="0"/>
          <w:bCs w:val="0"/>
          <w:sz w:val="28"/>
          <w:szCs w:val="28"/>
        </w:rPr>
        <w:t xml:space="preserve">万元，总支出</w:t>
      </w:r>
      <w:r>
        <w:rPr>
          <w:rFonts w:hint="eastAsia"/>
          <w:sz w:val="28"/>
          <w:szCs w:val="28"/>
          <w:lang w:val="en-US" w:eastAsia="zh-CN"/>
        </w:rPr>
        <w:t xml:space="preserve">564.46</w:t>
      </w:r>
      <w:r>
        <w:rPr>
          <w:rFonts w:hint="eastAsia"/>
          <w:b w:val="0"/>
          <w:bCs w:val="0"/>
          <w:sz w:val="28"/>
          <w:szCs w:val="28"/>
        </w:rPr>
        <w:t xml:space="preserve">万元。总收入较2023年度预算数</w:t>
      </w:r>
      <w:r>
        <w:rPr>
          <w:rFonts w:hint="eastAsia"/>
          <w:sz w:val="28"/>
          <w:szCs w:val="28"/>
          <w:lang w:val="en-US" w:eastAsia="zh-CN"/>
        </w:rPr>
        <w:t xml:space="preserve">521.22</w:t>
      </w:r>
      <w:r>
        <w:rPr>
          <w:rFonts w:hint="eastAsia"/>
          <w:b w:val="0"/>
          <w:bCs w:val="0"/>
          <w:sz w:val="28"/>
          <w:szCs w:val="28"/>
        </w:rPr>
        <w:t xml:space="preserve">万元，</w:t>
      </w:r>
      <w:r>
        <w:rPr>
          <w:rFonts w:hint="eastAsia"/>
          <w:sz w:val="28"/>
          <w:szCs w:val="28"/>
        </w:rPr>
        <w:t xml:space="preserve">增加43.24</w:t>
      </w:r>
      <w:r>
        <w:rPr>
          <w:rFonts w:hint="eastAsia"/>
          <w:b w:val="0"/>
          <w:bCs w:val="0"/>
          <w:sz w:val="28"/>
          <w:szCs w:val="28"/>
        </w:rPr>
        <w:t xml:space="preserve">万元，</w:t>
      </w:r>
      <w:r>
        <w:rPr>
          <w:rFonts w:hint="eastAsia"/>
          <w:sz w:val="28"/>
          <w:szCs w:val="28"/>
        </w:rPr>
        <w:t xml:space="preserve">增长8.30%</w:t>
      </w:r>
      <w:r>
        <w:rPr>
          <w:rFonts w:hint="eastAsia"/>
          <w:b w:val="0"/>
          <w:bCs w:val="0"/>
          <w:sz w:val="28"/>
          <w:szCs w:val="28"/>
        </w:rPr>
        <w:t xml:space="preserve">，主要原因是</w:t>
      </w:r>
      <w:r>
        <w:rPr>
          <w:rFonts w:hint="eastAsia"/>
          <w:highlight w:val="none"/>
          <w:lang w:val="en-US" w:eastAsia="zh-CN"/>
        </w:rPr>
        <w:t xml:space="preserve">基础性绩效工资增量增加</w:t>
      </w:r>
      <w:r>
        <w:rPr>
          <w:rFonts w:hint="eastAsia"/>
          <w:b w:val="0"/>
          <w:bCs w:val="0"/>
          <w:sz w:val="28"/>
          <w:szCs w:val="28"/>
        </w:rPr>
        <w:t xml:space="preserve">。总支出较2023年度预算数</w:t>
      </w:r>
      <w:r>
        <w:rPr>
          <w:rFonts w:hint="eastAsia"/>
          <w:sz w:val="28"/>
          <w:szCs w:val="28"/>
          <w:lang w:val="en-US" w:eastAsia="zh-CN"/>
        </w:rPr>
        <w:t xml:space="preserve">521.22</w:t>
      </w:r>
      <w:r>
        <w:rPr>
          <w:rFonts w:hint="eastAsia"/>
          <w:b w:val="0"/>
          <w:bCs w:val="0"/>
          <w:sz w:val="28"/>
          <w:szCs w:val="28"/>
        </w:rPr>
        <w:t xml:space="preserve">万元，</w:t>
      </w:r>
      <w:r>
        <w:rPr>
          <w:rFonts w:hint="eastAsia"/>
          <w:sz w:val="28"/>
          <w:szCs w:val="28"/>
        </w:rPr>
        <w:t xml:space="preserve">增加43.24</w:t>
      </w:r>
      <w:r>
        <w:rPr>
          <w:rFonts w:hint="eastAsia"/>
          <w:b w:val="0"/>
          <w:bCs w:val="0"/>
          <w:sz w:val="28"/>
          <w:szCs w:val="28"/>
        </w:rPr>
        <w:t xml:space="preserve">万元，</w:t>
      </w:r>
      <w:r>
        <w:rPr>
          <w:rFonts w:hint="eastAsia"/>
          <w:sz w:val="28"/>
          <w:szCs w:val="28"/>
        </w:rPr>
        <w:t xml:space="preserve">增长8.30%</w:t>
      </w:r>
      <w:r>
        <w:rPr>
          <w:rFonts w:hint="eastAsia"/>
          <w:b w:val="0"/>
          <w:bCs w:val="0"/>
          <w:sz w:val="28"/>
          <w:szCs w:val="28"/>
        </w:rPr>
        <w:t xml:space="preserve">，主要原因是</w:t>
      </w:r>
      <w:r>
        <w:rPr>
          <w:rFonts w:hint="eastAsia"/>
          <w:highlight w:val="none"/>
          <w:lang w:val="en-US" w:eastAsia="zh-CN"/>
        </w:rPr>
        <w:t xml:space="preserve">基础性绩效工资增量增加</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1968"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564.46</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521.22</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增加43.24</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增长8.30%</w:t>
      </w:r>
      <w:r>
        <w:rPr>
          <w:rFonts w:ascii="宋体" w:eastAsia="宋体" w:hAnsi="宋体" w:cs="宋体" w:hint="eastAsia"/>
          <w:sz w:val="28"/>
          <w:szCs w:val="28"/>
          <w:u w:color="auto"/>
        </w:rPr>
        <w:t xml:space="preserve">，主要原因是</w:t>
      </w:r>
      <w:r>
        <w:rPr>
          <w:rFonts w:hint="eastAsia"/>
          <w:highlight w:val="none"/>
          <w:lang w:val="en-US" w:eastAsia="zh-CN"/>
        </w:rPr>
        <w:t xml:space="preserve">基础性绩效工资增量增加</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1969"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564.46</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521.22</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增加43.24</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增长8.30%</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基础性绩效工资增量增加</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文化旅游体育与传媒支出、)住房保障支出、社会保障和就业支出、一般公共服务支出等</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4</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文化旅游体育与传媒支出</w:t>
      </w:r>
      <w:r>
        <w:rPr>
          <w:rFonts w:ascii="宋体" w:eastAsia="宋体" w:hAnsi="宋体" w:cs="宋体" w:hint="eastAsia"/>
          <w:sz w:val="28"/>
          <w:szCs w:val="28"/>
          <w:lang w:val="en-US" w:eastAsia="zh-CN"/>
        </w:rPr>
        <w:t xml:space="preserve">502.02</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88.94%</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增长33.05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增长7.05%</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基础性绩效工资增量增加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29.69</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5.26%</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增长7.30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增长32.60%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基数调整</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30.20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5.35%</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增长0.34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增长1.14%</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基数调整</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2.56</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0.45%</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增长2.56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增长100%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2023年工会经费在文化旅游体育与传媒科目（207类）预算，2024年在一般公共服务科目（201类）预算</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302.05</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53.51%</w:t>
      </w:r>
      <w:r>
        <w:rPr>
          <w:rFonts w:ascii="宋体" w:eastAsia="宋体" w:hAnsi="宋体" w:cs="宋体"/>
          <w:sz w:val="28"/>
          <w:u w:color="auto"/>
        </w:rPr>
        <w:t xml:space="preserve">,比上年</w:t>
      </w:r>
      <w:r>
        <w:rPr>
          <w:rFonts w:ascii="宋体" w:eastAsia="宋体" w:hAnsi="宋体" w:cs="宋体"/>
          <w:sz w:val="28"/>
          <w:u w:color="auto"/>
        </w:rPr>
        <w:t xml:space="preserve">增长14.99</w:t>
      </w:r>
      <w:r>
        <w:rPr>
          <w:rFonts w:ascii="宋体" w:eastAsia="宋体" w:hAnsi="宋体" w:cs="宋体"/>
          <w:sz w:val="28"/>
          <w:u w:color="auto"/>
        </w:rPr>
        <w:t xml:space="preserve">万元，</w:t>
      </w:r>
      <w:r>
        <w:rPr>
          <w:rFonts w:ascii="宋体" w:eastAsia="宋体" w:hAnsi="宋体" w:cs="宋体"/>
          <w:sz w:val="28"/>
          <w:u w:color="auto"/>
        </w:rPr>
        <w:t xml:space="preserve">增长5.22%</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7.36</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2.44%</w:t>
      </w:r>
      <w:r>
        <w:rPr>
          <w:rFonts w:ascii="宋体" w:eastAsia="宋体" w:hAnsi="宋体" w:cs="宋体" w:hint="eastAsia"/>
          <w:sz w:val="28"/>
          <w:szCs w:val="28"/>
        </w:rPr>
        <w:t xml:space="preserve">,比上年</w:t>
      </w:r>
      <w:r>
        <w:rPr>
          <w:rFonts w:ascii="宋体" w:eastAsia="宋体" w:hAnsi="宋体" w:cs="宋体"/>
          <w:sz w:val="28"/>
          <w:u w:color="auto"/>
        </w:rPr>
        <w:t xml:space="preserve">减少47.43</w:t>
      </w:r>
      <w:r>
        <w:rPr>
          <w:rFonts w:ascii="宋体" w:eastAsia="宋体" w:hAnsi="宋体" w:cs="宋体"/>
          <w:sz w:val="28"/>
          <w:u w:color="auto"/>
        </w:rPr>
        <w:t xml:space="preserve">万元，</w:t>
      </w:r>
      <w:r>
        <w:rPr>
          <w:rFonts w:ascii="宋体" w:eastAsia="宋体" w:hAnsi="宋体" w:cs="宋体"/>
          <w:sz w:val="28"/>
          <w:u w:color="auto"/>
        </w:rPr>
        <w:t xml:space="preserve">减少86.57%</w:t>
      </w:r>
      <w:r>
        <w:rPr>
          <w:rFonts w:ascii="宋体" w:eastAsia="宋体" w:hAnsi="宋体" w:cs="宋体"/>
          <w:sz w:val="28"/>
          <w:u w:color="auto"/>
        </w:rPr>
        <w:t xml:space="preserve">,主要原因是：其他运转类经费列入项目支出预算</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291.70</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96.57%</w:t>
      </w:r>
      <w:r>
        <w:rPr>
          <w:rFonts w:ascii="宋体" w:eastAsia="宋体" w:hAnsi="宋体" w:cs="宋体" w:hint="eastAsia"/>
          <w:sz w:val="28"/>
          <w:szCs w:val="28"/>
        </w:rPr>
        <w:t xml:space="preserve">,比上年</w:t>
      </w:r>
      <w:r>
        <w:rPr>
          <w:rFonts w:ascii="宋体" w:eastAsia="宋体" w:hAnsi="宋体" w:cs="宋体"/>
          <w:sz w:val="28"/>
          <w:u w:color="auto"/>
        </w:rPr>
        <w:t xml:space="preserve">增长61.24</w:t>
      </w:r>
      <w:r>
        <w:rPr>
          <w:rFonts w:ascii="宋体" w:eastAsia="宋体" w:hAnsi="宋体" w:cs="宋体"/>
          <w:sz w:val="28"/>
          <w:u w:color="auto"/>
        </w:rPr>
        <w:t xml:space="preserve">万元，</w:t>
      </w:r>
      <w:r>
        <w:rPr>
          <w:rFonts w:ascii="宋体" w:eastAsia="宋体" w:hAnsi="宋体" w:cs="宋体"/>
          <w:sz w:val="28"/>
          <w:u w:color="auto"/>
        </w:rPr>
        <w:t xml:space="preserve">增长26.57%</w:t>
      </w:r>
      <w:r>
        <w:rPr>
          <w:rFonts w:ascii="宋体" w:eastAsia="宋体" w:hAnsi="宋体" w:cs="宋体"/>
          <w:sz w:val="28"/>
          <w:u w:color="auto"/>
        </w:rPr>
        <w:t xml:space="preserve">,主要原因是：一是基础性绩效工资增量增加；二是公积金和社保费基数调整增加</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3.00</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0.99%</w:t>
      </w:r>
      <w:r>
        <w:rPr>
          <w:rFonts w:ascii="宋体" w:eastAsia="宋体" w:hAnsi="宋体" w:cs="宋体" w:hint="eastAsia"/>
          <w:sz w:val="28"/>
          <w:szCs w:val="28"/>
        </w:rPr>
        <w:t xml:space="preserve">,比上年</w:t>
      </w:r>
      <w:r>
        <w:rPr>
          <w:rFonts w:ascii="宋体" w:eastAsia="宋体" w:hAnsi="宋体" w:cs="宋体"/>
          <w:sz w:val="28"/>
          <w:u w:color="auto"/>
        </w:rPr>
        <w:t xml:space="preserve">增长1.20</w:t>
      </w:r>
      <w:r>
        <w:rPr>
          <w:rFonts w:ascii="宋体" w:eastAsia="宋体" w:hAnsi="宋体" w:cs="宋体"/>
          <w:sz w:val="28"/>
          <w:u w:color="auto"/>
        </w:rPr>
        <w:t xml:space="preserve">万元，</w:t>
      </w:r>
      <w:r>
        <w:rPr>
          <w:rFonts w:ascii="宋体" w:eastAsia="宋体" w:hAnsi="宋体" w:cs="宋体"/>
          <w:sz w:val="28"/>
          <w:u w:color="auto"/>
        </w:rPr>
        <w:t xml:space="preserve">增长66.67%</w:t>
      </w:r>
      <w:r>
        <w:rPr>
          <w:rFonts w:ascii="宋体" w:eastAsia="宋体" w:hAnsi="宋体" w:cs="宋体"/>
          <w:sz w:val="28"/>
          <w:u w:color="auto"/>
        </w:rPr>
        <w:t xml:space="preserve">,主要原因是：退休人员生活补助标准提高</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262.41</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46.49%</w:t>
      </w:r>
      <w:r>
        <w:rPr>
          <w:rFonts w:ascii="宋体" w:eastAsia="宋体" w:hAnsi="宋体" w:cs="宋体" w:hint="eastAsia"/>
          <w:sz w:val="28"/>
          <w:szCs w:val="28"/>
        </w:rPr>
        <w:t xml:space="preserve">,比上年</w:t>
      </w:r>
      <w:r>
        <w:rPr>
          <w:rFonts w:ascii="宋体" w:eastAsia="宋体" w:hAnsi="宋体" w:cs="宋体"/>
          <w:sz w:val="28"/>
          <w:u w:color="auto"/>
        </w:rPr>
        <w:t xml:space="preserve">增长28.25</w:t>
      </w:r>
      <w:r>
        <w:rPr>
          <w:rFonts w:ascii="宋体" w:eastAsia="宋体" w:hAnsi="宋体" w:cs="宋体" w:hint="eastAsia"/>
          <w:sz w:val="28"/>
          <w:szCs w:val="28"/>
        </w:rPr>
        <w:t xml:space="preserve">万元，</w:t>
      </w:r>
      <w:r>
        <w:rPr>
          <w:rFonts w:ascii="宋体" w:eastAsia="宋体" w:hAnsi="宋体" w:cs="宋体"/>
          <w:sz w:val="28"/>
          <w:u w:color="auto"/>
        </w:rPr>
        <w:t xml:space="preserve">增长12.06%</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260.81</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99.39%</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增长33.75</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增长14.86%</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其他运转类经费列入项目支出预算</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0.00%</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减少7.10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减少100.00%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2024年基础性绩效工资增量工资在基本支出预算，不再有预发绩效奖项目支出预算</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1.60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0.61%</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增长1.60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退休人员生活补助标准提高</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1970"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564.46</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564.46</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521.22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增加43.24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增长8.30%</w:t>
      </w:r>
      <w:r>
        <w:rPr>
          <w:rFonts w:ascii="宋体" w:eastAsia="宋体" w:hAnsi="宋体" w:cs="宋体" w:hint="eastAsia"/>
          <w:sz w:val="28"/>
          <w:szCs w:val="28"/>
        </w:rPr>
        <w:t xml:space="preserve">，主要原因是</w:t>
      </w:r>
      <w:r>
        <w:rPr>
          <w:rFonts w:hint="eastAsia"/>
          <w:highlight w:val="none"/>
          <w:lang w:val="en-US" w:eastAsia="zh-CN"/>
        </w:rPr>
        <w:t xml:space="preserve">基础性绩效工资增量增加</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521.22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增加43.24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增长8.30%</w:t>
      </w:r>
      <w:r>
        <w:rPr>
          <w:rFonts w:ascii="宋体" w:eastAsia="宋体" w:hAnsi="宋体" w:cs="宋体" w:hint="eastAsia"/>
          <w:sz w:val="28"/>
          <w:szCs w:val="28"/>
        </w:rPr>
        <w:t xml:space="preserve">，主要原因是</w:t>
      </w:r>
      <w:r>
        <w:rPr>
          <w:rFonts w:hint="eastAsia"/>
          <w:highlight w:val="none"/>
          <w:lang w:val="en-US" w:eastAsia="zh-CN"/>
        </w:rPr>
        <w:t xml:space="preserve">基础性绩效工资增量增加</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1971"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564.46</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521.22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增加43.24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增长8.30%</w:t>
      </w:r>
      <w:r>
        <w:rPr>
          <w:rFonts w:ascii="宋体" w:eastAsia="宋体" w:hAnsi="宋体" w:cs="宋体" w:hint="eastAsia"/>
          <w:sz w:val="28"/>
          <w:szCs w:val="28"/>
        </w:rPr>
        <w:t xml:space="preserve">，主要原因是</w:t>
      </w:r>
      <w:r>
        <w:rPr>
          <w:rFonts w:hint="eastAsia"/>
          <w:highlight w:val="none"/>
          <w:lang w:val="en-US" w:eastAsia="zh-CN"/>
        </w:rPr>
        <w:t xml:space="preserve">基础性绩效工资增量增加</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2.56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0.45%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0.00</w:t>
      </w:r>
      <w:r>
        <w:rPr>
          <w:rFonts w:ascii="宋体" w:eastAsia="宋体" w:hAnsi="宋体" w:cs="宋体" w:hint="eastAsia"/>
          <w:sz w:val="28"/>
          <w:szCs w:val="28"/>
        </w:rPr>
        <w:t xml:space="preserve">万元，</w:t>
      </w:r>
      <w:r>
        <w:rPr>
          <w:rFonts w:ascii="宋体" w:eastAsia="宋体" w:hAnsi="宋体" w:cs="宋体"/>
          <w:sz w:val="28"/>
          <w:u w:color="auto"/>
        </w:rPr>
        <w:t xml:space="preserve">增长2.56</w:t>
      </w:r>
      <w:r>
        <w:rPr>
          <w:rFonts w:ascii="宋体" w:eastAsia="宋体" w:hAnsi="宋体" w:cs="宋体" w:hint="eastAsia"/>
          <w:sz w:val="28"/>
          <w:szCs w:val="28"/>
        </w:rPr>
        <w:t xml:space="preserve">万元，</w:t>
      </w:r>
      <w:r>
        <w:rPr>
          <w:rFonts w:ascii="宋体" w:eastAsia="宋体" w:hAnsi="宋体" w:cs="宋体"/>
          <w:sz w:val="28"/>
          <w:u w:color="auto"/>
        </w:rPr>
        <w:t xml:space="preserve">增长100%</w:t>
      </w:r>
      <w:r>
        <w:rPr>
          <w:rFonts w:ascii="宋体" w:eastAsia="宋体" w:hAnsi="宋体" w:cs="宋体" w:hint="eastAsia"/>
          <w:sz w:val="28"/>
          <w:szCs w:val="28"/>
        </w:rPr>
        <w:t xml:space="preserve">，主要原因是：</w:t>
      </w:r>
      <w:r>
        <w:rPr>
          <w:rFonts w:hint="eastAsia"/>
          <w:highlight w:val="none"/>
        </w:rPr>
        <w:t xml:space="preserve">2023年工会经费在文化旅游体育与传媒科目（207类）预算，2024年在一般公共服务科目（201类）预算</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29.69</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5.26%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22.39</w:t>
      </w:r>
      <w:r>
        <w:rPr>
          <w:rFonts w:ascii="宋体" w:eastAsia="宋体" w:hAnsi="宋体" w:cs="宋体" w:hint="eastAsia"/>
          <w:sz w:val="28"/>
          <w:szCs w:val="28"/>
        </w:rPr>
        <w:t xml:space="preserve">万元，</w:t>
      </w:r>
      <w:r>
        <w:rPr>
          <w:rFonts w:ascii="宋体" w:eastAsia="宋体" w:hAnsi="宋体" w:cs="宋体"/>
          <w:sz w:val="28"/>
          <w:u w:color="auto"/>
        </w:rPr>
        <w:t xml:space="preserve">增长7.30</w:t>
      </w:r>
      <w:r>
        <w:rPr>
          <w:rFonts w:ascii="宋体" w:eastAsia="宋体" w:hAnsi="宋体" w:cs="宋体" w:hint="eastAsia"/>
          <w:sz w:val="28"/>
          <w:szCs w:val="28"/>
        </w:rPr>
        <w:t xml:space="preserve">万元，</w:t>
      </w:r>
      <w:r>
        <w:rPr>
          <w:rFonts w:ascii="宋体" w:eastAsia="宋体" w:hAnsi="宋体" w:cs="宋体"/>
          <w:sz w:val="28"/>
          <w:u w:color="auto"/>
        </w:rPr>
        <w:t xml:space="preserve">增长32.60%</w:t>
      </w:r>
      <w:r>
        <w:rPr>
          <w:rFonts w:ascii="宋体" w:eastAsia="宋体" w:hAnsi="宋体" w:cs="宋体" w:hint="eastAsia"/>
          <w:sz w:val="28"/>
          <w:szCs w:val="28"/>
        </w:rPr>
        <w:t xml:space="preserve">，主要原因是：</w:t>
      </w:r>
      <w:r>
        <w:rPr>
          <w:rFonts w:hint="eastAsia"/>
          <w:highlight w:val="none"/>
        </w:rPr>
        <w:t xml:space="preserve">基数调整增加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文化旅游体育与传媒支出</w:t>
      </w:r>
      <w:r>
        <w:rPr>
          <w:rFonts w:ascii="宋体" w:eastAsia="宋体" w:hAnsi="宋体" w:cs="宋体" w:hint="eastAsia"/>
          <w:sz w:val="28"/>
          <w:szCs w:val="28"/>
        </w:rPr>
        <w:t xml:space="preserve">（类）支出</w:t>
      </w:r>
      <w:r>
        <w:rPr>
          <w:rFonts w:ascii="宋体" w:eastAsia="宋体" w:hAnsi="宋体" w:cs="宋体"/>
          <w:sz w:val="28"/>
          <w:u w:color="auto"/>
        </w:rPr>
        <w:t xml:space="preserve">502.02</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88.94%</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468.97</w:t>
      </w:r>
      <w:r>
        <w:rPr>
          <w:rFonts w:ascii="宋体" w:eastAsia="宋体" w:hAnsi="宋体" w:cs="宋体" w:hint="eastAsia"/>
          <w:sz w:val="28"/>
          <w:szCs w:val="28"/>
        </w:rPr>
        <w:t xml:space="preserve">万元，</w:t>
      </w:r>
      <w:r>
        <w:rPr>
          <w:rFonts w:ascii="宋体" w:eastAsia="宋体" w:hAnsi="宋体" w:cs="宋体"/>
          <w:sz w:val="28"/>
          <w:u w:color="auto"/>
        </w:rPr>
        <w:t xml:space="preserve">增长33.05</w:t>
      </w:r>
      <w:r>
        <w:rPr>
          <w:rFonts w:ascii="宋体" w:eastAsia="宋体" w:hAnsi="宋体" w:cs="宋体" w:hint="eastAsia"/>
          <w:sz w:val="28"/>
          <w:szCs w:val="28"/>
        </w:rPr>
        <w:t xml:space="preserve">万元，</w:t>
      </w:r>
      <w:r>
        <w:rPr>
          <w:rFonts w:ascii="宋体" w:eastAsia="宋体" w:hAnsi="宋体" w:cs="宋体"/>
          <w:sz w:val="28"/>
          <w:u w:color="auto"/>
        </w:rPr>
        <w:t xml:space="preserve">增长7.05%</w:t>
      </w:r>
      <w:r>
        <w:rPr>
          <w:rFonts w:ascii="宋体" w:eastAsia="宋体" w:hAnsi="宋体" w:cs="宋体" w:hint="eastAsia"/>
          <w:sz w:val="28"/>
          <w:szCs w:val="28"/>
        </w:rPr>
        <w:t xml:space="preserve">，主要原因是：</w:t>
      </w:r>
      <w:r>
        <w:rPr>
          <w:rFonts w:hint="eastAsia"/>
          <w:highlight w:val="none"/>
        </w:rPr>
        <w:t xml:space="preserve">基础性绩效工资增量增加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30.20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5.35%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29.86</w:t>
      </w:r>
      <w:r>
        <w:rPr>
          <w:rFonts w:ascii="宋体" w:eastAsia="宋体" w:hAnsi="宋体" w:cs="宋体" w:hint="eastAsia"/>
          <w:sz w:val="28"/>
          <w:szCs w:val="28"/>
        </w:rPr>
        <w:t xml:space="preserve">万元，</w:t>
      </w:r>
      <w:r>
        <w:rPr>
          <w:rFonts w:ascii="宋体" w:eastAsia="宋体" w:hAnsi="宋体" w:cs="宋体"/>
          <w:sz w:val="28"/>
          <w:u w:color="auto"/>
        </w:rPr>
        <w:t xml:space="preserve">增长0.34</w:t>
      </w:r>
      <w:r>
        <w:rPr>
          <w:rFonts w:ascii="宋体" w:eastAsia="宋体" w:hAnsi="宋体" w:cs="宋体" w:hint="eastAsia"/>
          <w:sz w:val="28"/>
          <w:szCs w:val="28"/>
        </w:rPr>
        <w:t xml:space="preserve">万元，</w:t>
      </w:r>
      <w:r>
        <w:rPr>
          <w:rFonts w:ascii="宋体" w:eastAsia="宋体" w:hAnsi="宋体" w:cs="宋体"/>
          <w:sz w:val="28"/>
          <w:u w:color="auto"/>
        </w:rPr>
        <w:t xml:space="preserve">增长1.14%</w:t>
      </w:r>
      <w:r>
        <w:rPr>
          <w:rFonts w:ascii="宋体" w:eastAsia="宋体" w:hAnsi="宋体" w:cs="宋体" w:hint="eastAsia"/>
          <w:sz w:val="28"/>
          <w:szCs w:val="28"/>
        </w:rPr>
        <w:t xml:space="preserve">，主要原因是：</w:t>
      </w:r>
      <w:r>
        <w:rPr>
          <w:rFonts w:hint="eastAsia"/>
          <w:highlight w:val="none"/>
        </w:rPr>
        <w:t xml:space="preserve">基数调整增加</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1972"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302.05</w:t>
      </w:r>
      <w:r>
        <w:rPr>
          <w:rFonts w:hint="eastAsia"/>
        </w:rPr>
        <w:t xml:space="preserve">万元，较2023年度预算数</w:t>
      </w:r>
      <w:r>
        <w:rPr>
          <w:rFonts w:hint="eastAsia"/>
          <w:lang w:val="en-US" w:eastAsia="zh-CN"/>
        </w:rPr>
        <w:t xml:space="preserve">287.06</w:t>
      </w:r>
      <w:r>
        <w:rPr>
          <w:rFonts w:hint="eastAsia"/>
        </w:rPr>
        <w:t xml:space="preserve">万元</w:t>
      </w:r>
      <w:r>
        <w:rPr>
          <w:rFonts w:hint="eastAsia"/>
          <w:lang w:val="en-US" w:eastAsia="zh-CN"/>
        </w:rPr>
        <w:t xml:space="preserve">,</w:t>
      </w:r>
      <w:r>
        <w:rPr>
          <w:u w:color="auto"/>
        </w:rPr>
        <w:t xml:space="preserve">增加14.99</w:t>
      </w:r>
      <w:r>
        <w:rPr>
          <w:rFonts w:hint="eastAsia"/>
        </w:rPr>
        <w:t xml:space="preserve">万元，</w:t>
      </w:r>
      <w:r>
        <w:rPr>
          <w:rFonts w:hint="eastAsia"/>
          <w:lang w:val="en-US" w:eastAsia="zh-CN"/>
        </w:rPr>
        <w:t xml:space="preserve">增长5.22%</w:t>
      </w:r>
      <w:r>
        <w:rPr>
          <w:rFonts w:hint="eastAsia"/>
        </w:rPr>
        <w:t xml:space="preserve">，主要原因是</w:t>
      </w:r>
      <w:r>
        <w:rPr>
          <w:rFonts w:hint="eastAsia"/>
          <w:highlight w:val="none"/>
          <w:lang w:val="en-US" w:eastAsia="zh-CN"/>
        </w:rPr>
        <w:t xml:space="preserve">基础性绩效工资增量增加</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7.36</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2.44%</w:t>
      </w:r>
      <w:r>
        <w:rPr>
          <w:rFonts w:hint="eastAsia"/>
        </w:rPr>
        <w:t xml:space="preserve">，较2023年度预算数</w:t>
      </w:r>
      <w:r>
        <w:rPr>
          <w:rFonts w:hint="eastAsia"/>
          <w:lang w:val="en-US" w:eastAsia="zh-CN"/>
        </w:rPr>
        <w:t xml:space="preserve">54.79</w:t>
      </w:r>
      <w:r>
        <w:rPr>
          <w:rFonts w:hint="eastAsia"/>
        </w:rPr>
        <w:t xml:space="preserve">万元，</w:t>
      </w:r>
      <w:r>
        <w:rPr>
          <w:rFonts w:hint="eastAsia"/>
          <w:lang w:val="en-US" w:eastAsia="zh-CN"/>
        </w:rPr>
        <w:t xml:space="preserve">减少47.43</w:t>
      </w:r>
      <w:r>
        <w:rPr>
          <w:rFonts w:hint="eastAsia"/>
        </w:rPr>
        <w:t xml:space="preserve">万元，</w:t>
      </w:r>
      <w:r>
        <w:rPr>
          <w:rFonts w:hint="eastAsia"/>
          <w:lang w:val="en-US" w:eastAsia="zh-CN"/>
        </w:rPr>
        <w:t xml:space="preserve">减少86.57%</w:t>
      </w:r>
      <w:r>
        <w:rPr>
          <w:rFonts w:hint="eastAsia"/>
        </w:rPr>
        <w:t xml:space="preserve">，主要原因是：</w:t>
      </w:r>
      <w:r>
        <w:rPr>
          <w:rFonts w:hint="eastAsia"/>
          <w:highlight w:val="none"/>
        </w:rPr>
        <w:t xml:space="preserve">其他运转类经费列入项目支出预算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291.70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96.57%</w:t>
      </w:r>
      <w:r>
        <w:rPr>
          <w:rFonts w:hint="eastAsia"/>
        </w:rPr>
        <w:t xml:space="preserve">，较2023年度预算数</w:t>
      </w:r>
      <w:r>
        <w:rPr>
          <w:rFonts w:hint="eastAsia"/>
          <w:lang w:val="en-US" w:eastAsia="zh-CN"/>
        </w:rPr>
        <w:t xml:space="preserve">230.46</w:t>
      </w:r>
      <w:r>
        <w:rPr>
          <w:rFonts w:hint="eastAsia"/>
        </w:rPr>
        <w:t xml:space="preserve">万元，</w:t>
      </w:r>
      <w:r>
        <w:rPr>
          <w:rFonts w:hint="eastAsia"/>
          <w:lang w:val="en-US" w:eastAsia="zh-CN"/>
        </w:rPr>
        <w:t xml:space="preserve">增长61.24</w:t>
      </w:r>
      <w:r>
        <w:rPr>
          <w:rFonts w:hint="eastAsia"/>
        </w:rPr>
        <w:t xml:space="preserve">万元，</w:t>
      </w:r>
      <w:r>
        <w:rPr>
          <w:rFonts w:hint="eastAsia"/>
          <w:lang w:val="en-US" w:eastAsia="zh-CN"/>
        </w:rPr>
        <w:t xml:space="preserve">增长26.57%</w:t>
      </w:r>
      <w:r>
        <w:rPr>
          <w:rFonts w:hint="eastAsia"/>
        </w:rPr>
        <w:t xml:space="preserve">，主要原因是：</w:t>
      </w:r>
      <w:r>
        <w:rPr>
          <w:rFonts w:hint="eastAsia"/>
          <w:highlight w:val="none"/>
        </w:rPr>
        <w:t xml:space="preserve">一是基础性绩效工资增量增加；二是公积金和社保费基数调整增加</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3.00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0.99%</w:t>
      </w:r>
      <w:r>
        <w:rPr>
          <w:rFonts w:hint="eastAsia"/>
        </w:rPr>
        <w:t xml:space="preserve">，较2023年度预算数</w:t>
      </w:r>
      <w:r>
        <w:rPr>
          <w:rFonts w:hint="eastAsia"/>
          <w:lang w:val="en-US" w:eastAsia="zh-CN"/>
        </w:rPr>
        <w:t xml:space="preserve">1.80</w:t>
      </w:r>
      <w:r>
        <w:rPr>
          <w:rFonts w:hint="eastAsia"/>
        </w:rPr>
        <w:t xml:space="preserve">万元，</w:t>
      </w:r>
      <w:r>
        <w:rPr>
          <w:rFonts w:hint="eastAsia"/>
          <w:lang w:val="en-US" w:eastAsia="zh-CN"/>
        </w:rPr>
        <w:t xml:space="preserve">增长1.20</w:t>
      </w:r>
      <w:r>
        <w:rPr>
          <w:rFonts w:hint="eastAsia"/>
        </w:rPr>
        <w:t xml:space="preserve">万元，</w:t>
      </w:r>
      <w:r>
        <w:rPr>
          <w:rFonts w:hint="eastAsia"/>
          <w:lang w:val="en-US" w:eastAsia="zh-CN"/>
        </w:rPr>
        <w:t xml:space="preserve">增长66.67%</w:t>
      </w:r>
      <w:r>
        <w:rPr>
          <w:rFonts w:hint="eastAsia"/>
        </w:rPr>
        <w:t xml:space="preserve">，主要原因是：</w:t>
      </w:r>
      <w:r>
        <w:rPr>
          <w:rFonts w:hint="eastAsia"/>
          <w:highlight w:val="none"/>
        </w:rPr>
        <w:t xml:space="preserve">退休人员生活补助标准提高</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1973"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5"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2024年我单位无因公出国（境）活动安排</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2024年我单位无接待要求</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公车改革后，我单位不再保留有公车</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公车改革后，我单位不再保留有公车</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5"/>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我单位2024年部门预算无政府性基金预算</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6" w:name="bookmark91"/>
      <w:r>
        <w:rPr>
          <w:rFonts w:hint="eastAsia"/>
          <w:b/>
          <w:bCs/>
          <w:lang w:val="en-US" w:eastAsia="zh-CN"/>
        </w:rPr>
        <w:t xml:space="preserve">九</w:t>
      </w:r>
      <w:bookmarkEnd w:id="16"/>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我单位2024年部门预算无国有资本经营预算</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7.36</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54.79</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减少47.43</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下降86.57%</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其他运转类列入项目支出预算</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主要用于：我单位2024年无政府采购支出预算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11</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262.41</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重点项目名称：非物质文化遗产保护专项经费，预算资金6000元，2024年度绩效目标为：通过对非物质文化遗产保护，促进了非物质文化文化遗产事业的发展。设1条数量指标：</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国家级非遗传承人10人；设1条质量指标：按要求完成国家级非遗传承人补助100%；设1条时效指标：每月按文件规定时间完成补助经费发放；设1条成本指标：项目成本小于或等于6000元；设一条社会效益指标：提高国家级非遗传承人生活待遇；设1条满意度指标：</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国家级非遗传承人满意度100%。</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1"/>
      <w:bookmarkEnd w:id="12"/>
      <w:bookmarkEnd w:id="13"/>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环江毛南族自治县非物质文化遗产保护传承中心</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7" w:name="bookmark31"/>
      <w:bookmarkStart w:id="18" w:name="bookmark30"/>
      <w:bookmarkStart w:id="19" w:name="bookmark29"/>
      <w:r>
        <w:t xml:space="preserve">收支总体情况表</w:t>
      </w:r>
      <w:bookmarkEnd w:id="17"/>
      <w:bookmarkEnd w:id="18"/>
      <w:bookmarkEnd w:id="19"/>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cantSplit/>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环江毛南族自治县非物质文化遗产保护传承中心</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cantSplit/>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319.20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2.56</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319.20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502.02</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30.20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29.69</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319.20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564.46</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245.26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564.46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564.46</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环江毛南族自治县非物质文化遗产保护传承中心</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90"/>
        </w:trPr>
        <w:tc>
          <w:tcPr>
            <w:tcW w:w="1636"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202003</w:t>
            </w:r>
          </w:p>
        </w:tc>
        <w:tc>
          <w:tcPr>
            <w:tcW w:w="1279" w:type="dxa"/>
          </w:tcPr>
          <w:p>
            <w:pPr>
              <w:pStyle w:val="Other|1"/>
              <w:spacing w:line="326" w:lineRule="exact"/>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环江毛南族自治县非物质文化遗产保护传承中心</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564.46</w:t>
            </w:r>
          </w:p>
        </w:tc>
        <w:tc>
          <w:tcPr>
            <w:tcW w:w="926"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319.20</w:t>
            </w:r>
          </w:p>
        </w:tc>
        <w:tc>
          <w:tcPr>
            <w:tcW w:w="909"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319.20</w:t>
            </w:r>
          </w:p>
        </w:tc>
        <w:tc>
          <w:tcPr>
            <w:tcW w:w="968"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1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245.26</w:t>
            </w:r>
          </w:p>
        </w:tc>
        <w:tc>
          <w:tcPr>
            <w:tcW w:w="1011"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245.26</w:t>
            </w:r>
          </w:p>
        </w:tc>
        <w:tc>
          <w:tcPr>
            <w:tcW w:w="859"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94" w:type="dxa"/>
            <w:gridSpan w:val="2"/>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37"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8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5557" w:type="dxa"/>
            <w:gridSpan w:val="16"/>
            <w:tcBorders>
              <w:left w:val="nil"/>
              <w:bottom w:val="nil"/>
              <w:right w:val="nil"/>
            </w:tcBorders>
          </w:tcPr>
          <w:p>
            <w:pPr>
              <w:pStyle w:val="Tablecaption|1"/>
              <w:jc w:val="left"/>
              <w:rPr>
                <w:rFonts w:eastAsia="宋体" w:hint="eastAsia"/>
                <w:sz w:val="17"/>
                <w:szCs w:val="17"/>
                <w:vertAlign w:val="baseline"/>
                <w:lang w:val="en-US" w:eastAsia="zh-CN"/>
              </w:rPr>
            </w:pPr>
            <w:r>
              <w:rPr>
                <w:sz w:val="17"/>
                <w:szCs w:val="17"/>
              </w:rP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3"/>
      <w:bookmarkStart w:id="21" w:name="bookmark41"/>
      <w:bookmarkStart w:id="22" w:name="bookmark42"/>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rPr>
          <w:cantSplit/>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环江毛南族自治县非物质文化遗产保护传承中心</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564.46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302.05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262.41</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202003</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564.46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302.05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262.41</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2.56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2.56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2070107</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艺术表演团体</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256.76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239.61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17.15</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2070111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文化创作与保护</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102.16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102.16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2070199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其他文化和旅游支出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143.10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143.10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30.20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30.20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29.69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29.69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bl>
    <w:p>
      <w:pPr>
        <w:pStyle w:val="Tablecaption|1"/>
        <w:ind w:left="672"/>
        <w:jc w:val="left"/>
      </w:pPr>
      <w:r>
        <w:rPr>
          <w:b w:val="0"/>
          <w:bCs w:val="0"/>
        </w:rPr>
        <w:t xml:space="preserve">注：本报表金额单位转换时可能存在四舍五入尾数误差。</w:t>
      </w:r>
      <w:r>
        <w:br w:type="page"/>
      </w:r>
    </w:p>
    <w:p>
      <w:pPr>
        <w:pStyle w:val="Heading#2|1"/>
        <w:keepNext/>
        <w:keepLines/>
        <w:spacing w:after="240"/>
        <w:jc w:val="center"/>
      </w:pPr>
      <w:bookmarkStart w:id="23" w:name="bookmark44"/>
      <w:bookmarkStart w:id="24" w:name="bookmark46"/>
      <w:bookmarkStart w:id="25" w:name="bookmark45"/>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cantSplit/>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环江毛南族自治县非物质文化遗产保护传承中心</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319.20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2.56</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319.20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502.02</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30.20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29.69</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319.20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564.46</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245.26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564.46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564.46</w:t>
            </w:r>
          </w:p>
        </w:tc>
      </w:tr>
      <w:tr>
        <w:tblPrEx>
          <w:tblW w:w="0" w:type="auto"/>
          <w:tblInd w:w="0" w:type="dxa"/>
          <w:tblLayout w:type="fixed"/>
          <w:tblCellMar>
            <w:top w:w="0" w:type="dxa"/>
            <w:left w:w="10" w:type="dxa"/>
            <w:bottom w:w="0" w:type="dxa"/>
            <w:right w:w="10" w:type="dxa"/>
          </w:tblCellMar>
        </w:tblPrEx>
        <w:trPr>
          <w:cantSplit/>
          <w:trHeight w:hRule="exact" w:val="352"/>
        </w:trPr>
        <w:tc>
          <w:tcPr>
            <w:tcW w:w="15342" w:type="dxa"/>
            <w:gridSpan w:val="6"/>
            <w:tcBorders>
              <w:top w:val="single" w:sz="4" w:space="0" w:color="auto"/>
            </w:tcBorders>
            <w:shd w:val="clear" w:color="auto" w:fill="FFFFFF"/>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cantSplit/>
          <w:trHeight w:hRule="exact" w:val="274"/>
        </w:trPr>
        <w:tc>
          <w:tcPr>
            <w:tcW w:w="15342" w:type="dxa"/>
            <w:gridSpan w:val="6"/>
            <w:shd w:val="clear" w:color="auto" w:fill="FFFFFF"/>
            <w:vAlign w:val="bottom"/>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05"/>
        <w:gridCol w:w="1636"/>
        <w:gridCol w:w="1615"/>
        <w:gridCol w:w="1713"/>
        <w:gridCol w:w="1879"/>
        <w:gridCol w:w="1846"/>
        <w:gridCol w:w="1718"/>
        <w:gridCol w:w="72"/>
        <w:gridCol w:w="1686"/>
        <w:gridCol w:w="168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环江毛南族自治县非物质文化遗产保护传承中心</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202003</w:t>
            </w: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564.46</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302.06</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294.70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7.36</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262.41</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2012999</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2.56</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2.56</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2.56</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2070107</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艺术表演团体</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256.76</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239.61</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234.81</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4.80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17.15</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2070111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文化创作与保护</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102.16</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102.16</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2070199</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其他文化和旅游支出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143.10</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143.10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2080505</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30.20</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30.20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2210201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29.69</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29.69</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29.69</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10"/>
            <w:tcBorders>
              <w:left w:val="nil"/>
              <w:bottom w:val="nil"/>
              <w:right w:val="nil"/>
            </w:tcBorders>
          </w:tcPr>
          <w:p>
            <w:pPr>
              <w:jc w:val="left"/>
              <w:rPr>
                <w:rFonts w:hint="eastAsia"/>
                <w:sz w:val="17"/>
                <w:szCs w:val="17"/>
                <w:vertAlign w:val="baseline"/>
                <w:lang w:eastAsia="zh-CN"/>
              </w:rPr>
            </w:pPr>
            <w:r>
              <w:rPr>
                <w:rFonts w:ascii="宋体" w:eastAsia="宋体" w:hAnsi="宋体" w:cs="宋体" w:hint="eastAsia"/>
                <w:sz w:val="17"/>
                <w:szCs w:val="17"/>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6"/>
      <w:bookmarkStart w:id="27" w:name="bookmark57"/>
      <w:bookmarkStart w:id="28" w:name="bookmark58"/>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blHeader/>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环江毛南族自治县非物质文化遗产保护传承中心</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blHeader/>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blHeader/>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合计</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302.06</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294.70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7.36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工资福利支出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291.70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291.70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基本工资</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81.88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81.88</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津贴补贴</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6.61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6.61</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奖金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45.83</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45.83</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绩效工资</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39.85</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39.85</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37.61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37.61</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30110</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15.02</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15.02</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1.60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1.60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29.69</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29.69</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33.60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33.60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7.36</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7.36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办公费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2.69</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2.69</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30205</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30206</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电费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邮电费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物业管理费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0.11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0.11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差旅费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30226</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劳务费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30228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工会经费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2.56</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2.56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退休费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blHeader/>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rFonts w:ascii="宋体" w:eastAsia="宋体" w:hAnsi="宋体" w:cs="宋体" w:hint="eastAsia"/>
                <w:sz w:val="17"/>
                <w:szCs w:val="17"/>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5"/>
      <w:bookmarkStart w:id="30" w:name="bookmark66"/>
      <w:bookmarkStart w:id="31" w:name="bookmark67"/>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环江毛南族自治县非物质文化遗产保护传承中心</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202003</w:t>
            </w:r>
          </w:p>
        </w:tc>
        <w:tc>
          <w:tcPr>
            <w:tcW w:w="1918"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p>
        </w:tc>
        <w:tc>
          <w:tcPr>
            <w:tcW w:w="1884"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5"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8"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0"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9"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7"/>
                <w:szCs w:val="17"/>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环江毛南族自治县非物质文化遗产保护传承中心</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bidi w:val="0"/>
              <w:jc w:val="both"/>
              <w:rPr>
                <w:vertAlign w:val="baseline"/>
              </w:rPr>
            </w:pPr>
            <w:r>
              <w:rPr>
                <w:b w:val="0"/>
                <w:bCs w:val="0"/>
              </w:rP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环江毛南族自治县非物质文化遗产保护传承中心</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spacing w:line="302" w:lineRule="exact"/>
              <w:ind w:left="672"/>
              <w:jc w:val="left"/>
              <w:rPr>
                <w:rFonts w:ascii="宋体" w:eastAsia="宋体" w:hAnsi="宋体" w:cs="宋体" w:hint="eastAsia"/>
                <w:b w:val="0"/>
                <w:bCs w:val="0"/>
              </w:rPr>
            </w:pPr>
            <w:r>
              <w:rPr>
                <w:rFonts w:ascii="宋体" w:eastAsia="宋体" w:hAnsi="宋体" w:cs="宋体" w:hint="eastAsia"/>
                <w:b w:val="0"/>
                <w:bCs w:val="0"/>
              </w:rPr>
              <w:t xml:space="preserve">注：本报表金额单位转换时可能存在四舍五入尾数误差。本部门</w:t>
            </w:r>
            <w:r>
              <w:rPr>
                <w:rFonts w:ascii="宋体" w:eastAsia="宋体" w:hAnsi="宋体" w:cs="宋体" w:hint="eastAsia"/>
                <w:b w:val="0"/>
                <w:bCs w:val="0"/>
                <w:lang w:eastAsia="zh-CN"/>
              </w:rPr>
              <w:t xml:space="preserve">2024</w:t>
            </w:r>
            <w:r>
              <w:rPr>
                <w:rFonts w:ascii="宋体" w:eastAsia="宋体" w:hAnsi="宋体" w:cs="宋体"/>
                <w:u w:color="auto"/>
              </w:rPr>
              <w:t xml:space="preserve">年</w:t>
            </w:r>
            <w:r>
              <w:rPr>
                <w:rFonts w:ascii="宋体" w:eastAsia="宋体" w:hAnsi="宋体" w:cs="宋体" w:hint="eastAsia"/>
                <w:b w:val="0"/>
                <w:bCs w:val="0"/>
              </w:rP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cantSplit/>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环江毛南族自治县非物质文化遗产保护传承中心</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202003</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环江毛南族自治县非物质文化遗产保护传承中心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非物质文化遗产保护经费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0.20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用于非物质文化遗产项目保护工作</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202003</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环江毛南族自治县非物质文化遗产保护传承中心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非物质文化遗产保护专项经费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0.60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提供基本公共文化服务项目，改善基础公共文化体育设施条件，加强基层公共文化服务人才队伍建设</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202003</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环江毛南族自治县非物质文化遗产保护传承中心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国家非物质文化遗产保护资金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66.16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国家非物质文化遗产保护资金</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202003</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环江毛南族自治县非物质文化遗产保护传承中心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自治区补助市县文化项目资金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自治区补助市县文化项目资金</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202003</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环江毛南族自治县非物质文化遗产保护传承中心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保安经费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6.00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非物质文化遗产展厅保安经费</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202003</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环江毛南族自治县非物质文化遗产保护传承中心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县级非物质文化遗产保护传承人补助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4.65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2023年县级非物质文化遗产保护传承人补助经费</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202003</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环江毛南族自治县非物质文化遗产保护传承中心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濒危剧种、戏曲进乡村经费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142.50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中央补助地方公共文化服务体系建设专项资金：戏曲进乡村、濒危剧种免费或低价票演出</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202003</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环江毛南族自治县非物质文化遗产保护传承中心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区厅国家非物质文化遗产保护资金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广西壮族自治区财政厅关于提前下达2023年国家非物质文化遗产保护资金</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202003</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环江毛南族自治县非物质文化遗产保护传承中心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日常工作业务经费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6.00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日常运转工作经费</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202003</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环江毛南族自治县非物质文化遗产保护传承中心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非遗演出经费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0.30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非遗演出经费</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4"/>
      <w:bookmarkStart w:id="33" w:name="bookmark96"/>
      <w:bookmarkStart w:id="34" w:name="bookmark95"/>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67"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4137"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1975"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4139"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1977"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4141"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1978"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4142"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1979"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4143"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80"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4144"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974"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4138"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976"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414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60"/>
  <w:bordersDoNotSurroundFooter w:val="0"/>
  <w:bordersDoNotSurroundHeader w:val="0"/>
  <w:doNotTrackMoves/>
  <w:documentProtection w:enforcement="1" w:edit="readOnly" w:salt="FFWpfzOoHVc2/QC0yMoLiw==" w:hash="9HT9ZBrIZJwoWHVk6sNpC2VPR7In1W8Qc5MaOrzC2CFHXITWets4T6eLvcQ+fJh6M/fBSj3SJAxgwQk3LFiAUg=="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564.46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文化旅游体育与传媒支出</c:v>
                </c:pt>
                <c:pt idx="2">
                  <c:v>社会保障和就业支出</c:v>
                </c:pt>
                <c:pt idx="3">
                  <c:v>住房保障支出</c:v>
                </c:pt>
              </c:strCache>
            </c:strRef>
          </c:cat>
          <c:val>
            <c:numRef>
              <c:f>Sheet1!$B$2:$B$5</c:f>
              <c:numCache>
                <c:ptCount val="4"/>
                <c:pt idx="0">
                  <c:v>2.56</c:v>
                </c:pt>
                <c:pt idx="1">
                  <c:v>256.76</c:v>
                </c:pt>
                <c:pt idx="2">
                  <c:v>30.2</c:v>
                </c:pt>
                <c:pt idx="3">
                  <c:v>29.69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521.22</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564.46</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302.05</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17.15</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7.36</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294.7</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294.7</c:v>
                </c:pt>
                <c:pt idx="1">
                  <c:v>7.36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2024-03-01T08:17:38Z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17</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4E3C581BBF724D7C94F9FADCFB18DEB4_13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17</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2024-03-02T03:09:43Z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4E3C581BBF724D7C94F9FADCFB18DEB4_13</vt:lpstr>
  </property>
</Properties>
</file>