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环江毛南族自治县文化馆</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环江毛南族自治县文化馆</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环江毛南族自治县文化馆</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环江毛南族自治县文化馆</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环江毛南族自治县文化馆</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组织群众文化活动，繁荣群众文化事业，文化宣传；文艺活动组织；文艺创作培训；业余创作团体管理；业余文艺创作组织；村级文化室业务指导；群众文艺理论研究；文化交流。</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环江毛南族自治县文化馆财政全额拨款副科级单位事业单位。</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环江毛南族自治县文化馆</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218.80</w:t>
      </w:r>
      <w:r>
        <w:rPr>
          <w:rFonts w:hint="eastAsia"/>
          <w:b w:val="0"/>
          <w:bCs w:val="0"/>
          <w:sz w:val="28"/>
          <w:szCs w:val="28"/>
        </w:rPr>
        <w:t xml:space="preserve">万元，总支出</w:t>
      </w:r>
      <w:r>
        <w:rPr>
          <w:rFonts w:hint="eastAsia"/>
          <w:sz w:val="28"/>
          <w:szCs w:val="28"/>
          <w:lang w:val="en-US" w:eastAsia="zh-CN"/>
        </w:rPr>
        <w:t xml:space="preserve">218.80</w:t>
      </w:r>
      <w:r>
        <w:rPr>
          <w:rFonts w:hint="eastAsia"/>
          <w:b w:val="0"/>
          <w:bCs w:val="0"/>
          <w:sz w:val="28"/>
          <w:szCs w:val="28"/>
        </w:rPr>
        <w:t xml:space="preserve">万元。总收入较2023年度预算数</w:t>
      </w:r>
      <w:r>
        <w:rPr>
          <w:rFonts w:hint="eastAsia"/>
          <w:sz w:val="28"/>
          <w:szCs w:val="28"/>
          <w:lang w:val="en-US" w:eastAsia="zh-CN"/>
        </w:rPr>
        <w:t xml:space="preserve">101.72</w:t>
      </w:r>
      <w:r>
        <w:rPr>
          <w:rFonts w:hint="eastAsia"/>
          <w:b w:val="0"/>
          <w:bCs w:val="0"/>
          <w:sz w:val="28"/>
          <w:szCs w:val="28"/>
        </w:rPr>
        <w:t xml:space="preserve">万元，</w:t>
      </w:r>
      <w:r>
        <w:rPr>
          <w:rFonts w:hint="eastAsia"/>
          <w:sz w:val="28"/>
          <w:szCs w:val="28"/>
        </w:rPr>
        <w:t xml:space="preserve">增加117.08</w:t>
      </w:r>
      <w:r>
        <w:rPr>
          <w:rFonts w:hint="eastAsia"/>
          <w:b w:val="0"/>
          <w:bCs w:val="0"/>
          <w:sz w:val="28"/>
          <w:szCs w:val="28"/>
        </w:rPr>
        <w:t xml:space="preserve">万元，</w:t>
      </w:r>
      <w:r>
        <w:rPr>
          <w:rFonts w:hint="eastAsia"/>
          <w:sz w:val="28"/>
          <w:szCs w:val="28"/>
        </w:rPr>
        <w:t xml:space="preserve">增长115.10%</w:t>
      </w:r>
      <w:r>
        <w:rPr>
          <w:rFonts w:hint="eastAsia"/>
          <w:b w:val="0"/>
          <w:bCs w:val="0"/>
          <w:sz w:val="28"/>
          <w:szCs w:val="28"/>
        </w:rPr>
        <w:t xml:space="preserve">，主要原因是</w:t>
      </w:r>
      <w:r>
        <w:rPr>
          <w:rFonts w:hint="eastAsia"/>
          <w:highlight w:val="none"/>
          <w:lang w:val="en-US" w:eastAsia="zh-CN"/>
        </w:rPr>
        <w:t xml:space="preserve">一是基础绩效工资增量增加；二是上年结转结余安排在2024年使用</w:t>
      </w:r>
      <w:r>
        <w:rPr>
          <w:rFonts w:hint="eastAsia"/>
          <w:b w:val="0"/>
          <w:bCs w:val="0"/>
          <w:sz w:val="28"/>
          <w:szCs w:val="28"/>
        </w:rPr>
        <w:t xml:space="preserve">。总支出较2023年度预算数</w:t>
      </w:r>
      <w:r>
        <w:rPr>
          <w:rFonts w:hint="eastAsia"/>
          <w:sz w:val="28"/>
          <w:szCs w:val="28"/>
          <w:lang w:val="en-US" w:eastAsia="zh-CN"/>
        </w:rPr>
        <w:t xml:space="preserve">101.72</w:t>
      </w:r>
      <w:r>
        <w:rPr>
          <w:rFonts w:hint="eastAsia"/>
          <w:b w:val="0"/>
          <w:bCs w:val="0"/>
          <w:sz w:val="28"/>
          <w:szCs w:val="28"/>
        </w:rPr>
        <w:t xml:space="preserve">万元，</w:t>
      </w:r>
      <w:r>
        <w:rPr>
          <w:rFonts w:hint="eastAsia"/>
          <w:sz w:val="28"/>
          <w:szCs w:val="28"/>
        </w:rPr>
        <w:t xml:space="preserve">增加117.08</w:t>
      </w:r>
      <w:r>
        <w:rPr>
          <w:rFonts w:hint="eastAsia"/>
          <w:b w:val="0"/>
          <w:bCs w:val="0"/>
          <w:sz w:val="28"/>
          <w:szCs w:val="28"/>
        </w:rPr>
        <w:t xml:space="preserve">万元，</w:t>
      </w:r>
      <w:r>
        <w:rPr>
          <w:rFonts w:hint="eastAsia"/>
          <w:sz w:val="28"/>
          <w:szCs w:val="28"/>
        </w:rPr>
        <w:t xml:space="preserve">增长115.10%</w:t>
      </w:r>
      <w:r>
        <w:rPr>
          <w:rFonts w:hint="eastAsia"/>
          <w:b w:val="0"/>
          <w:bCs w:val="0"/>
          <w:sz w:val="28"/>
          <w:szCs w:val="28"/>
        </w:rPr>
        <w:t xml:space="preserve">，主要原因是</w:t>
      </w:r>
      <w:r>
        <w:rPr>
          <w:rFonts w:hint="eastAsia"/>
          <w:highlight w:val="none"/>
          <w:lang w:val="en-US" w:eastAsia="zh-CN"/>
        </w:rPr>
        <w:t xml:space="preserve">一是基础绩效工资增量增加；二是上年结转结余安排在2024年使用</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01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218.80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101.72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增加117.08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增长115.10%</w:t>
      </w:r>
      <w:r>
        <w:rPr>
          <w:rFonts w:ascii="宋体" w:eastAsia="宋体" w:hAnsi="宋体" w:cs="宋体" w:hint="eastAsia"/>
          <w:sz w:val="28"/>
          <w:szCs w:val="28"/>
          <w:u w:color="auto"/>
        </w:rPr>
        <w:t xml:space="preserve">，主要原因是</w:t>
      </w:r>
      <w:r>
        <w:rPr>
          <w:rFonts w:hint="eastAsia"/>
          <w:highlight w:val="none"/>
          <w:lang w:val="en-US" w:eastAsia="zh-CN"/>
        </w:rPr>
        <w:t xml:space="preserve">一是基础绩效工资增量增加；二是上年结转结余安排在2024年使用</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01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218.80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101.72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增加117.08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增长115.10%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一是基础绩效工资增量增加；二是上年结转结余安排在2024年使用</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文化旅游体育与传媒支出、一般公共服务支出、社会保障和就业支出、住房保障支出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文化旅游体育与传媒支出</w:t>
      </w:r>
      <w:r>
        <w:rPr>
          <w:rFonts w:ascii="宋体" w:eastAsia="宋体" w:hAnsi="宋体" w:cs="宋体" w:hint="eastAsia"/>
          <w:sz w:val="28"/>
          <w:szCs w:val="28"/>
          <w:lang w:val="en-US" w:eastAsia="zh-CN"/>
        </w:rPr>
        <w:t xml:space="preserve">197.76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90.38%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增长114.10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增长136.39%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一是基础绩效工资增量增加；二是上年结转结余安排在2024年使用</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0.92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0.42%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减少23.33%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工会费支出减少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10.81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4.94%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增长12.25%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9.31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4.26%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增长28.77%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92.81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42.42%</w:t>
      </w:r>
      <w:r>
        <w:rPr>
          <w:rFonts w:ascii="宋体" w:eastAsia="宋体" w:hAnsi="宋体" w:cs="宋体"/>
          <w:sz w:val="28"/>
          <w:u w:color="auto"/>
        </w:rPr>
        <w:t xml:space="preserve">,比上年</w:t>
      </w:r>
      <w:r>
        <w:rPr>
          <w:rFonts w:ascii="宋体" w:eastAsia="宋体" w:hAnsi="宋体" w:cs="宋体"/>
          <w:sz w:val="28"/>
          <w:u w:color="auto"/>
        </w:rPr>
        <w:t xml:space="preserve">增长27.32</w:t>
      </w:r>
      <w:r>
        <w:rPr>
          <w:rFonts w:ascii="宋体" w:eastAsia="宋体" w:hAnsi="宋体" w:cs="宋体"/>
          <w:sz w:val="28"/>
          <w:u w:color="auto"/>
        </w:rPr>
        <w:t xml:space="preserve">万元，</w:t>
      </w:r>
      <w:r>
        <w:rPr>
          <w:rFonts w:ascii="宋体" w:eastAsia="宋体" w:hAnsi="宋体" w:cs="宋体"/>
          <w:sz w:val="28"/>
          <w:u w:color="auto"/>
        </w:rPr>
        <w:t xml:space="preserve">增长41.72%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2.30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2.48%</w:t>
      </w:r>
      <w:r>
        <w:rPr>
          <w:rFonts w:ascii="宋体" w:eastAsia="宋体" w:hAnsi="宋体" w:cs="宋体" w:hint="eastAsia"/>
          <w:sz w:val="28"/>
          <w:szCs w:val="28"/>
        </w:rPr>
        <w:t xml:space="preserve">,比上年</w:t>
      </w:r>
      <w:r>
        <w:rPr>
          <w:rFonts w:ascii="宋体" w:eastAsia="宋体" w:hAnsi="宋体" w:cs="宋体"/>
          <w:sz w:val="28"/>
          <w:u w:color="auto"/>
        </w:rPr>
        <w:t xml:space="preserve">增长0.80</w:t>
      </w:r>
      <w:r>
        <w:rPr>
          <w:rFonts w:ascii="宋体" w:eastAsia="宋体" w:hAnsi="宋体" w:cs="宋体"/>
          <w:sz w:val="28"/>
          <w:u w:color="auto"/>
        </w:rPr>
        <w:t xml:space="preserve">万元，</w:t>
      </w:r>
      <w:r>
        <w:rPr>
          <w:rFonts w:ascii="宋体" w:eastAsia="宋体" w:hAnsi="宋体" w:cs="宋体"/>
          <w:sz w:val="28"/>
          <w:u w:color="auto"/>
        </w:rPr>
        <w:t xml:space="preserve">增长53.33%</w:t>
      </w:r>
      <w:r>
        <w:rPr>
          <w:rFonts w:ascii="宋体" w:eastAsia="宋体" w:hAnsi="宋体" w:cs="宋体"/>
          <w:sz w:val="28"/>
          <w:u w:color="auto"/>
        </w:rPr>
        <w:t xml:space="preserve">,主要原因是：退休人员生活补助标准提高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3.55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3.83%</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sz w:val="28"/>
          <w:u w:color="auto"/>
        </w:rPr>
        <w:t xml:space="preserve">万元，</w:t>
      </w:r>
      <w:r>
        <w:rPr>
          <w:rFonts w:ascii="宋体" w:eastAsia="宋体" w:hAnsi="宋体" w:cs="宋体"/>
          <w:sz w:val="28"/>
          <w:u w:color="auto"/>
        </w:rPr>
        <w:t xml:space="preserve">增长0.00%</w:t>
      </w:r>
      <w:r>
        <w:rPr>
          <w:rFonts w:ascii="宋体" w:eastAsia="宋体" w:hAnsi="宋体" w:cs="宋体"/>
          <w:sz w:val="28"/>
          <w:u w:color="auto"/>
        </w:rPr>
        <w:t xml:space="preserve">,主要原因是：2024年支出预算与上年持平</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86.96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93.70%</w:t>
      </w:r>
      <w:r>
        <w:rPr>
          <w:rFonts w:ascii="宋体" w:eastAsia="宋体" w:hAnsi="宋体" w:cs="宋体" w:hint="eastAsia"/>
          <w:sz w:val="28"/>
          <w:szCs w:val="28"/>
        </w:rPr>
        <w:t xml:space="preserve">,比上年</w:t>
      </w:r>
      <w:r>
        <w:rPr>
          <w:rFonts w:ascii="宋体" w:eastAsia="宋体" w:hAnsi="宋体" w:cs="宋体"/>
          <w:sz w:val="28"/>
          <w:u w:color="auto"/>
        </w:rPr>
        <w:t xml:space="preserve">增长26.52</w:t>
      </w:r>
      <w:r>
        <w:rPr>
          <w:rFonts w:ascii="宋体" w:eastAsia="宋体" w:hAnsi="宋体" w:cs="宋体"/>
          <w:sz w:val="28"/>
          <w:u w:color="auto"/>
        </w:rPr>
        <w:t xml:space="preserve">万元，</w:t>
      </w:r>
      <w:r>
        <w:rPr>
          <w:rFonts w:ascii="宋体" w:eastAsia="宋体" w:hAnsi="宋体" w:cs="宋体"/>
          <w:sz w:val="28"/>
          <w:u w:color="auto"/>
        </w:rPr>
        <w:t xml:space="preserve">增长43.88%</w:t>
      </w:r>
      <w:r>
        <w:rPr>
          <w:rFonts w:ascii="宋体" w:eastAsia="宋体" w:hAnsi="宋体" w:cs="宋体"/>
          <w:sz w:val="28"/>
          <w:u w:color="auto"/>
        </w:rPr>
        <w:t xml:space="preserve">,主要原因是：一是基础绩效工资增量增加；二是公积金和社保费基数调整增加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125.99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57.58%</w:t>
      </w:r>
      <w:r>
        <w:rPr>
          <w:rFonts w:ascii="宋体" w:eastAsia="宋体" w:hAnsi="宋体" w:cs="宋体" w:hint="eastAsia"/>
          <w:sz w:val="28"/>
          <w:szCs w:val="28"/>
        </w:rPr>
        <w:t xml:space="preserve">,比上年</w:t>
      </w:r>
      <w:r>
        <w:rPr>
          <w:rFonts w:ascii="宋体" w:eastAsia="宋体" w:hAnsi="宋体" w:cs="宋体"/>
          <w:sz w:val="28"/>
          <w:u w:color="auto"/>
        </w:rPr>
        <w:t xml:space="preserve">增长89.76</w:t>
      </w:r>
      <w:r>
        <w:rPr>
          <w:rFonts w:ascii="宋体" w:eastAsia="宋体" w:hAnsi="宋体" w:cs="宋体" w:hint="eastAsia"/>
          <w:sz w:val="28"/>
          <w:szCs w:val="28"/>
        </w:rPr>
        <w:t xml:space="preserve">万元，</w:t>
      </w:r>
      <w:r>
        <w:rPr>
          <w:rFonts w:ascii="宋体" w:eastAsia="宋体" w:hAnsi="宋体" w:cs="宋体"/>
          <w:sz w:val="28"/>
          <w:u w:color="auto"/>
        </w:rPr>
        <w:t xml:space="preserve">增长247.75%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125.99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增长96.08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增长321.23%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上年结转结余资金安排在2024年使用</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减少6.32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基础绩效工资增量在基本支出预算，预发绩效奖项目支出预算不再保留</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01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218.80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218.80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101.72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增加117.08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增长115.10%</w:t>
      </w:r>
      <w:r>
        <w:rPr>
          <w:rFonts w:ascii="宋体" w:eastAsia="宋体" w:hAnsi="宋体" w:cs="宋体" w:hint="eastAsia"/>
          <w:sz w:val="28"/>
          <w:szCs w:val="28"/>
        </w:rPr>
        <w:t xml:space="preserve">，主要原因是</w:t>
      </w:r>
      <w:r>
        <w:rPr>
          <w:rFonts w:hint="eastAsia"/>
          <w:highlight w:val="none"/>
          <w:lang w:val="en-US" w:eastAsia="zh-CN"/>
        </w:rPr>
        <w:t xml:space="preserve">一是基础绩效工资增量增加；二是上年结转结余安排在2024年使用</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101.72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增加117.08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增长115.10%</w:t>
      </w:r>
      <w:r>
        <w:rPr>
          <w:rFonts w:ascii="宋体" w:eastAsia="宋体" w:hAnsi="宋体" w:cs="宋体" w:hint="eastAsia"/>
          <w:sz w:val="28"/>
          <w:szCs w:val="28"/>
        </w:rPr>
        <w:t xml:space="preserve">，主要原因是</w:t>
      </w:r>
      <w:r>
        <w:rPr>
          <w:rFonts w:hint="eastAsia"/>
          <w:highlight w:val="none"/>
          <w:lang w:val="en-US" w:eastAsia="zh-CN"/>
        </w:rPr>
        <w:t xml:space="preserve">一是基础绩效工资增量增加；二是上年结转结余安排在2024年使用</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01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218.80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101.72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增加117.08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增长115.10%</w:t>
      </w:r>
      <w:r>
        <w:rPr>
          <w:rFonts w:ascii="宋体" w:eastAsia="宋体" w:hAnsi="宋体" w:cs="宋体" w:hint="eastAsia"/>
          <w:sz w:val="28"/>
          <w:szCs w:val="28"/>
        </w:rPr>
        <w:t xml:space="preserve">，主要原因是</w:t>
      </w:r>
      <w:r>
        <w:rPr>
          <w:rFonts w:hint="eastAsia"/>
          <w:highlight w:val="none"/>
          <w:lang w:val="en-US" w:eastAsia="zh-CN"/>
        </w:rPr>
        <w:t xml:space="preserve">一是基础绩效工资增量增加；二是上年结转结余安排在2024年使用</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1.20</w:t>
      </w:r>
      <w:r>
        <w:rPr>
          <w:rFonts w:ascii="宋体" w:eastAsia="宋体" w:hAnsi="宋体" w:cs="宋体" w:hint="eastAsia"/>
          <w:sz w:val="28"/>
          <w:szCs w:val="28"/>
        </w:rPr>
        <w:t xml:space="preserve">万元，</w:t>
      </w:r>
      <w:r>
        <w:rPr>
          <w:rFonts w:ascii="宋体" w:eastAsia="宋体" w:hAnsi="宋体" w:cs="宋体"/>
          <w:sz w:val="28"/>
          <w:u w:color="auto"/>
        </w:rPr>
        <w:t xml:space="preserve">减少0.28</w:t>
      </w:r>
      <w:r>
        <w:rPr>
          <w:rFonts w:ascii="宋体" w:eastAsia="宋体" w:hAnsi="宋体" w:cs="宋体" w:hint="eastAsia"/>
          <w:sz w:val="28"/>
          <w:szCs w:val="28"/>
        </w:rPr>
        <w:t xml:space="preserve">万元，</w:t>
      </w:r>
      <w:r>
        <w:rPr>
          <w:rFonts w:ascii="宋体" w:eastAsia="宋体" w:hAnsi="宋体" w:cs="宋体"/>
          <w:sz w:val="28"/>
          <w:u w:color="auto"/>
        </w:rPr>
        <w:t xml:space="preserve">减少23.33%</w:t>
      </w:r>
      <w:r>
        <w:rPr>
          <w:rFonts w:ascii="宋体" w:eastAsia="宋体" w:hAnsi="宋体" w:cs="宋体" w:hint="eastAsia"/>
          <w:sz w:val="28"/>
          <w:szCs w:val="28"/>
        </w:rPr>
        <w:t xml:space="preserve">，主要原因是：</w:t>
      </w:r>
      <w:r>
        <w:rPr>
          <w:rFonts w:hint="eastAsia"/>
          <w:highlight w:val="none"/>
        </w:rPr>
        <w:t xml:space="preserve">工会费支出减少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9.31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7.23</w:t>
      </w:r>
      <w:r>
        <w:rPr>
          <w:rFonts w:ascii="宋体" w:eastAsia="宋体" w:hAnsi="宋体" w:cs="宋体" w:hint="eastAsia"/>
          <w:sz w:val="28"/>
          <w:szCs w:val="28"/>
        </w:rPr>
        <w:t xml:space="preserve">万元，</w:t>
      </w:r>
      <w:r>
        <w:rPr>
          <w:rFonts w:ascii="宋体" w:eastAsia="宋体" w:hAnsi="宋体" w:cs="宋体"/>
          <w:sz w:val="28"/>
          <w:u w:color="auto"/>
        </w:rPr>
        <w:t xml:space="preserve">增长2.08</w:t>
      </w:r>
      <w:r>
        <w:rPr>
          <w:rFonts w:ascii="宋体" w:eastAsia="宋体" w:hAnsi="宋体" w:cs="宋体" w:hint="eastAsia"/>
          <w:sz w:val="28"/>
          <w:szCs w:val="28"/>
        </w:rPr>
        <w:t xml:space="preserve">万元，</w:t>
      </w:r>
      <w:r>
        <w:rPr>
          <w:rFonts w:ascii="宋体" w:eastAsia="宋体" w:hAnsi="宋体" w:cs="宋体"/>
          <w:sz w:val="28"/>
          <w:u w:color="auto"/>
        </w:rPr>
        <w:t xml:space="preserve">增长28.77%</w:t>
      </w:r>
      <w:r>
        <w:rPr>
          <w:rFonts w:ascii="宋体" w:eastAsia="宋体" w:hAnsi="宋体" w:cs="宋体" w:hint="eastAsia"/>
          <w:sz w:val="28"/>
          <w:szCs w:val="28"/>
        </w:rPr>
        <w:t xml:space="preserve">，主要原因是：</w:t>
      </w:r>
      <w:r>
        <w:rPr>
          <w:rFonts w:hint="eastAsia"/>
          <w:highlight w:val="none"/>
        </w:rPr>
        <w:t xml:space="preserve">基数调整增加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197.76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90.38%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83.66</w:t>
      </w:r>
      <w:r>
        <w:rPr>
          <w:rFonts w:ascii="宋体" w:eastAsia="宋体" w:hAnsi="宋体" w:cs="宋体" w:hint="eastAsia"/>
          <w:sz w:val="28"/>
          <w:szCs w:val="28"/>
        </w:rPr>
        <w:t xml:space="preserve">万元，</w:t>
      </w:r>
      <w:r>
        <w:rPr>
          <w:rFonts w:ascii="宋体" w:eastAsia="宋体" w:hAnsi="宋体" w:cs="宋体"/>
          <w:sz w:val="28"/>
          <w:u w:color="auto"/>
        </w:rPr>
        <w:t xml:space="preserve">增长114.10</w:t>
      </w:r>
      <w:r>
        <w:rPr>
          <w:rFonts w:ascii="宋体" w:eastAsia="宋体" w:hAnsi="宋体" w:cs="宋体" w:hint="eastAsia"/>
          <w:sz w:val="28"/>
          <w:szCs w:val="28"/>
        </w:rPr>
        <w:t xml:space="preserve">万元，</w:t>
      </w:r>
      <w:r>
        <w:rPr>
          <w:rFonts w:ascii="宋体" w:eastAsia="宋体" w:hAnsi="宋体" w:cs="宋体"/>
          <w:sz w:val="28"/>
          <w:u w:color="auto"/>
        </w:rPr>
        <w:t xml:space="preserve">增长136.39%</w:t>
      </w:r>
      <w:r>
        <w:rPr>
          <w:rFonts w:ascii="宋体" w:eastAsia="宋体" w:hAnsi="宋体" w:cs="宋体" w:hint="eastAsia"/>
          <w:sz w:val="28"/>
          <w:szCs w:val="28"/>
        </w:rPr>
        <w:t xml:space="preserve">，主要原因是：</w:t>
      </w:r>
      <w:r>
        <w:rPr>
          <w:rFonts w:hint="eastAsia"/>
          <w:highlight w:val="none"/>
        </w:rPr>
        <w:t xml:space="preserve">一是基础绩效工资增量增加；二是上年结转结余安排在2024年使用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10.81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4.94%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9.63</w:t>
      </w:r>
      <w:r>
        <w:rPr>
          <w:rFonts w:ascii="宋体" w:eastAsia="宋体" w:hAnsi="宋体" w:cs="宋体" w:hint="eastAsia"/>
          <w:sz w:val="28"/>
          <w:szCs w:val="28"/>
        </w:rPr>
        <w:t xml:space="preserve">万元，</w:t>
      </w:r>
      <w:r>
        <w:rPr>
          <w:rFonts w:ascii="宋体" w:eastAsia="宋体" w:hAnsi="宋体" w:cs="宋体"/>
          <w:sz w:val="28"/>
          <w:u w:color="auto"/>
        </w:rPr>
        <w:t xml:space="preserve">增长1.18</w:t>
      </w:r>
      <w:r>
        <w:rPr>
          <w:rFonts w:ascii="宋体" w:eastAsia="宋体" w:hAnsi="宋体" w:cs="宋体" w:hint="eastAsia"/>
          <w:sz w:val="28"/>
          <w:szCs w:val="28"/>
        </w:rPr>
        <w:t xml:space="preserve">万元，</w:t>
      </w:r>
      <w:r>
        <w:rPr>
          <w:rFonts w:ascii="宋体" w:eastAsia="宋体" w:hAnsi="宋体" w:cs="宋体"/>
          <w:sz w:val="28"/>
          <w:u w:color="auto"/>
        </w:rPr>
        <w:t xml:space="preserve">增长12.25%</w:t>
      </w:r>
      <w:r>
        <w:rPr>
          <w:rFonts w:ascii="宋体" w:eastAsia="宋体" w:hAnsi="宋体" w:cs="宋体" w:hint="eastAsia"/>
          <w:sz w:val="28"/>
          <w:szCs w:val="28"/>
        </w:rPr>
        <w:t xml:space="preserve">，主要原因是：</w:t>
      </w:r>
      <w:r>
        <w:rPr>
          <w:rFonts w:hint="eastAsia"/>
          <w:highlight w:val="none"/>
        </w:rPr>
        <w:t xml:space="preserve">基数调整增加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1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92.81</w:t>
      </w:r>
      <w:r>
        <w:rPr>
          <w:rFonts w:hint="eastAsia"/>
        </w:rPr>
        <w:t xml:space="preserve">万元，较2023年度预算数</w:t>
      </w:r>
      <w:r>
        <w:rPr>
          <w:rFonts w:hint="eastAsia"/>
          <w:lang w:val="en-US" w:eastAsia="zh-CN"/>
        </w:rPr>
        <w:t xml:space="preserve">65.49</w:t>
      </w:r>
      <w:r>
        <w:rPr>
          <w:rFonts w:hint="eastAsia"/>
        </w:rPr>
        <w:t xml:space="preserve">万元</w:t>
      </w:r>
      <w:r>
        <w:rPr>
          <w:rFonts w:hint="eastAsia"/>
          <w:lang w:val="en-US" w:eastAsia="zh-CN"/>
        </w:rPr>
        <w:t xml:space="preserve">,</w:t>
      </w:r>
      <w:r>
        <w:rPr>
          <w:u w:color="auto"/>
        </w:rPr>
        <w:t xml:space="preserve">增加27.32</w:t>
      </w:r>
      <w:r>
        <w:rPr>
          <w:rFonts w:hint="eastAsia"/>
        </w:rPr>
        <w:t xml:space="preserve">万元，</w:t>
      </w:r>
      <w:r>
        <w:rPr>
          <w:rFonts w:hint="eastAsia"/>
          <w:lang w:val="en-US" w:eastAsia="zh-CN"/>
        </w:rPr>
        <w:t xml:space="preserve">增长41.72%</w:t>
      </w:r>
      <w:r>
        <w:rPr>
          <w:rFonts w:hint="eastAsia"/>
        </w:rPr>
        <w:t xml:space="preserve">，主要原因是</w:t>
      </w:r>
      <w:r>
        <w:rPr>
          <w:rFonts w:hint="eastAsia"/>
          <w:highlight w:val="none"/>
          <w:lang w:val="en-US" w:eastAsia="zh-CN"/>
        </w:rPr>
        <w:t xml:space="preserve">一是基础绩效工资增量增加；二是公积金和社保费基数调整增加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2.30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2.48%</w:t>
      </w:r>
      <w:r>
        <w:rPr>
          <w:rFonts w:hint="eastAsia"/>
        </w:rPr>
        <w:t xml:space="preserve">，较2023年度预算数</w:t>
      </w:r>
      <w:r>
        <w:rPr>
          <w:rFonts w:hint="eastAsia"/>
          <w:lang w:val="en-US" w:eastAsia="zh-CN"/>
        </w:rPr>
        <w:t xml:space="preserve">1.50</w:t>
      </w:r>
      <w:r>
        <w:rPr>
          <w:rFonts w:hint="eastAsia"/>
        </w:rPr>
        <w:t xml:space="preserve">万元，</w:t>
      </w:r>
      <w:r>
        <w:rPr>
          <w:rFonts w:hint="eastAsia"/>
          <w:lang w:val="en-US" w:eastAsia="zh-CN"/>
        </w:rPr>
        <w:t xml:space="preserve">增长0.80</w:t>
      </w:r>
      <w:r>
        <w:rPr>
          <w:rFonts w:hint="eastAsia"/>
        </w:rPr>
        <w:t xml:space="preserve">万元，</w:t>
      </w:r>
      <w:r>
        <w:rPr>
          <w:rFonts w:hint="eastAsia"/>
          <w:lang w:val="en-US" w:eastAsia="zh-CN"/>
        </w:rPr>
        <w:t xml:space="preserve">增长53.33%</w:t>
      </w:r>
      <w:r>
        <w:rPr>
          <w:rFonts w:hint="eastAsia"/>
        </w:rPr>
        <w:t xml:space="preserve">，主要原因是：</w:t>
      </w:r>
      <w:r>
        <w:rPr>
          <w:rFonts w:hint="eastAsia"/>
          <w:highlight w:val="none"/>
        </w:rPr>
        <w:t xml:space="preserve">退休人员生活补助标准提高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3.55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3.83%</w:t>
      </w:r>
      <w:r>
        <w:rPr>
          <w:rFonts w:hint="eastAsia"/>
        </w:rPr>
        <w:t xml:space="preserve">，较2023年度预算数</w:t>
      </w:r>
      <w:r>
        <w:rPr>
          <w:rFonts w:hint="eastAsia"/>
          <w:lang w:val="en-US" w:eastAsia="zh-CN"/>
        </w:rPr>
        <w:t xml:space="preserve">3.55</w:t>
      </w:r>
      <w:r>
        <w:rPr>
          <w:rFonts w:hint="eastAsia"/>
        </w:rPr>
        <w:t xml:space="preserve">万元，</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，主要原因是：</w:t>
      </w:r>
      <w:r>
        <w:rPr>
          <w:rFonts w:hint="eastAsia"/>
          <w:highlight w:val="none"/>
        </w:rPr>
        <w:t xml:space="preserve">2024年支出预算与上年持平</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86.96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93.70%</w:t>
      </w:r>
      <w:r>
        <w:rPr>
          <w:rFonts w:hint="eastAsia"/>
        </w:rPr>
        <w:t xml:space="preserve">，较2023年度预算数</w:t>
      </w:r>
      <w:r>
        <w:rPr>
          <w:rFonts w:hint="eastAsia"/>
          <w:lang w:val="en-US" w:eastAsia="zh-CN"/>
        </w:rPr>
        <w:t xml:space="preserve">60.44</w:t>
      </w:r>
      <w:r>
        <w:rPr>
          <w:rFonts w:hint="eastAsia"/>
        </w:rPr>
        <w:t xml:space="preserve">万元，</w:t>
      </w:r>
      <w:r>
        <w:rPr>
          <w:rFonts w:hint="eastAsia"/>
          <w:lang w:val="en-US" w:eastAsia="zh-CN"/>
        </w:rPr>
        <w:t xml:space="preserve">增长26.52</w:t>
      </w:r>
      <w:r>
        <w:rPr>
          <w:rFonts w:hint="eastAsia"/>
        </w:rPr>
        <w:t xml:space="preserve">万元，</w:t>
      </w:r>
      <w:r>
        <w:rPr>
          <w:rFonts w:hint="eastAsia"/>
          <w:lang w:val="en-US" w:eastAsia="zh-CN"/>
        </w:rPr>
        <w:t xml:space="preserve">增长43.88%</w:t>
      </w:r>
      <w:r>
        <w:rPr>
          <w:rFonts w:hint="eastAsia"/>
        </w:rPr>
        <w:t xml:space="preserve">，主要原因是：</w:t>
      </w:r>
      <w:r>
        <w:rPr>
          <w:rFonts w:hint="eastAsia"/>
          <w:highlight w:val="none"/>
        </w:rPr>
        <w:t xml:space="preserve">一是基础绩效工资增量增加；二是公积金和社保费基数调整增加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01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1.15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0.95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1.15</w:t>
      </w:r>
      <w:r>
        <w:rPr>
          <w:rFonts w:hint="eastAsia"/>
          <w:b w:val="0"/>
          <w:bCs w:val="0"/>
          <w:sz w:val="28"/>
          <w:szCs w:val="28"/>
        </w:rPr>
        <w:t xml:space="preserve">万元，同口径较2023年度预算数</w:t>
      </w:r>
      <w:r>
        <w:rPr>
          <w:rFonts w:hint="eastAsia"/>
          <w:b w:val="0"/>
          <w:bCs w:val="0"/>
          <w:sz w:val="28"/>
          <w:szCs w:val="28"/>
          <w:lang w:val="en-US" w:eastAsia="zh-CN"/>
        </w:rPr>
        <w:t xml:space="preserve">0.95</w:t>
      </w:r>
      <w:r>
        <w:rPr>
          <w:rFonts w:hint="eastAsia"/>
          <w:b w:val="0"/>
          <w:bCs w:val="0"/>
          <w:sz w:val="28"/>
          <w:szCs w:val="28"/>
        </w:rPr>
        <w:t xml:space="preserve">万元，</w:t>
      </w:r>
      <w:r>
        <w:rPr>
          <w:rFonts w:hint="eastAsia"/>
          <w:b w:val="0"/>
          <w:bCs w:val="0"/>
          <w:sz w:val="28"/>
          <w:szCs w:val="28"/>
          <w:lang w:val="en-US" w:eastAsia="zh-CN"/>
        </w:rPr>
        <w:t xml:space="preserve">增长0.20</w:t>
      </w:r>
      <w:r>
        <w:rPr>
          <w:rFonts w:hint="eastAsia"/>
          <w:b w:val="0"/>
          <w:bCs w:val="0"/>
          <w:sz w:val="28"/>
          <w:szCs w:val="28"/>
        </w:rPr>
        <w:t xml:space="preserve">万元，</w:t>
      </w:r>
      <w:r>
        <w:rPr>
          <w:rFonts w:hint="eastAsia"/>
          <w:b w:val="0"/>
          <w:bCs w:val="0"/>
          <w:sz w:val="28"/>
          <w:szCs w:val="28"/>
          <w:lang w:val="en-US" w:eastAsia="zh-CN"/>
        </w:rPr>
        <w:t xml:space="preserve">增长21.05%</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2024年我单位无因公出国（境）活动安排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0.20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增长0.20</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sz w:val="28"/>
          <w:szCs w:val="28"/>
          <w:highlight w:val="none"/>
          <w:lang w:val="en-US" w:eastAsia="zh-CN"/>
        </w:rPr>
        <w:t xml:space="preserve">2024年我单位因工作需要有公务接待预算安排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2024年我单位无公车购买</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因工作需要，加强公车维护保养确保运行良好，2024年与2023年预算安排持平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我单位2024年部门预算无政府性基金预算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3.55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3.55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2024年机关运行经费保持与2023年预算持平</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主要用于：2024年我单位无政府采购项目支出预算。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125.99</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名称：免费开放县级配套资金，预算资金20000元，2024年度绩效目标为：通过免费开放，提高了人民群众思想道德和科学文化素质。设1条数量指标：开展文化惠民活动大于或等于1次；设1条质量指标：高规格完成免费开放100%；设1条时效指标：每月按时完成免费开放文化惠民活动；设1条成本指标：项目成本小于或等于20000元；设一条社会效益指标：完成免费开放，提高服务群众质量；设1条满意度指标：群众满意率100%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环江毛南族自治县文化馆</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环江毛南族自治县文化馆</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0.92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197.76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9.31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218.80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110.57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218.80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218.80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环江毛南族自治县文化馆</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202004</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218.80</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108.23</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108.23</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110.57</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110.57</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环江毛南族自治县文化馆</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218.80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92.81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125.99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218.80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92.81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125.99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群众文化</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87.21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71.47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15.74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其他文化和旅游支出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110.25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110.25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环江毛南族自治县文化馆</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0.92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197.76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9.31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218.80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110.57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218.80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218.80</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环江毛南族自治县文化馆</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202004</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218.80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92.81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89.26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3.55</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125.99</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0.92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0.30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0.30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2070109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群众文化</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87.21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71.47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68.84</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2.63</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15.74</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其他文化和旅游支出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110.25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110.25</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10.81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10.81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10.81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9.31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9.31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环江毛南族自治县文化馆</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92.81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89.26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86.96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86.96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30.49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30.49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15.83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15.83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13.61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13.61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10.81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10.81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0.80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公务接待费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环江毛南族自治县文化馆</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202004</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1.15</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0.95</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0.95</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环江毛南族自治县文化馆</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环江毛南族自治县文化馆</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环江毛南族自治县文化馆</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保安经费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5.32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聘用保安，保护单位财产</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演出服装费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年度演出服装费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县级免费开放资金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免费开放县级配资金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公共数字文化建设经费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公共数字文化建设经费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文化馆免费开放经费中央资金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4.85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文化馆免费开放经费中央资金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文化志愿者经费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47.14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文化志愿者经费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公共文化资金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公共文化资金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演艺博览会活动经费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参加全国演艺博览会</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日常工作经费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日常工作经费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环江毛南族自治县文化馆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业务工作经费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20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01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20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01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20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02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20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02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20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21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1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0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1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0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c6fL00DOPBusuxsKB6eoEA==" w:hash="pnGa/m1DLYL/WsowiCX4Kbeixy0jz1SweavDS9by3E/Jvulneq/uMdaSTsvfHa5Ul9aLwi7XK60KoFzFYUavY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218.8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ptCount val="4"/>
                <c:pt idx="0">
                  <c:v>0.92</c:v>
                </c:pt>
                <c:pt idx="1">
                  <c:v>87.19</c:v>
                </c:pt>
                <c:pt idx="2">
                  <c:v>10.81</c:v>
                </c:pt>
                <c:pt idx="3">
                  <c:v>9.31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101.72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218.8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92.81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15.42</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3.55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89.26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89.26</c:v>
                </c:pt>
                <c:pt idx="1">
                  <c:v>3.55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0.95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0.2</c:v>
                </c:pt>
                <c:pt idx="2">
                  <c:v>0.95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2024-03-02T03:45:53Z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