
<file path=[Content_Types].xml><?xml version="1.0" encoding="utf-8"?>
<Types xmlns="http://schemas.openxmlformats.org/package/2006/content-types">
  <Default ContentType="application/vnd.openxmlformats-package.relationships+xml" Extension="rels"/>
  <Default ContentType="application/vnd.openxmlformats-officedocument.spreadsheetml.sheet" Extension="xlsx"/>
  <Default ContentType="application/xml" Extension="xml"/>
  <Override ContentType="application/xml" PartName="/customXml/item1.xml"/>
  <Override ContentType="application/xml" PartName="/customXml/item2.xml"/>
  <Override ContentType="application/xml" PartName="/customXml/item3.xml"/>
  <Override ContentType="application/xml" PartName="/customXml/item4.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drawingml.chart+xml" PartName="/word/charts/chart1.xml"/>
  <Override ContentType="application/vnd.openxmlformats-officedocument.drawingml.chart+xml" PartName="/word/charts/chart2.xml"/>
  <Override ContentType="application/vnd.openxmlformats-officedocument.drawingml.chart+xml" PartName="/word/charts/chart3.xml"/>
  <Override ContentType="application/vnd.openxmlformats-officedocument.drawingml.chart+xml" PartName="/word/charts/chart4.xml"/>
  <Override ContentType="application/vnd.openxmlformats-officedocument.drawingml.chart+xml" PartName="/word/charts/chart5.xml"/>
  <Override ContentType="application/vnd.openxmlformats-officedocument.drawingml.chart+xml" PartName="/word/charts/chart6.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er+xml" PartName="/word/footer7.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header+xml" PartName="/word/header5.xml"/>
  <Override ContentType="application/vnd.openxmlformats-officedocument.wordprocessingml.header+xml" PartName="/word/header6.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 Id="rId4" Target="docProps/custom.xml" Type="http://schemas.openxmlformats.org/officeDocument/2006/relationships/custom-properties"/></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w15="http://schemas.microsoft.com/office/word/2012/wordml" mc:Ignorable="w14 w15">
  <!-- Generated by Spire.Doc -->
  <w:body>
    <w:p>
      <w:pPr>
        <w:pStyle w:val="Bodytext|5"/>
        <w:jc w:val="center"/>
        <w:rPr>
          <w:rFonts w:hint="eastAsia"/>
          <w:sz w:val="56"/>
          <w:szCs w:val="56"/>
          <w:lang w:eastAsia="zh-CN"/>
        </w:rPr>
      </w:pPr>
      <w:r>
        <w:rPr>
          <w:rFonts w:hint="eastAsia"/>
          <w:sz w:val="56"/>
          <w:szCs w:val="56"/>
          <w:lang w:eastAsia="zh-CN"/>
        </w:rPr>
        <w:t xml:space="preserve">中共环江毛南族自治县委员会宣传部</w:t>
      </w:r>
    </w:p>
    <w:p>
      <w:pPr>
        <w:pStyle w:val="Bodytext|5"/>
        <w:jc w:val="center"/>
        <w:rPr>
          <w:sz w:val="56"/>
          <w:szCs w:val="56"/>
        </w:rPr>
        <w:sectPr>
          <w:headerReference w:type="default" r:id="rId5"/>
          <w:footerReference w:type="default" r:id="rId6"/>
          <w:pgSz w:w="11900" w:h="16840" w:orient="portrait"/>
          <w:pgMar w:top="4713" w:right="1913" w:bottom="4713" w:left="2020" w:header="4285" w:footer="2381" w:gutter="0"/>
          <w:pgBorders>
            <w:top w:val="none" w:sz="0" w:space="0" w:color="auto"/>
            <w:left w:val="none" w:sz="0" w:space="0" w:color="auto"/>
            <w:bottom w:val="none" w:sz="0" w:space="0" w:color="auto"/>
            <w:right w:val="none" w:sz="0" w:space="0" w:color="auto"/>
          </w:pgBorders>
          <w:pgNumType w:fmt="decimal" w:start="1"/>
          <w:cols w:num="1" w:space="720">
            <w:col w:w="7967" w:space="720"/>
          </w:cols>
          <w:docGrid w:linePitch="360" w:charSpace="0"/>
        </w:sectPr>
      </w:pPr>
      <w:r>
        <w:rPr>
          <w:rFonts w:hint="eastAsia"/>
          <w:sz w:val="56"/>
          <w:szCs w:val="56"/>
          <w:lang w:eastAsia="zh-CN"/>
        </w:rPr>
        <w:t xml:space="preserve">2024</w:t>
      </w:r>
      <w:r>
        <w:rPr>
          <w:rFonts w:ascii="宋体" w:eastAsia="宋体" w:hAnsi="宋体" w:asciiTheme="majorEastAsia" w:eastAsiaTheme="majorEastAsia" w:hAnsiTheme="majorEastAsia" w:cs="Times New Roman" w:cstheme="majorEastAsia" w:hint="eastAsia"/>
          <w:sz w:val="56"/>
          <w:szCs w:val="56"/>
          <w:u w:color="auto"/>
        </w:rPr>
        <w:t xml:space="preserve">年</w:t>
      </w:r>
      <w:r>
        <w:rPr>
          <w:rFonts w:ascii="宋体" w:eastAsia="宋体" w:hAnsi="宋体" w:asciiTheme="majorEastAsia" w:eastAsiaTheme="majorEastAsia" w:hAnsiTheme="majorEastAsia" w:cs="Times New Roman" w:cstheme="majorEastAsia" w:hint="eastAsia"/>
          <w:sz w:val="56"/>
          <w:szCs w:val="56"/>
        </w:rPr>
        <w:t xml:space="preserve">度部门预算</w:t>
      </w:r>
    </w:p>
    <w:p>
      <w:pPr>
        <w:pStyle w:val="Heading#1|1"/>
        <w:keepNext/>
        <w:keepLines/>
        <w:spacing w:after="240"/>
        <w:jc w:val="center"/>
      </w:pPr>
      <w:bookmarkStart w:id="0" w:name="bookmark2"/>
      <w:bookmarkStart w:id="1" w:name="bookmark1"/>
      <w:bookmarkStart w:id="2" w:name="bookmark0"/>
      <w:r>
        <w:t xml:space="preserve">目录</w:t>
      </w:r>
      <w:bookmarkEnd w:id="0"/>
      <w:bookmarkEnd w:id="1"/>
      <w:bookmarkEnd w:id="2"/>
    </w:p>
    <w:p>
      <w:pPr>
        <w:pStyle w:val="Bodytext|2"/>
        <w:ind w:left="0" w:firstLine="320" w:leftChars="0" w:firstLineChars="100"/>
        <w:jc w:val="left"/>
      </w:pPr>
      <w:r>
        <w:t xml:space="preserve">第一部分</w:t>
      </w:r>
      <w:r>
        <w:rPr>
          <w:rFonts w:hint="eastAsia"/>
          <w:lang w:eastAsia="zh-CN"/>
        </w:rPr>
        <w:t xml:space="preserve">：</w:t>
      </w:r>
      <w:r>
        <w:rPr>
          <w:u w:color="auto"/>
        </w:rPr>
        <w:t xml:space="preserve">中共环江毛南族自治县委员会宣传部</w:t>
      </w:r>
      <w:r>
        <w:rPr>
          <w:u w:color="auto"/>
        </w:rPr>
        <w:t xml:space="preserve">单位</w:t>
      </w:r>
      <w:r>
        <w:t xml:space="preserve">概况</w:t>
      </w:r>
    </w:p>
    <w:p>
      <w:pPr>
        <w:pStyle w:val="Bodytext|2"/>
        <w:jc w:val="left"/>
      </w:pPr>
      <w:r>
        <w:rPr>
          <w:lang w:val="en-US" w:eastAsia="zh-CN" w:bidi="en-US"/>
        </w:rPr>
        <w:t xml:space="preserve">—</w:t>
      </w:r>
      <w:r>
        <w:t xml:space="preserve">、主要职责</w:t>
      </w:r>
    </w:p>
    <w:p>
      <w:pPr>
        <w:pStyle w:val="Bodytext|2"/>
        <w:jc w:val="left"/>
        <w:rPr>
          <w:rFonts w:hint="eastAsia"/>
        </w:rPr>
      </w:pPr>
      <w:r>
        <w:rPr>
          <w:rFonts w:hint="eastAsia"/>
          <w:lang w:val="en-US" w:eastAsia="zh-CN"/>
        </w:rPr>
        <w:t xml:space="preserve">二、</w:t>
      </w:r>
      <w:r>
        <w:rPr>
          <w:rFonts w:hint="eastAsia"/>
        </w:rPr>
        <w:t xml:space="preserve">机构设置情况</w:t>
      </w:r>
    </w:p>
    <w:p>
      <w:pPr>
        <w:pStyle w:val="Bodytext|2"/>
        <w:ind w:left="0" w:firstLine="320" w:leftChars="0" w:firstLineChars="100"/>
        <w:jc w:val="left"/>
      </w:pPr>
      <w:r>
        <w:t xml:space="preserve">第二部分</w:t>
      </w:r>
      <w:r>
        <w:rPr>
          <w:rFonts w:hint="eastAsia"/>
          <w:lang w:eastAsia="zh-CN"/>
        </w:rPr>
        <w:t xml:space="preserve">：</w:t>
      </w:r>
      <w:r>
        <w:rPr>
          <w:u w:color="auto"/>
        </w:rPr>
        <w:t xml:space="preserve">中共环江毛南族自治县委员会宣传部</w:t>
      </w:r>
      <w:r>
        <w:rPr>
          <w:u w:color="auto"/>
        </w:rPr>
        <w:t xml:space="preserve">2024</w:t>
      </w:r>
      <w:r>
        <w:t xml:space="preserve">部门预算情况说明</w:t>
      </w:r>
    </w:p>
    <w:p>
      <w:pPr>
        <w:pStyle w:val="Bodytext|2"/>
        <w:numPr>
          <w:ilvl w:val="0"/>
          <w:numId w:val="0"/>
        </w:numPr>
        <w:ind w:firstLine="640" w:firstLineChars="200"/>
        <w:jc w:val="left"/>
        <w:rPr>
          <w:rFonts w:hint="eastAsia"/>
        </w:rPr>
      </w:pPr>
      <w:r>
        <w:rPr>
          <w:rFonts w:hint="eastAsia"/>
        </w:rPr>
        <w:t xml:space="preserve">一、部门收支总体情况说明</w:t>
      </w:r>
    </w:p>
    <w:p>
      <w:pPr>
        <w:pStyle w:val="Bodytext|2"/>
        <w:numPr>
          <w:ilvl w:val="0"/>
          <w:numId w:val="0"/>
        </w:numPr>
        <w:ind w:firstLine="640" w:firstLineChars="200"/>
        <w:jc w:val="left"/>
        <w:rPr>
          <w:rFonts w:hint="eastAsia"/>
        </w:rPr>
      </w:pPr>
      <w:r>
        <w:rPr>
          <w:rFonts w:hint="eastAsia"/>
        </w:rPr>
        <w:t xml:space="preserve">二、部门收入总体情况说明</w:t>
      </w:r>
    </w:p>
    <w:p>
      <w:pPr>
        <w:pStyle w:val="Bodytext|2"/>
        <w:numPr>
          <w:ilvl w:val="0"/>
          <w:numId w:val="0"/>
        </w:numPr>
        <w:ind w:firstLine="640" w:firstLineChars="200"/>
        <w:jc w:val="left"/>
        <w:rPr>
          <w:rFonts w:hint="eastAsia"/>
        </w:rPr>
      </w:pPr>
      <w:r>
        <w:rPr>
          <w:rFonts w:hint="eastAsia"/>
        </w:rPr>
        <w:t xml:space="preserve">三、部门支出总体情况说明</w:t>
      </w:r>
    </w:p>
    <w:p>
      <w:pPr>
        <w:pStyle w:val="Bodytext|2"/>
        <w:numPr>
          <w:ilvl w:val="0"/>
          <w:numId w:val="0"/>
        </w:numPr>
        <w:ind w:firstLine="640" w:firstLineChars="200"/>
        <w:jc w:val="left"/>
        <w:rPr>
          <w:rFonts w:hint="eastAsia"/>
        </w:rPr>
      </w:pPr>
      <w:r>
        <w:rPr>
          <w:rFonts w:hint="eastAsia"/>
        </w:rPr>
        <w:t xml:space="preserve">四、财政拨款收支总体情况说明</w:t>
      </w:r>
    </w:p>
    <w:p>
      <w:pPr>
        <w:pStyle w:val="Bodytext|2"/>
        <w:numPr>
          <w:ilvl w:val="0"/>
          <w:numId w:val="0"/>
        </w:numPr>
        <w:ind w:firstLine="640" w:firstLineChars="200"/>
        <w:jc w:val="left"/>
        <w:rPr>
          <w:rFonts w:hint="eastAsia"/>
        </w:rPr>
      </w:pPr>
      <w:r>
        <w:rPr>
          <w:rFonts w:hint="eastAsia"/>
        </w:rPr>
        <w:t xml:space="preserve">五、一般公共预算支出情况说明</w:t>
      </w:r>
    </w:p>
    <w:p>
      <w:pPr>
        <w:pStyle w:val="Bodytext|2"/>
        <w:numPr>
          <w:ilvl w:val="0"/>
          <w:numId w:val="0"/>
        </w:numPr>
        <w:ind w:firstLine="640" w:firstLineChars="200"/>
        <w:jc w:val="left"/>
        <w:rPr>
          <w:rFonts w:hint="eastAsia"/>
        </w:rPr>
      </w:pPr>
      <w:r>
        <w:rPr>
          <w:rFonts w:hint="eastAsia"/>
        </w:rPr>
        <w:t xml:space="preserve">六、一般公共预算基本支出情况说明</w:t>
      </w:r>
    </w:p>
    <w:p>
      <w:pPr>
        <w:pStyle w:val="Bodytext|2"/>
        <w:numPr>
          <w:ilvl w:val="0"/>
          <w:numId w:val="0"/>
        </w:numPr>
        <w:ind w:firstLine="640" w:firstLineChars="200"/>
        <w:jc w:val="left"/>
        <w:rPr>
          <w:rFonts w:hint="eastAsia"/>
        </w:rPr>
      </w:pPr>
      <w:r>
        <w:rPr>
          <w:rFonts w:hint="eastAsia"/>
        </w:rPr>
        <w:t xml:space="preserve">七、一般公共预算“三公”经费支出情况说明</w:t>
      </w:r>
    </w:p>
    <w:p>
      <w:pPr>
        <w:pStyle w:val="Bodytext|2"/>
        <w:numPr>
          <w:ilvl w:val="0"/>
          <w:numId w:val="0"/>
        </w:numPr>
        <w:ind w:firstLine="640" w:firstLineChars="200"/>
        <w:jc w:val="left"/>
        <w:rPr>
          <w:rFonts w:hint="eastAsia"/>
        </w:rPr>
      </w:pPr>
      <w:r>
        <w:rPr>
          <w:rFonts w:hint="eastAsia"/>
        </w:rPr>
        <w:t xml:space="preserve">八、政府性基金预算支出情况说明</w:t>
      </w:r>
    </w:p>
    <w:p>
      <w:pPr>
        <w:pStyle w:val="Bodytext|2"/>
        <w:numPr>
          <w:ilvl w:val="0"/>
          <w:numId w:val="0"/>
        </w:numPr>
        <w:ind w:firstLine="640" w:firstLineChars="200"/>
        <w:jc w:val="left"/>
        <w:rPr>
          <w:rFonts w:hint="eastAsia"/>
        </w:rPr>
      </w:pPr>
      <w:r>
        <w:rPr>
          <w:rFonts w:hint="eastAsia"/>
        </w:rPr>
        <w:t xml:space="preserve">九、国有资本经营预算支出情况说明</w:t>
      </w:r>
    </w:p>
    <w:p>
      <w:pPr>
        <w:pStyle w:val="Bodytext|2"/>
        <w:numPr>
          <w:ilvl w:val="0"/>
          <w:numId w:val="0"/>
        </w:numPr>
        <w:ind w:firstLine="640" w:firstLineChars="200"/>
        <w:jc w:val="left"/>
      </w:pPr>
      <w:r>
        <w:rPr>
          <w:rFonts w:hint="eastAsia"/>
        </w:rPr>
        <w:t xml:space="preserve">十、其他重要事项情况说明</w:t>
      </w:r>
    </w:p>
    <w:p>
      <w:pPr>
        <w:pStyle w:val="Bodytext|2"/>
        <w:ind w:left="0" w:firstLine="320" w:leftChars="0" w:firstLineChars="100"/>
        <w:jc w:val="left"/>
      </w:pPr>
      <w:r>
        <w:t xml:space="preserve">第三部分</w:t>
      </w:r>
      <w:r>
        <w:rPr>
          <w:rFonts w:hint="eastAsia"/>
          <w:lang w:eastAsia="zh-CN"/>
        </w:rPr>
        <w:t xml:space="preserve">：</w:t>
      </w:r>
      <w:r>
        <w:rPr>
          <w:u w:color="auto"/>
        </w:rPr>
        <w:t xml:space="preserve">中共环江毛南族自治县委员会宣传部</w:t>
      </w:r>
      <w:r>
        <w:rPr>
          <w:u w:color="auto"/>
        </w:rPr>
        <w:t xml:space="preserve">2024</w:t>
      </w:r>
      <w:r>
        <w:rPr>
          <w:rFonts w:ascii="Times New Roman" w:hAnsi="Times New Roman" w:cs="Times New Roman"/>
          <w:u w:color="auto"/>
        </w:rPr>
        <w:t xml:space="preserve">年</w:t>
      </w:r>
      <w:r>
        <w:t xml:space="preserve">部门预算</w:t>
      </w:r>
      <w:r>
        <w:rPr>
          <w:rFonts w:hint="eastAsia"/>
          <w:lang w:val="en-US" w:eastAsia="zh-CN"/>
        </w:rPr>
        <w:t xml:space="preserve">相关报</w:t>
      </w:r>
      <w:r>
        <w:t xml:space="preserve">表</w:t>
      </w:r>
    </w:p>
    <w:p>
      <w:pPr>
        <w:pStyle w:val="Bodytext|2"/>
        <w:jc w:val="left"/>
        <w:rPr>
          <w:rFonts w:hint="eastAsia"/>
        </w:rPr>
      </w:pPr>
      <w:r>
        <w:rPr>
          <w:rFonts w:hint="eastAsia"/>
        </w:rPr>
        <w:t xml:space="preserve">一、部门收支总体情况表</w:t>
      </w:r>
    </w:p>
    <w:p>
      <w:pPr>
        <w:pStyle w:val="Bodytext|2"/>
        <w:jc w:val="left"/>
        <w:rPr>
          <w:rFonts w:hint="eastAsia"/>
        </w:rPr>
      </w:pPr>
      <w:r>
        <w:rPr>
          <w:rFonts w:hint="eastAsia"/>
        </w:rPr>
        <w:t xml:space="preserve">二、部门收入总体情况表</w:t>
      </w:r>
    </w:p>
    <w:p>
      <w:pPr>
        <w:pStyle w:val="Bodytext|2"/>
        <w:jc w:val="left"/>
        <w:rPr>
          <w:rFonts w:hint="eastAsia"/>
        </w:rPr>
      </w:pPr>
      <w:r>
        <w:rPr>
          <w:rFonts w:hint="eastAsia"/>
        </w:rPr>
        <w:t xml:space="preserve">三、部门支出总体情况表</w:t>
      </w:r>
    </w:p>
    <w:p>
      <w:pPr>
        <w:pStyle w:val="Bodytext|2"/>
        <w:jc w:val="left"/>
        <w:rPr>
          <w:rFonts w:hint="eastAsia"/>
        </w:rPr>
      </w:pPr>
      <w:r>
        <w:rPr>
          <w:rFonts w:hint="eastAsia"/>
        </w:rPr>
        <w:t xml:space="preserve">四、财政拨款收支总体情况表</w:t>
      </w:r>
    </w:p>
    <w:p>
      <w:pPr>
        <w:pStyle w:val="Bodytext|2"/>
        <w:jc w:val="left"/>
        <w:rPr>
          <w:rFonts w:hint="eastAsia"/>
        </w:rPr>
      </w:pPr>
      <w:r>
        <w:rPr>
          <w:rFonts w:hint="eastAsia"/>
        </w:rPr>
        <w:t xml:space="preserve">五、一般公共预算支出情况表</w:t>
      </w:r>
    </w:p>
    <w:p>
      <w:pPr>
        <w:pStyle w:val="Bodytext|2"/>
        <w:jc w:val="left"/>
        <w:rPr>
          <w:rFonts w:hint="eastAsia"/>
        </w:rPr>
      </w:pPr>
      <w:r>
        <w:rPr>
          <w:rFonts w:hint="eastAsia"/>
        </w:rPr>
        <w:t xml:space="preserve">六、一般公共预算基本支出情况表</w:t>
      </w:r>
    </w:p>
    <w:p>
      <w:pPr>
        <w:pStyle w:val="Bodytext|2"/>
        <w:jc w:val="left"/>
        <w:rPr>
          <w:rFonts w:hint="eastAsia"/>
        </w:rPr>
      </w:pPr>
      <w:r>
        <w:rPr>
          <w:rFonts w:hint="eastAsia"/>
        </w:rPr>
        <w:t xml:space="preserve">七、一般公共预算“三公”经费支出情况表</w:t>
      </w:r>
    </w:p>
    <w:p>
      <w:pPr>
        <w:pStyle w:val="Bodytext|2"/>
        <w:jc w:val="left"/>
        <w:rPr>
          <w:rFonts w:hint="eastAsia"/>
        </w:rPr>
      </w:pPr>
      <w:r>
        <w:rPr>
          <w:rFonts w:hint="eastAsia"/>
        </w:rPr>
        <w:t xml:space="preserve">八、政府性基金预算支出情况表</w:t>
      </w:r>
    </w:p>
    <w:p>
      <w:pPr>
        <w:pStyle w:val="Bodytext|2"/>
        <w:jc w:val="left"/>
        <w:rPr>
          <w:rFonts w:hint="eastAsia"/>
        </w:rPr>
      </w:pPr>
      <w:r>
        <w:rPr>
          <w:rFonts w:hint="eastAsia"/>
        </w:rPr>
        <w:t xml:space="preserve">九、国有资本经营预算支出情况表</w:t>
      </w:r>
    </w:p>
    <w:p>
      <w:pPr>
        <w:pStyle w:val="Bodytext|2"/>
        <w:jc w:val="left"/>
        <w:rPr>
          <w:rFonts w:eastAsia="宋体" w:hint="eastAsia"/>
          <w:lang w:eastAsia="zh-CN"/>
        </w:rPr>
      </w:pPr>
      <w:r>
        <w:rPr>
          <w:rFonts w:hint="eastAsia"/>
        </w:rPr>
        <w:t xml:space="preserve">十、2024年度预算项目绩效目标公开表</w:t>
      </w:r>
    </w:p>
    <w:p>
      <w:pPr>
        <w:pStyle w:val="Bodytext|2"/>
        <w:ind w:left="0" w:firstLine="320" w:leftChars="0" w:firstLineChars="100"/>
        <w:jc w:val="left"/>
        <w:rPr>
          <w:rFonts w:eastAsia="宋体" w:hint="eastAsia"/>
          <w:lang w:eastAsia="zh-CN"/>
        </w:rPr>
        <w:sectPr>
          <w:footerReference w:type="default" r:id="rId7"/>
          <w:pgSz w:w="11900" w:h="16840" w:orient="portrait"/>
          <w:pgMar w:top="1508" w:right="1674" w:bottom="1508" w:left="1851" w:header="0" w:footer="1077" w:gutter="0"/>
          <w:pgBorders>
            <w:top w:val="none" w:sz="0" w:space="0" w:color="auto"/>
            <w:left w:val="none" w:sz="0" w:space="0" w:color="auto"/>
            <w:bottom w:val="none" w:sz="0" w:space="0" w:color="auto"/>
            <w:right w:val="none" w:sz="0" w:space="0" w:color="auto"/>
          </w:pgBorders>
          <w:pgNumType w:fmt="decimal"/>
          <w:cols w:num="1" w:space="720">
            <w:col w:w="8375" w:space="720"/>
          </w:cols>
          <w:docGrid w:linePitch="360" w:charSpace="0"/>
        </w:sectPr>
      </w:pPr>
      <w:r>
        <w:t xml:space="preserve">第四部分</w:t>
      </w:r>
      <w:r>
        <w:rPr>
          <w:rFonts w:hint="eastAsia"/>
          <w:lang w:eastAsia="zh-CN"/>
        </w:rPr>
        <w:t xml:space="preserve">：</w:t>
      </w:r>
      <w:r>
        <w:t xml:space="preserve">名词</w:t>
      </w:r>
      <w:r>
        <w:rPr>
          <w:rFonts w:hint="eastAsia"/>
          <w:lang w:val="en-US" w:eastAsia="zh-CN"/>
        </w:rPr>
        <w:t xml:space="preserve">解释</w:t>
      </w:r>
    </w:p>
    <w:p>
      <w:pPr>
        <w:pStyle w:val="Heading#1|1"/>
        <w:keepNext/>
        <w:keepLines/>
        <w:pageBreakBefore w:val="0"/>
        <w:widowControl w:val="0"/>
        <w:kinsoku/>
        <w:wordWrap/>
        <w:overflowPunct/>
        <w:topLinePunct w:val="0"/>
        <w:autoSpaceDE/>
        <w:autoSpaceDN/>
        <w:bidi w:val="0"/>
        <w:adjustRightInd/>
        <w:snapToGrid/>
        <w:spacing w:before="120" w:after="0" w:line="600" w:lineRule="exact"/>
        <w:jc w:val="both"/>
        <w:textAlignment w:val="auto"/>
        <w:rPr>
          <w:b/>
          <w:bCs/>
          <w:sz w:val="40"/>
          <w:szCs w:val="40"/>
        </w:rPr>
      </w:pPr>
      <w:bookmarkStart w:id="3" w:name="bookmark14"/>
      <w:bookmarkStart w:id="4" w:name="bookmark12"/>
      <w:bookmarkStart w:id="5" w:name="bookmark13"/>
      <w:r>
        <w:rPr>
          <w:b/>
          <w:bCs/>
          <w:sz w:val="40"/>
          <w:szCs w:val="40"/>
        </w:rPr>
        <w:t xml:space="preserve">第一部分</w:t>
      </w:r>
      <w:r>
        <w:rPr>
          <w:rFonts w:hint="eastAsia"/>
          <w:b/>
          <w:bCs/>
          <w:sz w:val="40"/>
          <w:szCs w:val="40"/>
          <w:lang w:eastAsia="zh-CN"/>
        </w:rPr>
        <w:t xml:space="preserve">：</w:t>
      </w:r>
      <w:r>
        <w:rPr>
          <w:b/>
          <w:sz w:val="40"/>
          <w:u w:color="auto"/>
        </w:rPr>
        <w:t xml:space="preserve">中共环江毛南族自治县委员会宣传部</w:t>
      </w:r>
      <w:r>
        <w:rPr>
          <w:b/>
          <w:bCs/>
          <w:sz w:val="40"/>
          <w:szCs w:val="40"/>
        </w:rPr>
        <w:t xml:space="preserve">概况</w:t>
      </w:r>
      <w:bookmarkEnd w:id="3"/>
      <w:bookmarkEnd w:id="4"/>
      <w:bookmarkEnd w:id="5"/>
    </w:p>
    <w:p>
      <w:pPr>
        <w:pStyle w:val="Bodytext|2"/>
        <w:spacing w:after="0" w:line="619" w:lineRule="exact"/>
        <w:ind w:firstLine="620"/>
        <w:jc w:val="left"/>
        <w:rPr>
          <w:b/>
          <w:bCs/>
        </w:rPr>
      </w:pPr>
      <w:r>
        <w:rPr>
          <w:rFonts w:hint="eastAsia"/>
          <w:b/>
          <w:bCs/>
          <w:lang w:val="en-US" w:eastAsia="zh-CN"/>
        </w:rPr>
        <w:t xml:space="preserve">一、</w:t>
      </w:r>
      <w:r>
        <w:rPr>
          <w:b/>
          <w:bCs/>
        </w:rPr>
        <w:t xml:space="preserve">主要职责</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（一）负责指导全县理论学习、理论研究、理论宣传和哲学社会科学规划工作，并在理论研究、理论宣传政策等方面实施指导。联系县社科联，并在工作上实施指导。</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（二）负责对党的路线、方针、政策和上级党委重大决策的宣传及社会宣传工作。引导社会舆论，协调新闻、出版等部门的工作。</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（三）负责从宏观上指导文化艺术和精神产品生产的管理工作，并在政治方向和方针、政策方面实施指导。</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四）负责规划、部署全县的宣传思想工作、国防教育以及社会主义精神文明建设工作；督促检查各乡（镇）、各部门贯彻落实中央、自治区党委、市委和自治县党委关于加强和改进未成年人思想道德建设工作情况；组织协调全县各有关部门做好未成年人思想道德建设工作；推荐、宣传先进典型，会同有关部门研究和改进思想政治工作。</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（五）制订培训规划，并组织对乡镇宣传干部和有关宣传文化系统干部的培训；联系宣传文化系统的知识分子，配合有关部门做好人才培养工作。</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（六）负责管理、组织、协调、指导全县对外宣传、互联网络新闻宣传和新闻发布工作，负责制订全县对外宣传工作以及互联网络新闻宣传工作政策和工作部署。</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（七）贯彻宣传文化事业发展的指导方针；指导、协调全县新闻出版广播影视业和宣传文化事业改革和发展工作；</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（八）负责指导、审查宣传口各专业技术职务的评定工作，负责全县政工专业技术职务的评定。</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（九）负责组织全县重点党报党刊的征订发行工作。</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（十）承办自治县党委和市委宣传部交办的其他任务。</w:t>
      </w:r>
    </w:p>
    <w:p>
      <w:pPr>
        <w:pStyle w:val="Bodytext|2"/>
        <w:spacing w:after="0" w:line="619" w:lineRule="exact"/>
        <w:ind w:firstLine="620"/>
        <w:jc w:val="left"/>
        <w:rPr>
          <w:rFonts w:hint="eastAsia"/>
          <w:b/>
          <w:bCs/>
          <w:lang w:val="en-US" w:eastAsia="zh-CN"/>
        </w:rPr>
      </w:pPr>
      <w:bookmarkStart w:id="6" w:name="bookmark24"/>
      <w:r>
        <w:rPr>
          <w:rFonts w:hint="eastAsia"/>
          <w:b/>
          <w:bCs/>
          <w:lang w:val="en-US" w:eastAsia="zh-CN"/>
        </w:rPr>
        <w:t xml:space="preserve">二</w:t>
      </w:r>
      <w:bookmarkEnd w:id="6"/>
      <w:r>
        <w:rPr>
          <w:rFonts w:hint="eastAsia"/>
          <w:b/>
          <w:bCs/>
          <w:lang w:val="en-US" w:eastAsia="zh-CN"/>
        </w:rPr>
        <w:t xml:space="preserve">、机构设置情况</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本部门预算为汇总预算，包括部本级预算。下设单位机构有：（一）部办公室</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负责文电、会务、机要、档案等机关日常运转工作；承担信息、安全、保密、信访、政务公开、接待、图书资料、发行、财务管理与监督等工作，承担和组织本部工作要点、总结、报告、领导重要讲话及部里的重要文件等文稿的起草，负责制定全县宣传思想工作绩效考评方案，并组织实施。负责调查研究宣传思想工作的方针、政策及法规建设的情况，并提出建议；组织协调和指导社会舆情工作，做好信息、资料编选工作。</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（二）新闻股</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负责指导、协调新闻舆论导向和新闻队伍建设，组织、指导全县的新闻宣传工作，负责与有关新闻单位的业务联系；抓好重点党报党刊发行工作。负责对出版、印刷行业进行宏观管理和新闻出版管理人员的培训指导，负责与政府有关出版印刷部门的业务联系。</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（三）县文明办</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了解、掌握、反映全县群众性精神文明建设活动动态；深入调查研究，提出建议，为县文明委指导全县开展群众性精神文明建设活动提供依据；具体组织全县开展群众性精神文明建设活动；做县文明委上传下达的日常工作，加强同文明委委员和委员单位的联系，完成县文明委和县委宣传部交办的工作任务。</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（四）理论教育股</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负责指导全县理论学习、理论宣传、理论研究、哲学社会科学规划和理论队伍建设。制定全县党员干部理论学习计划，为县委中心组制定理论学习方案，提供学习资料并为中心组学习做好各项服务工作；负责乡（镇）、县直单位学习骨干的理论培训工作；组织指导全县在职干部的理论学习和考试考核工作；组织理论研究和理论宣传工作；负责本县干部理论学习的总结和汇报工作；负责与县社科联等部门的业务联系。</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（五）网络服务管理中心</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负责统筹规划全县互联网新闻宣传事业的建设、发展，制定互联网新闻宣传计划；对新闻网站和商业网站登载新闻、开办新闻网页和网站开办新闻时政类论坛进行管理；会同有关部门拟订互联网新闻宣传管理制度；指导新闻单位开展互联网新闻宣传工作，组织开展互联网上重大新闻宣传活动，开发有关新闻宣传信息资源；收集和研究互联网的舆情动态和重要信息；组织互联网新闻网站开展交流与合作；负责网络宣传队伍建设与管理工作。</w:t>
      </w:r>
    </w:p>
    <w:p>
      <w:pPr>
        <w:pStyle w:val="Bodytext|1"/>
        <w:spacing w:line="623" w:lineRule="exact"/>
        <w:ind w:firstLine="1018" w:firstLineChars="0"/>
        <w:jc w:val="left"/>
        <w:rPr>
          <w:rFonts w:hint="eastAsia"/>
          <w:highlight w:val="none"/>
          <w:lang w:val="en-US" w:eastAsia="zh-CN"/>
        </w:rPr>
      </w:pPr>
    </w:p>
    <w:p>
      <w:pPr>
        <w:pStyle w:val="Bodytext|1"/>
        <w:spacing w:line="623" w:lineRule="exact"/>
        <w:ind w:firstLine="1018" w:firstLineChars="0"/>
        <w:jc w:val="left"/>
        <w:rPr>
          <w:rFonts w:hint="eastAsia"/>
          <w:highlight w:val="none"/>
          <w:lang w:val="en-US" w:eastAsia="zh-CN"/>
        </w:rPr>
      </w:pPr>
    </w:p>
    <w:p>
      <w:pPr/>
      <w:r>
        <w:br w:type="page"/>
      </w:r>
    </w:p>
    <w:p>
      <w:pPr>
        <w:pStyle w:val="Heading#1|1"/>
        <w:keepNext/>
        <w:keepLines/>
        <w:pageBreakBefore w:val="0"/>
        <w:widowControl w:val="0"/>
        <w:kinsoku/>
        <w:wordWrap/>
        <w:overflowPunct/>
        <w:topLinePunct w:val="0"/>
        <w:autoSpaceDE/>
        <w:autoSpaceDN/>
        <w:bidi w:val="0"/>
        <w:adjustRightInd/>
        <w:snapToGrid/>
        <w:spacing w:before="120" w:after="0" w:line="600" w:lineRule="exact"/>
        <w:jc w:val="center"/>
        <w:textAlignment w:val="auto"/>
        <w:rPr>
          <w:b/>
          <w:bCs/>
          <w:sz w:val="40"/>
          <w:szCs w:val="40"/>
        </w:rPr>
      </w:pPr>
      <w:bookmarkStart w:id="7" w:name="bookmark69"/>
      <w:bookmarkStart w:id="8" w:name="bookmark70"/>
      <w:bookmarkStart w:id="9" w:name="bookmark68"/>
      <w:bookmarkStart w:id="10" w:name="bookmark28"/>
      <w:bookmarkStart w:id="11" w:name="bookmark26"/>
      <w:bookmarkStart w:id="12" w:name="bookmark27"/>
      <w:r>
        <w:rPr>
          <w:b/>
          <w:bCs/>
          <w:sz w:val="40"/>
          <w:szCs w:val="40"/>
        </w:rPr>
        <w:t xml:space="preserve">第</w:t>
      </w:r>
      <w:r>
        <w:rPr>
          <w:rFonts w:hint="eastAsia"/>
          <w:b/>
          <w:bCs/>
          <w:sz w:val="40"/>
          <w:szCs w:val="40"/>
          <w:lang w:val="en-US" w:eastAsia="zh-CN"/>
        </w:rPr>
        <w:t xml:space="preserve">二</w:t>
      </w:r>
      <w:r>
        <w:rPr>
          <w:b/>
          <w:bCs/>
          <w:sz w:val="40"/>
          <w:szCs w:val="40"/>
        </w:rPr>
        <w:t xml:space="preserve">部分</w:t>
      </w:r>
      <w:r>
        <w:rPr>
          <w:rFonts w:hint="eastAsia"/>
          <w:b/>
          <w:bCs/>
          <w:sz w:val="40"/>
          <w:szCs w:val="40"/>
          <w:lang w:eastAsia="zh-CN"/>
        </w:rPr>
        <w:t xml:space="preserve">：</w:t>
      </w:r>
      <w:bookmarkEnd w:id="7"/>
      <w:bookmarkEnd w:id="8"/>
      <w:bookmarkEnd w:id="9"/>
      <w:r>
        <w:rPr>
          <w:rFonts w:hint="eastAsia"/>
          <w:b/>
          <w:bCs/>
          <w:sz w:val="40"/>
          <w:szCs w:val="40"/>
          <w:lang w:eastAsia="zh-CN"/>
        </w:rPr>
        <w:t xml:space="preserve">中共环江毛南族自治县委员会宣传部</w:t>
      </w:r>
      <w:r>
        <w:rPr>
          <w:b/>
          <w:sz w:val="40"/>
          <w:u w:color="auto"/>
        </w:rPr>
        <w:t xml:space="preserve">2024</w:t>
      </w:r>
      <w:r>
        <w:rPr>
          <w:b/>
          <w:sz w:val="40"/>
          <w:u w:color="auto"/>
        </w:rPr>
        <w:t xml:space="preserve">年部门预算情况说明</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bookmarkStart w:id="13" w:name="bookmark71"/>
      <w:r>
        <w:rPr>
          <w:rFonts w:hint="eastAsia"/>
          <w:b/>
          <w:bCs/>
          <w:lang w:val="en-US" w:eastAsia="zh-CN"/>
        </w:rPr>
        <w:t xml:space="preserve">一</w:t>
      </w:r>
      <w:bookmarkEnd w:id="13"/>
      <w:r>
        <w:rPr>
          <w:rFonts w:hint="eastAsia"/>
          <w:b/>
          <w:bCs/>
          <w:lang w:val="en-US" w:eastAsia="zh-CN"/>
        </w:rPr>
        <w:t xml:space="preserve">、部门预算收支总体情况说明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Times New Roman" w:hAnsi="Times New Roman" w:cs="Times New Roman"/>
          <w:b/>
          <w:bCs/>
          <w:sz w:val="28"/>
          <w:szCs w:val="28"/>
          <w:lang w:val="en-US" w:eastAsia="zh-CN"/>
        </w:rPr>
      </w:pPr>
      <w:r>
        <w:rPr>
          <w:rFonts w:hint="eastAsia"/>
          <w:b w:val="0"/>
          <w:bCs w:val="0"/>
          <w:sz w:val="28"/>
          <w:szCs w:val="28"/>
        </w:rPr>
        <w:t xml:space="preserve">我部门总收入</w:t>
      </w:r>
      <w:r>
        <w:rPr>
          <w:rFonts w:hint="eastAsia"/>
          <w:sz w:val="28"/>
          <w:szCs w:val="28"/>
          <w:lang w:val="en-US" w:eastAsia="zh-CN"/>
        </w:rPr>
        <w:t xml:space="preserve">800.73</w:t>
      </w:r>
      <w:r>
        <w:rPr>
          <w:rFonts w:hint="eastAsia"/>
          <w:b w:val="0"/>
          <w:bCs w:val="0"/>
          <w:sz w:val="28"/>
          <w:szCs w:val="28"/>
        </w:rPr>
        <w:t xml:space="preserve">万元，总支出</w:t>
      </w:r>
      <w:r>
        <w:rPr>
          <w:rFonts w:hint="eastAsia"/>
          <w:sz w:val="28"/>
          <w:szCs w:val="28"/>
          <w:lang w:val="en-US" w:eastAsia="zh-CN"/>
        </w:rPr>
        <w:t xml:space="preserve">800.73</w:t>
      </w:r>
      <w:r>
        <w:rPr>
          <w:rFonts w:hint="eastAsia"/>
          <w:b w:val="0"/>
          <w:bCs w:val="0"/>
          <w:sz w:val="28"/>
          <w:szCs w:val="28"/>
        </w:rPr>
        <w:t xml:space="preserve">万元。总收入较2023年度预算数</w:t>
      </w:r>
      <w:r>
        <w:rPr>
          <w:rFonts w:hint="eastAsia"/>
          <w:sz w:val="28"/>
          <w:szCs w:val="28"/>
          <w:lang w:val="en-US" w:eastAsia="zh-CN"/>
        </w:rPr>
        <w:t xml:space="preserve">938.26</w:t>
      </w:r>
      <w:r>
        <w:rPr>
          <w:rFonts w:hint="eastAsia"/>
          <w:b w:val="0"/>
          <w:bCs w:val="0"/>
          <w:sz w:val="28"/>
          <w:szCs w:val="28"/>
        </w:rPr>
        <w:t xml:space="preserve">万元，</w:t>
      </w:r>
      <w:r>
        <w:rPr>
          <w:rFonts w:hint="eastAsia"/>
          <w:sz w:val="28"/>
          <w:szCs w:val="28"/>
        </w:rPr>
        <w:t xml:space="preserve">减少137.53</w:t>
      </w:r>
      <w:r>
        <w:rPr>
          <w:rFonts w:hint="eastAsia"/>
          <w:b w:val="0"/>
          <w:bCs w:val="0"/>
          <w:sz w:val="28"/>
          <w:szCs w:val="28"/>
        </w:rPr>
        <w:t xml:space="preserve">万元，</w:t>
      </w:r>
      <w:r>
        <w:rPr>
          <w:rFonts w:hint="eastAsia"/>
          <w:sz w:val="28"/>
          <w:szCs w:val="28"/>
        </w:rPr>
        <w:t xml:space="preserve">下降14.66%</w:t>
      </w:r>
      <w:r>
        <w:rPr>
          <w:rFonts w:hint="eastAsia"/>
          <w:b w:val="0"/>
          <w:bCs w:val="0"/>
          <w:sz w:val="28"/>
          <w:szCs w:val="28"/>
        </w:rPr>
        <w:t xml:space="preserve">，主要原因是</w:t>
      </w:r>
      <w:r>
        <w:rPr>
          <w:rFonts w:hint="eastAsia"/>
          <w:highlight w:val="none"/>
          <w:lang w:val="en-US" w:eastAsia="zh-CN"/>
        </w:rPr>
        <w:t xml:space="preserve">1.今年较上一年，人员经费支出减少。2.按照财政部门过紧日子的要求，减少非民生项目支出，严控一般项目预算支出</w:t>
      </w:r>
      <w:r>
        <w:rPr>
          <w:rFonts w:hint="eastAsia"/>
          <w:b w:val="0"/>
          <w:bCs w:val="0"/>
          <w:sz w:val="28"/>
          <w:szCs w:val="28"/>
        </w:rPr>
        <w:t xml:space="preserve">。总支出较2023年度预算数</w:t>
      </w:r>
      <w:r>
        <w:rPr>
          <w:rFonts w:hint="eastAsia"/>
          <w:sz w:val="28"/>
          <w:szCs w:val="28"/>
          <w:lang w:val="en-US" w:eastAsia="zh-CN"/>
        </w:rPr>
        <w:t xml:space="preserve">938.26</w:t>
      </w:r>
      <w:r>
        <w:rPr>
          <w:rFonts w:hint="eastAsia"/>
          <w:b w:val="0"/>
          <w:bCs w:val="0"/>
          <w:sz w:val="28"/>
          <w:szCs w:val="28"/>
        </w:rPr>
        <w:t xml:space="preserve">万元，</w:t>
      </w:r>
      <w:r>
        <w:rPr>
          <w:rFonts w:hint="eastAsia"/>
          <w:sz w:val="28"/>
          <w:szCs w:val="28"/>
        </w:rPr>
        <w:t xml:space="preserve">减少137.53</w:t>
      </w:r>
      <w:r>
        <w:rPr>
          <w:rFonts w:hint="eastAsia"/>
          <w:b w:val="0"/>
          <w:bCs w:val="0"/>
          <w:sz w:val="28"/>
          <w:szCs w:val="28"/>
        </w:rPr>
        <w:t xml:space="preserve">万元，</w:t>
      </w:r>
      <w:r>
        <w:rPr>
          <w:rFonts w:hint="eastAsia"/>
          <w:sz w:val="28"/>
          <w:szCs w:val="28"/>
        </w:rPr>
        <w:t xml:space="preserve">下降14.66%</w:t>
      </w:r>
      <w:r>
        <w:rPr>
          <w:rFonts w:hint="eastAsia"/>
          <w:b w:val="0"/>
          <w:bCs w:val="0"/>
          <w:sz w:val="28"/>
          <w:szCs w:val="28"/>
        </w:rPr>
        <w:t xml:space="preserve">，主要原因是</w:t>
      </w:r>
      <w:r>
        <w:rPr>
          <w:rFonts w:hint="eastAsia"/>
          <w:highlight w:val="none"/>
          <w:lang w:val="en-US" w:eastAsia="zh-CN"/>
        </w:rPr>
        <w:t xml:space="preserve">1.今年较上一年，人员经费支出减少。2.按照财政部门过紧日子的要求，减少非民生项目支出，严控一般项目预算支出</w:t>
      </w:r>
      <w:r>
        <w:rPr>
          <w:rFonts w:hint="eastAsia"/>
          <w:b w:val="0"/>
          <w:bCs w:val="0"/>
          <w:sz w:val="28"/>
          <w:szCs w:val="28"/>
        </w:rPr>
        <w:t xml:space="preserve">。</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r>
        <w:rPr>
          <w:rFonts w:hint="eastAsia"/>
          <w:b/>
          <w:bCs/>
          <w:lang w:val="en-US" w:eastAsia="zh-CN"/>
        </w:rPr>
        <w:t xml:space="preserve">二、部门收入总体情况说明</w:t>
      </w:r>
    </w:p>
    <w:p>
      <w:pPr>
        <w:pStyle w:val="Bodytext|1"/>
        <w:spacing w:line="240" w:lineRule="auto"/>
        <w:ind w:firstLine="0"/>
        <w:jc w:val="left"/>
        <w:rPr>
          <w:rFonts w:ascii="Times New Roman" w:hAnsi="Times New Roman" w:cs="Times New Roman"/>
          <w:sz w:val="30"/>
          <w:szCs w:val="30"/>
          <w:lang w:val="en-US" w:eastAsia="zh-CN"/>
        </w:rPr>
      </w:pPr>
      <w:r>
        <w:rPr>
          <w:rFonts w:ascii="Times New Roman" w:hAnsi="Times New Roman" w:cs="Times New Roman"/>
          <w:sz w:val="30"/>
          <w:szCs w:val="30"/>
          <w:lang w:val="en-US" w:eastAsia="zh-CN"/>
        </w:rPr>
        <w:drawing>
          <wp:inline distT="0" distB="0" distL="114300" distR="114300">
            <wp:extent cx="4257040" cy="3139440"/>
            <wp:effectExtent l="4445" t="4445" r="5715" b="18415"/>
            <wp:docPr id="814" name="图表 6" title="{{img_rs_table}}"/>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8"/>
              </a:graphicData>
            </a:graphic>
          </wp:inline>
        </w:drawing>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u w:color="auto"/>
          <w:lang w:eastAsia="zh-CN"/>
        </w:rPr>
        <w:t xml:space="preserve">2024</w:t>
      </w:r>
      <w:r>
        <w:rPr>
          <w:rFonts w:ascii="宋体" w:eastAsia="宋体" w:hAnsi="宋体" w:cs="宋体" w:hint="eastAsia"/>
          <w:sz w:val="28"/>
          <w:szCs w:val="28"/>
          <w:u w:color="auto"/>
        </w:rPr>
        <w:t xml:space="preserve">年我部门总收入</w:t>
      </w:r>
      <w:r>
        <w:rPr>
          <w:rFonts w:ascii="宋体" w:eastAsia="宋体" w:hAnsi="宋体" w:cs="宋体" w:hint="eastAsia"/>
          <w:sz w:val="28"/>
          <w:szCs w:val="28"/>
          <w:lang w:val="en-US" w:eastAsia="zh-CN"/>
        </w:rPr>
        <w:t xml:space="preserve">800.73</w:t>
      </w:r>
      <w:r>
        <w:rPr>
          <w:rFonts w:ascii="宋体" w:eastAsia="宋体" w:hAnsi="宋体" w:cs="宋体" w:hint="eastAsia"/>
          <w:sz w:val="28"/>
          <w:szCs w:val="28"/>
          <w:u w:color="auto"/>
        </w:rPr>
        <w:t xml:space="preserve">万元，较2023年度预算数</w:t>
      </w:r>
      <w:r>
        <w:rPr>
          <w:rFonts w:ascii="宋体" w:eastAsia="宋体" w:hAnsi="宋体" w:cs="宋体" w:hint="eastAsia"/>
          <w:sz w:val="28"/>
          <w:szCs w:val="28"/>
          <w:lang w:val="en-US" w:eastAsia="zh-CN"/>
        </w:rPr>
        <w:t xml:space="preserve">938.26</w:t>
      </w:r>
      <w:r>
        <w:rPr>
          <w:rFonts w:ascii="宋体" w:eastAsia="宋体" w:hAnsi="宋体" w:cs="宋体" w:hint="eastAsia"/>
          <w:sz w:val="28"/>
          <w:szCs w:val="28"/>
          <w:u w:color="auto"/>
        </w:rPr>
        <w:t xml:space="preserve">万元，</w:t>
      </w:r>
      <w:r>
        <w:rPr>
          <w:rFonts w:ascii="宋体" w:eastAsia="宋体" w:hAnsi="宋体" w:cs="宋体" w:hint="eastAsia"/>
          <w:sz w:val="28"/>
          <w:szCs w:val="28"/>
        </w:rPr>
        <w:t xml:space="preserve">减少137.53</w:t>
      </w:r>
      <w:r>
        <w:rPr>
          <w:rFonts w:ascii="宋体" w:eastAsia="宋体" w:hAnsi="宋体" w:cs="宋体" w:hint="eastAsia"/>
          <w:sz w:val="28"/>
          <w:szCs w:val="28"/>
          <w:u w:color="auto"/>
        </w:rPr>
        <w:t xml:space="preserve">万元，</w:t>
      </w:r>
      <w:r>
        <w:rPr>
          <w:rFonts w:ascii="宋体" w:eastAsia="宋体" w:hAnsi="宋体" w:cs="宋体" w:hint="eastAsia"/>
          <w:sz w:val="28"/>
          <w:szCs w:val="28"/>
        </w:rPr>
        <w:t xml:space="preserve">下降14.66%</w:t>
      </w:r>
      <w:r>
        <w:rPr>
          <w:rFonts w:ascii="宋体" w:eastAsia="宋体" w:hAnsi="宋体" w:cs="宋体" w:hint="eastAsia"/>
          <w:sz w:val="28"/>
          <w:szCs w:val="28"/>
          <w:u w:color="auto"/>
        </w:rPr>
        <w:t xml:space="preserve">，主要原因是</w:t>
      </w:r>
      <w:r>
        <w:rPr>
          <w:rFonts w:hint="eastAsia"/>
          <w:highlight w:val="none"/>
          <w:lang w:val="en-US" w:eastAsia="zh-CN"/>
        </w:rPr>
        <w:t xml:space="preserve">1.今年较上一年，人员经费支出减少。2.按照财政部门过紧日子的要求，减少非民生项目支出，严控一般项目预算支出</w:t>
      </w:r>
      <w:r>
        <w:rPr>
          <w:rFonts w:ascii="宋体" w:eastAsia="宋体" w:hAnsi="宋体" w:cs="宋体" w:hint="eastAsia"/>
          <w:sz w:val="28"/>
          <w:szCs w:val="28"/>
          <w:u w:color="auto"/>
        </w:rPr>
        <w:t xml:space="preserve">。</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r>
        <w:rPr>
          <w:rFonts w:hint="eastAsia"/>
          <w:b/>
          <w:bCs/>
          <w:lang w:val="en-US" w:eastAsia="zh-CN"/>
        </w:rPr>
        <w:t xml:space="preserve">三、部门支出总体情况说明</w:t>
      </w:r>
    </w:p>
    <w:p>
      <w:pPr>
        <w:pStyle w:val="Bodytext|1"/>
        <w:spacing w:line="240" w:lineRule="auto"/>
        <w:ind w:firstLine="0"/>
        <w:jc w:val="left"/>
        <w:rPr>
          <w:rFonts w:ascii="Times New Roman" w:eastAsia="Times New Roman" w:hAnsi="Times New Roman" w:cs="Times New Roman"/>
          <w:sz w:val="30"/>
          <w:szCs w:val="30"/>
        </w:rPr>
      </w:pPr>
      <w:r>
        <w:rPr>
          <w:rFonts w:ascii="Times New Roman" w:eastAsia="Times New Roman" w:hAnsi="Times New Roman" w:cs="Times New Roman"/>
          <w:sz w:val="30"/>
          <w:szCs w:val="30"/>
        </w:rPr>
        <w:drawing>
          <wp:inline distT="0" distB="0" distL="114300" distR="114300">
            <wp:extent cx="5080000" cy="3810000"/>
            <wp:effectExtent l="4445" t="4445" r="20955" b="14605"/>
            <wp:docPr id="815" name="图表 14" title="{{img_gnkm_zc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9"/>
              </a:graphicData>
            </a:graphic>
          </wp:inline>
        </w:drawing>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2024</w:t>
      </w:r>
      <w:r>
        <w:rPr>
          <w:rFonts w:ascii="宋体" w:eastAsia="宋体" w:hAnsi="宋体" w:cs="宋体"/>
          <w:sz w:val="28"/>
          <w:u w:color="auto"/>
        </w:rPr>
        <w:t xml:space="preserve">年我部门总支出</w:t>
      </w:r>
      <w:r>
        <w:rPr>
          <w:rFonts w:ascii="宋体" w:eastAsia="宋体" w:hAnsi="宋体" w:cs="宋体" w:hint="eastAsia"/>
          <w:sz w:val="28"/>
          <w:szCs w:val="28"/>
          <w:lang w:val="en-US" w:eastAsia="zh-CN"/>
        </w:rPr>
        <w:t xml:space="preserve">800.73</w:t>
      </w:r>
      <w:r>
        <w:rPr>
          <w:rFonts w:ascii="宋体" w:eastAsia="宋体" w:hAnsi="宋体" w:cs="宋体" w:hint="eastAsia"/>
          <w:sz w:val="28"/>
          <w:szCs w:val="28"/>
          <w:lang w:eastAsia="zh-CN"/>
        </w:rPr>
        <w:t xml:space="preserve">万元，较2023年度预算数</w:t>
      </w:r>
      <w:r>
        <w:rPr>
          <w:rFonts w:ascii="宋体" w:eastAsia="宋体" w:hAnsi="宋体" w:cs="宋体" w:hint="eastAsia"/>
          <w:sz w:val="28"/>
          <w:szCs w:val="28"/>
          <w:lang w:val="en-US" w:eastAsia="zh-CN"/>
        </w:rPr>
        <w:t xml:space="preserve">938.26</w:t>
      </w:r>
      <w:r>
        <w:rPr>
          <w:rFonts w:ascii="宋体" w:eastAsia="宋体" w:hAnsi="宋体" w:cs="宋体" w:hint="eastAsia"/>
          <w:sz w:val="28"/>
          <w:szCs w:val="28"/>
          <w:lang w:eastAsia="zh-CN"/>
        </w:rPr>
        <w:t xml:space="preserve">万元，</w:t>
      </w:r>
      <w:r>
        <w:rPr>
          <w:rFonts w:ascii="宋体" w:eastAsia="宋体" w:hAnsi="宋体" w:cs="宋体" w:hint="eastAsia"/>
          <w:sz w:val="28"/>
          <w:szCs w:val="28"/>
        </w:rPr>
        <w:t xml:space="preserve">减少137.53</w:t>
      </w:r>
      <w:r>
        <w:rPr>
          <w:rFonts w:ascii="宋体" w:eastAsia="宋体" w:hAnsi="宋体" w:cs="宋体" w:hint="eastAsia"/>
          <w:sz w:val="28"/>
          <w:szCs w:val="28"/>
          <w:lang w:eastAsia="zh-CN"/>
        </w:rPr>
        <w:t xml:space="preserve">万元，</w:t>
      </w:r>
      <w:r>
        <w:rPr>
          <w:rFonts w:ascii="宋体" w:eastAsia="宋体" w:hAnsi="宋体" w:cs="宋体" w:hint="eastAsia"/>
          <w:sz w:val="28"/>
          <w:szCs w:val="28"/>
        </w:rPr>
        <w:t xml:space="preserve">下降14.66%</w:t>
      </w:r>
      <w:r>
        <w:rPr>
          <w:rFonts w:ascii="宋体" w:eastAsia="宋体" w:hAnsi="宋体" w:cs="宋体" w:hint="eastAsia"/>
          <w:sz w:val="28"/>
          <w:szCs w:val="28"/>
          <w:lang w:eastAsia="zh-CN"/>
        </w:rPr>
        <w:t xml:space="preserve">，主要原因是</w:t>
      </w:r>
      <w:r>
        <w:rPr>
          <w:rFonts w:ascii="宋体" w:eastAsia="宋体" w:hAnsi="宋体" w:cs="宋体" w:hint="eastAsia"/>
          <w:sz w:val="28"/>
          <w:szCs w:val="28"/>
          <w:highlight w:val="none"/>
          <w:lang w:val="en-US" w:eastAsia="zh-CN"/>
        </w:rPr>
        <w:t xml:space="preserve">1.今年较上一年，人员经费支出减少。2.按照财政部门过紧日子的要求，减少非民生项目支出，严控一般项目预算支出</w:t>
      </w:r>
      <w:r>
        <w:rPr>
          <w:rFonts w:ascii="宋体" w:eastAsia="宋体" w:hAnsi="宋体" w:cs="宋体" w:hint="eastAsia"/>
          <w:sz w:val="28"/>
          <w:szCs w:val="28"/>
          <w:lang w:eastAsia="zh-CN"/>
        </w:rPr>
        <w:t xml:space="preserve">。主要包括：</w:t>
      </w:r>
      <w:r>
        <w:rPr>
          <w:rFonts w:ascii="宋体" w:eastAsia="宋体" w:hAnsi="宋体" w:cs="宋体" w:hint="eastAsia"/>
          <w:sz w:val="28"/>
          <w:szCs w:val="28"/>
          <w:highlight w:val="none"/>
          <w:lang w:val="en-US" w:eastAsia="zh-CN"/>
        </w:rPr>
        <w:t xml:space="preserve">1.人员工资支出减少。2.人员办公经费减少。3.媒体合作费项目支出减少。4.新时代文明实践项目支出减少。5.新闻出版、扫黄打非工作经费项目支出减少</w:t>
      </w:r>
      <w:r>
        <w:rPr>
          <w:rFonts w:ascii="宋体" w:eastAsia="宋体" w:hAnsi="宋体" w:cs="宋体" w:hint="eastAsia"/>
          <w:sz w:val="28"/>
          <w:szCs w:val="28"/>
          <w:lang w:eastAsia="zh-CN"/>
        </w:rPr>
        <w:t xml:space="preserve">。</w:t>
      </w:r>
    </w:p>
    <w:p>
      <w:pPr>
        <w:pStyle w:val="Bodytext|1"/>
        <w:keepNext w:val="0"/>
        <w:keepLines w:val="0"/>
        <w:pageBreakBefore w:val="0"/>
        <w:widowControl w:val="0"/>
        <w:kinsoku/>
        <w:wordWrap/>
        <w:overflowPunct/>
        <w:topLinePunct w:val="0"/>
        <w:autoSpaceDE/>
        <w:autoSpaceDN/>
        <w:bidi w:val="0"/>
        <w:adjustRightInd/>
        <w:snapToGrid/>
        <w:spacing w:after="140" w:line="600" w:lineRule="exact"/>
        <w:ind w:firstLine="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（一）按支出功能分类科目划分，共分为</w:t>
      </w:r>
      <w:r>
        <w:rPr>
          <w:rFonts w:ascii="宋体" w:eastAsia="宋体" w:hAnsi="宋体" w:cs="宋体" w:hint="eastAsia"/>
          <w:sz w:val="28"/>
          <w:szCs w:val="28"/>
          <w:lang w:val="en-US" w:eastAsia="zh-CN"/>
        </w:rPr>
        <w:t xml:space="preserve">5</w:t>
      </w:r>
      <w:r>
        <w:rPr>
          <w:rFonts w:ascii="宋体" w:eastAsia="宋体" w:hAnsi="宋体" w:cs="宋体" w:hint="eastAsia"/>
          <w:sz w:val="28"/>
          <w:szCs w:val="28"/>
        </w:rPr>
        <w:t xml:space="preserve">类，其中:</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w:t>
      </w:r>
      <w:r>
        <w:rPr>
          <w:rFonts w:ascii="宋体" w:eastAsia="宋体" w:hAnsi="宋体" w:cs="宋体"/>
          <w:sz w:val="28"/>
          <w:u w:color="auto"/>
        </w:rPr>
        <w:t xml:space="preserve">1</w:t>
      </w:r>
      <w:r>
        <w:rPr>
          <w:rFonts w:ascii="宋体" w:eastAsia="宋体" w:hAnsi="宋体" w:cs="宋体"/>
          <w:sz w:val="28"/>
          <w:u w:color="auto"/>
        </w:rPr>
        <w:t xml:space="preserve">)</w:t>
      </w:r>
      <w:r>
        <w:rPr>
          <w:rFonts w:ascii="宋体" w:eastAsia="宋体" w:hAnsi="宋体" w:cs="宋体"/>
          <w:sz w:val="28"/>
          <w:u w:color="auto"/>
        </w:rPr>
        <w:t xml:space="preserve">一般公共服务支出</w:t>
      </w:r>
      <w:r>
        <w:rPr>
          <w:rFonts w:ascii="宋体" w:eastAsia="宋体" w:hAnsi="宋体" w:cs="宋体" w:hint="eastAsia"/>
          <w:sz w:val="28"/>
          <w:szCs w:val="28"/>
          <w:lang w:val="en-US" w:eastAsia="zh-CN"/>
        </w:rPr>
        <w:t xml:space="preserve">691.29</w:t>
      </w:r>
      <w:r>
        <w:rPr>
          <w:rFonts w:ascii="宋体" w:eastAsia="宋体" w:hAnsi="宋体" w:cs="宋体" w:hint="eastAsia"/>
          <w:sz w:val="28"/>
          <w:szCs w:val="28"/>
        </w:rPr>
        <w:t xml:space="preserve">万元，占支出总预算</w:t>
      </w:r>
      <w:r>
        <w:rPr>
          <w:rFonts w:ascii="宋体" w:eastAsia="宋体" w:hAnsi="宋体" w:cs="宋体" w:hint="eastAsia"/>
          <w:sz w:val="28"/>
          <w:szCs w:val="28"/>
          <w:lang w:val="en-US" w:eastAsia="zh-CN"/>
        </w:rPr>
        <w:t xml:space="preserve">86.33%</w:t>
      </w:r>
      <w:r>
        <w:rPr>
          <w:rFonts w:ascii="宋体" w:eastAsia="宋体" w:hAnsi="宋体" w:cs="宋体" w:hint="eastAsia"/>
          <w:sz w:val="28"/>
          <w:szCs w:val="28"/>
        </w:rPr>
        <w:t xml:space="preserve">,比上年</w:t>
      </w:r>
      <w:r>
        <w:rPr>
          <w:rFonts w:ascii="宋体" w:eastAsia="宋体" w:hAnsi="宋体" w:cs="宋体" w:hint="eastAsia"/>
          <w:sz w:val="28"/>
          <w:szCs w:val="28"/>
          <w:lang w:val="en-US" w:eastAsia="zh-CN"/>
        </w:rPr>
        <w:t xml:space="preserve">减少18.06</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减少2.55%</w:t>
      </w:r>
      <w:r>
        <w:rPr>
          <w:rFonts w:ascii="宋体" w:eastAsia="宋体" w:hAnsi="宋体" w:cs="宋体" w:hint="eastAsia"/>
          <w:sz w:val="28"/>
          <w:szCs w:val="28"/>
        </w:rPr>
        <w:t xml:space="preserve">,</w:t>
      </w:r>
      <w:r>
        <w:rPr>
          <w:rFonts w:ascii="宋体" w:eastAsia="宋体" w:hAnsi="宋体" w:cs="宋体" w:hint="eastAsia"/>
          <w:sz w:val="28"/>
          <w:szCs w:val="28"/>
          <w:highlight w:val="none"/>
        </w:rPr>
        <w:t xml:space="preserve">主要原因是：</w:t>
      </w:r>
      <w:r>
        <w:rPr>
          <w:rFonts w:ascii="宋体" w:eastAsia="宋体" w:hAnsi="宋体" w:cs="宋体" w:hint="eastAsia"/>
          <w:sz w:val="28"/>
          <w:szCs w:val="28"/>
          <w:highlight w:val="none"/>
          <w:lang w:val="en-US" w:eastAsia="zh-CN"/>
        </w:rPr>
        <w:t xml:space="preserve">1.人员工资支出减少。2.人员办公经费减少。3.媒体合作费项目支出减少。4.新时代文明实践项目支出减少。5.新闻出版、扫黄打非工作经费项目支出减少</w:t>
      </w:r>
      <w:r>
        <w:rPr>
          <w:rFonts w:ascii="宋体" w:eastAsia="宋体" w:hAnsi="宋体" w:cs="宋体" w:hint="eastAsia"/>
          <w:sz w:val="28"/>
          <w:szCs w:val="28"/>
          <w:highlight w:val="none"/>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w:t>
      </w:r>
      <w:r>
        <w:rPr>
          <w:rFonts w:ascii="宋体" w:eastAsia="宋体" w:hAnsi="宋体" w:cs="宋体"/>
          <w:sz w:val="28"/>
          <w:u w:color="auto"/>
        </w:rPr>
        <w:t xml:space="preserve">2</w:t>
      </w:r>
      <w:r>
        <w:rPr>
          <w:rFonts w:ascii="宋体" w:eastAsia="宋体" w:hAnsi="宋体" w:cs="宋体"/>
          <w:sz w:val="28"/>
          <w:u w:color="auto"/>
        </w:rPr>
        <w:t xml:space="preserve">)</w:t>
      </w:r>
      <w:r>
        <w:rPr>
          <w:rFonts w:ascii="宋体" w:eastAsia="宋体" w:hAnsi="宋体" w:cs="宋体"/>
          <w:sz w:val="28"/>
          <w:u w:color="auto"/>
        </w:rPr>
        <w:t xml:space="preserve">城乡社区支出</w:t>
      </w:r>
      <w:r>
        <w:rPr>
          <w:rFonts w:ascii="宋体" w:eastAsia="宋体" w:hAnsi="宋体" w:cs="宋体" w:hint="eastAsia"/>
          <w:sz w:val="28"/>
          <w:szCs w:val="28"/>
          <w:lang w:val="en-US" w:eastAsia="zh-CN"/>
        </w:rPr>
        <w:t xml:space="preserve">19.01</w:t>
      </w:r>
      <w:r>
        <w:rPr>
          <w:rFonts w:ascii="宋体" w:eastAsia="宋体" w:hAnsi="宋体" w:cs="宋体" w:hint="eastAsia"/>
          <w:sz w:val="28"/>
          <w:szCs w:val="28"/>
        </w:rPr>
        <w:t xml:space="preserve">万元，占支出总预算</w:t>
      </w:r>
      <w:r>
        <w:rPr>
          <w:rFonts w:ascii="宋体" w:eastAsia="宋体" w:hAnsi="宋体" w:cs="宋体" w:hint="eastAsia"/>
          <w:sz w:val="28"/>
          <w:szCs w:val="28"/>
          <w:lang w:val="en-US" w:eastAsia="zh-CN"/>
        </w:rPr>
        <w:t xml:space="preserve">2.37%</w:t>
      </w:r>
      <w:r>
        <w:rPr>
          <w:rFonts w:ascii="宋体" w:eastAsia="宋体" w:hAnsi="宋体" w:cs="宋体" w:hint="eastAsia"/>
          <w:sz w:val="28"/>
          <w:szCs w:val="28"/>
        </w:rPr>
        <w:t xml:space="preserve">,比上年</w:t>
      </w:r>
      <w:r>
        <w:rPr>
          <w:rFonts w:ascii="宋体" w:eastAsia="宋体" w:hAnsi="宋体" w:cs="宋体" w:hint="eastAsia"/>
          <w:sz w:val="28"/>
          <w:szCs w:val="28"/>
          <w:lang w:val="en-US" w:eastAsia="zh-CN"/>
        </w:rPr>
        <w:t xml:space="preserve">增长19.01</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增长100%</w:t>
      </w:r>
      <w:r>
        <w:rPr>
          <w:rFonts w:ascii="宋体" w:eastAsia="宋体" w:hAnsi="宋体" w:cs="宋体" w:hint="eastAsia"/>
          <w:sz w:val="28"/>
          <w:szCs w:val="28"/>
        </w:rPr>
        <w:t xml:space="preserve">,</w:t>
      </w:r>
      <w:r>
        <w:rPr>
          <w:rFonts w:ascii="宋体" w:eastAsia="宋体" w:hAnsi="宋体" w:cs="宋体" w:hint="eastAsia"/>
          <w:sz w:val="28"/>
          <w:szCs w:val="28"/>
          <w:highlight w:val="none"/>
        </w:rPr>
        <w:t xml:space="preserve">主要原因是：</w:t>
      </w:r>
      <w:r>
        <w:rPr>
          <w:rFonts w:ascii="宋体" w:eastAsia="宋体" w:hAnsi="宋体" w:cs="宋体" w:hint="eastAsia"/>
          <w:sz w:val="28"/>
          <w:szCs w:val="28"/>
          <w:highlight w:val="none"/>
          <w:lang w:val="en-US" w:eastAsia="zh-CN"/>
        </w:rPr>
        <w:t xml:space="preserve">此项开支用于偿还历年未结清的债务</w:t>
      </w:r>
      <w:r>
        <w:rPr>
          <w:rFonts w:ascii="宋体" w:eastAsia="宋体" w:hAnsi="宋体" w:cs="宋体" w:hint="eastAsia"/>
          <w:sz w:val="28"/>
          <w:szCs w:val="28"/>
          <w:highlight w:val="none"/>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w:t>
      </w:r>
      <w:r>
        <w:rPr>
          <w:rFonts w:ascii="宋体" w:eastAsia="宋体" w:hAnsi="宋体" w:cs="宋体"/>
          <w:sz w:val="28"/>
          <w:u w:color="auto"/>
        </w:rPr>
        <w:t xml:space="preserve">3</w:t>
      </w:r>
      <w:r>
        <w:rPr>
          <w:rFonts w:ascii="宋体" w:eastAsia="宋体" w:hAnsi="宋体" w:cs="宋体"/>
          <w:sz w:val="28"/>
          <w:u w:color="auto"/>
        </w:rPr>
        <w:t xml:space="preserve">)</w:t>
      </w:r>
      <w:r>
        <w:rPr>
          <w:rFonts w:ascii="宋体" w:eastAsia="宋体" w:hAnsi="宋体" w:cs="宋体"/>
          <w:sz w:val="28"/>
          <w:u w:color="auto"/>
        </w:rPr>
        <w:t xml:space="preserve">文化旅游体育与传媒支出</w:t>
      </w:r>
      <w:r>
        <w:rPr>
          <w:rFonts w:ascii="宋体" w:eastAsia="宋体" w:hAnsi="宋体" w:cs="宋体" w:hint="eastAsia"/>
          <w:sz w:val="28"/>
          <w:szCs w:val="28"/>
          <w:lang w:val="en-US" w:eastAsia="zh-CN"/>
        </w:rPr>
        <w:t xml:space="preserve">40.51</w:t>
      </w:r>
      <w:r>
        <w:rPr>
          <w:rFonts w:ascii="宋体" w:eastAsia="宋体" w:hAnsi="宋体" w:cs="宋体" w:hint="eastAsia"/>
          <w:sz w:val="28"/>
          <w:szCs w:val="28"/>
        </w:rPr>
        <w:t xml:space="preserve">万元，占支出总预算</w:t>
      </w:r>
      <w:r>
        <w:rPr>
          <w:rFonts w:ascii="宋体" w:eastAsia="宋体" w:hAnsi="宋体" w:cs="宋体" w:hint="eastAsia"/>
          <w:sz w:val="28"/>
          <w:szCs w:val="28"/>
          <w:lang w:val="en-US" w:eastAsia="zh-CN"/>
        </w:rPr>
        <w:t xml:space="preserve">5.06%</w:t>
      </w:r>
      <w:r>
        <w:rPr>
          <w:rFonts w:ascii="宋体" w:eastAsia="宋体" w:hAnsi="宋体" w:cs="宋体" w:hint="eastAsia"/>
          <w:sz w:val="28"/>
          <w:szCs w:val="28"/>
        </w:rPr>
        <w:t xml:space="preserve">,比上年</w:t>
      </w:r>
      <w:r>
        <w:rPr>
          <w:rFonts w:ascii="宋体" w:eastAsia="宋体" w:hAnsi="宋体" w:cs="宋体" w:hint="eastAsia"/>
          <w:sz w:val="28"/>
          <w:szCs w:val="28"/>
          <w:lang w:val="en-US" w:eastAsia="zh-CN"/>
        </w:rPr>
        <w:t xml:space="preserve">减少137.37</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减少77.23%</w:t>
      </w:r>
      <w:r>
        <w:rPr>
          <w:rFonts w:ascii="宋体" w:eastAsia="宋体" w:hAnsi="宋体" w:cs="宋体" w:hint="eastAsia"/>
          <w:sz w:val="28"/>
          <w:szCs w:val="28"/>
        </w:rPr>
        <w:t xml:space="preserve">,</w:t>
      </w:r>
      <w:r>
        <w:rPr>
          <w:rFonts w:ascii="宋体" w:eastAsia="宋体" w:hAnsi="宋体" w:cs="宋体" w:hint="eastAsia"/>
          <w:sz w:val="28"/>
          <w:szCs w:val="28"/>
          <w:highlight w:val="none"/>
        </w:rPr>
        <w:t xml:space="preserve">主要原因是：</w:t>
      </w:r>
      <w:r>
        <w:rPr>
          <w:rFonts w:ascii="宋体" w:eastAsia="宋体" w:hAnsi="宋体" w:cs="宋体" w:hint="eastAsia"/>
          <w:sz w:val="28"/>
          <w:szCs w:val="28"/>
          <w:highlight w:val="none"/>
          <w:lang w:val="en-US" w:eastAsia="zh-CN"/>
        </w:rPr>
        <w:t xml:space="preserve">对农村公益电影放映补贴有所降低</w:t>
      </w:r>
      <w:r>
        <w:rPr>
          <w:rFonts w:ascii="宋体" w:eastAsia="宋体" w:hAnsi="宋体" w:cs="宋体" w:hint="eastAsia"/>
          <w:sz w:val="28"/>
          <w:szCs w:val="28"/>
          <w:highlight w:val="none"/>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w:t>
      </w:r>
      <w:r>
        <w:rPr>
          <w:rFonts w:ascii="宋体" w:eastAsia="宋体" w:hAnsi="宋体" w:cs="宋体"/>
          <w:sz w:val="28"/>
          <w:u w:color="auto"/>
        </w:rPr>
        <w:t xml:space="preserve">4</w:t>
      </w:r>
      <w:r>
        <w:rPr>
          <w:rFonts w:ascii="宋体" w:eastAsia="宋体" w:hAnsi="宋体" w:cs="宋体"/>
          <w:sz w:val="28"/>
          <w:u w:color="auto"/>
        </w:rPr>
        <w:t xml:space="preserve">)</w:t>
      </w:r>
      <w:r>
        <w:rPr>
          <w:rFonts w:ascii="宋体" w:eastAsia="宋体" w:hAnsi="宋体" w:cs="宋体"/>
          <w:sz w:val="28"/>
          <w:u w:color="auto"/>
        </w:rPr>
        <w:t xml:space="preserve">住房保障支出</w:t>
      </w:r>
      <w:r>
        <w:rPr>
          <w:rFonts w:ascii="宋体" w:eastAsia="宋体" w:hAnsi="宋体" w:cs="宋体" w:hint="eastAsia"/>
          <w:sz w:val="28"/>
          <w:szCs w:val="28"/>
          <w:lang w:val="en-US" w:eastAsia="zh-CN"/>
        </w:rPr>
        <w:t xml:space="preserve">23.17</w:t>
      </w:r>
      <w:r>
        <w:rPr>
          <w:rFonts w:ascii="宋体" w:eastAsia="宋体" w:hAnsi="宋体" w:cs="宋体" w:hint="eastAsia"/>
          <w:sz w:val="28"/>
          <w:szCs w:val="28"/>
        </w:rPr>
        <w:t xml:space="preserve">万元，占支出总预算</w:t>
      </w:r>
      <w:r>
        <w:rPr>
          <w:rFonts w:ascii="宋体" w:eastAsia="宋体" w:hAnsi="宋体" w:cs="宋体" w:hint="eastAsia"/>
          <w:sz w:val="28"/>
          <w:szCs w:val="28"/>
          <w:lang w:val="en-US" w:eastAsia="zh-CN"/>
        </w:rPr>
        <w:t xml:space="preserve">2.89%</w:t>
      </w:r>
      <w:r>
        <w:rPr>
          <w:rFonts w:ascii="宋体" w:eastAsia="宋体" w:hAnsi="宋体" w:cs="宋体" w:hint="eastAsia"/>
          <w:sz w:val="28"/>
          <w:szCs w:val="28"/>
        </w:rPr>
        <w:t xml:space="preserve">,比上年</w:t>
      </w:r>
      <w:r>
        <w:rPr>
          <w:rFonts w:ascii="宋体" w:eastAsia="宋体" w:hAnsi="宋体" w:cs="宋体" w:hint="eastAsia"/>
          <w:sz w:val="28"/>
          <w:szCs w:val="28"/>
          <w:lang w:val="en-US" w:eastAsia="zh-CN"/>
        </w:rPr>
        <w:t xml:space="preserve">增长1.30</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增长5.94%</w:t>
      </w:r>
      <w:r>
        <w:rPr>
          <w:rFonts w:ascii="宋体" w:eastAsia="宋体" w:hAnsi="宋体" w:cs="宋体" w:hint="eastAsia"/>
          <w:sz w:val="28"/>
          <w:szCs w:val="28"/>
        </w:rPr>
        <w:t xml:space="preserve">,</w:t>
      </w:r>
      <w:r>
        <w:rPr>
          <w:rFonts w:ascii="宋体" w:eastAsia="宋体" w:hAnsi="宋体" w:cs="宋体" w:hint="eastAsia"/>
          <w:sz w:val="28"/>
          <w:szCs w:val="28"/>
          <w:highlight w:val="none"/>
        </w:rPr>
        <w:t xml:space="preserve">主要原因是：</w:t>
      </w:r>
      <w:r>
        <w:rPr>
          <w:rFonts w:ascii="宋体" w:eastAsia="宋体" w:hAnsi="宋体" w:cs="宋体" w:hint="eastAsia"/>
          <w:sz w:val="28"/>
          <w:szCs w:val="28"/>
          <w:highlight w:val="none"/>
          <w:lang w:val="en-US" w:eastAsia="zh-CN"/>
        </w:rPr>
        <w:t xml:space="preserve">公积金缴费基数上调，整体符合往年发展趋势</w:t>
      </w:r>
      <w:r>
        <w:rPr>
          <w:rFonts w:ascii="宋体" w:eastAsia="宋体" w:hAnsi="宋体" w:cs="宋体" w:hint="eastAsia"/>
          <w:sz w:val="28"/>
          <w:szCs w:val="28"/>
          <w:highlight w:val="none"/>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w:t>
      </w:r>
      <w:r>
        <w:rPr>
          <w:rFonts w:ascii="宋体" w:eastAsia="宋体" w:hAnsi="宋体" w:cs="宋体"/>
          <w:sz w:val="28"/>
          <w:u w:color="auto"/>
        </w:rPr>
        <w:t xml:space="preserve">5</w:t>
      </w:r>
      <w:r>
        <w:rPr>
          <w:rFonts w:ascii="宋体" w:eastAsia="宋体" w:hAnsi="宋体" w:cs="宋体"/>
          <w:sz w:val="28"/>
          <w:u w:color="auto"/>
        </w:rPr>
        <w:t xml:space="preserve">)</w:t>
      </w:r>
      <w:r>
        <w:rPr>
          <w:rFonts w:ascii="宋体" w:eastAsia="宋体" w:hAnsi="宋体" w:cs="宋体"/>
          <w:sz w:val="28"/>
          <w:u w:color="auto"/>
        </w:rPr>
        <w:t xml:space="preserve">社会保障和就业支出</w:t>
      </w:r>
      <w:r>
        <w:rPr>
          <w:rFonts w:ascii="宋体" w:eastAsia="宋体" w:hAnsi="宋体" w:cs="宋体" w:hint="eastAsia"/>
          <w:sz w:val="28"/>
          <w:szCs w:val="28"/>
          <w:lang w:val="en-US" w:eastAsia="zh-CN"/>
        </w:rPr>
        <w:t xml:space="preserve">26.75</w:t>
      </w:r>
      <w:r>
        <w:rPr>
          <w:rFonts w:ascii="宋体" w:eastAsia="宋体" w:hAnsi="宋体" w:cs="宋体" w:hint="eastAsia"/>
          <w:sz w:val="28"/>
          <w:szCs w:val="28"/>
        </w:rPr>
        <w:t xml:space="preserve">万元，占支出总预算</w:t>
      </w:r>
      <w:r>
        <w:rPr>
          <w:rFonts w:ascii="宋体" w:eastAsia="宋体" w:hAnsi="宋体" w:cs="宋体" w:hint="eastAsia"/>
          <w:sz w:val="28"/>
          <w:szCs w:val="28"/>
          <w:lang w:val="en-US" w:eastAsia="zh-CN"/>
        </w:rPr>
        <w:t xml:space="preserve">3.34%</w:t>
      </w:r>
      <w:r>
        <w:rPr>
          <w:rFonts w:ascii="宋体" w:eastAsia="宋体" w:hAnsi="宋体" w:cs="宋体" w:hint="eastAsia"/>
          <w:sz w:val="28"/>
          <w:szCs w:val="28"/>
        </w:rPr>
        <w:t xml:space="preserve">,比上年</w:t>
      </w:r>
      <w:r>
        <w:rPr>
          <w:rFonts w:ascii="宋体" w:eastAsia="宋体" w:hAnsi="宋体" w:cs="宋体" w:hint="eastAsia"/>
          <w:sz w:val="28"/>
          <w:szCs w:val="28"/>
          <w:lang w:val="en-US" w:eastAsia="zh-CN"/>
        </w:rPr>
        <w:t xml:space="preserve">减少2.41</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减少8.26%</w:t>
      </w:r>
      <w:r>
        <w:rPr>
          <w:rFonts w:ascii="宋体" w:eastAsia="宋体" w:hAnsi="宋体" w:cs="宋体" w:hint="eastAsia"/>
          <w:sz w:val="28"/>
          <w:szCs w:val="28"/>
        </w:rPr>
        <w:t xml:space="preserve">,</w:t>
      </w:r>
      <w:r>
        <w:rPr>
          <w:rFonts w:ascii="宋体" w:eastAsia="宋体" w:hAnsi="宋体" w:cs="宋体" w:hint="eastAsia"/>
          <w:sz w:val="28"/>
          <w:szCs w:val="28"/>
          <w:highlight w:val="none"/>
        </w:rPr>
        <w:t xml:space="preserve">主要原因是：</w:t>
      </w:r>
      <w:r>
        <w:rPr>
          <w:rFonts w:ascii="宋体" w:eastAsia="宋体" w:hAnsi="宋体" w:cs="宋体" w:hint="eastAsia"/>
          <w:sz w:val="28"/>
          <w:szCs w:val="28"/>
          <w:highlight w:val="none"/>
          <w:lang w:val="en-US" w:eastAsia="zh-CN"/>
        </w:rPr>
        <w:t xml:space="preserve">在职人员变动，以及聘用人员辞职，导致社保缴费支出有所减少</w:t>
      </w:r>
      <w:r>
        <w:rPr>
          <w:rFonts w:ascii="宋体" w:eastAsia="宋体" w:hAnsi="宋体" w:cs="宋体" w:hint="eastAsia"/>
          <w:sz w:val="28"/>
          <w:szCs w:val="28"/>
          <w:highlight w:val="none"/>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74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(二)按支出结构分类划分，分为基本支出预算和项目支出预算。</w:t>
      </w:r>
    </w:p>
    <w:p>
      <w:pPr>
        <w:pStyle w:val="Bodytext|1"/>
        <w:keepNext w:val="0"/>
        <w:keepLines w:val="0"/>
        <w:pageBreakBefore w:val="0"/>
        <w:widowControl w:val="0"/>
        <w:numPr>
          <w:ilvl w:val="0"/>
          <w:numId w:val="3"/>
        </w:numPr>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基本支出预算。</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ascii="宋体" w:eastAsia="宋体" w:hAnsi="宋体" w:cs="宋体" w:hint="eastAsia"/>
          <w:sz w:val="28"/>
          <w:szCs w:val="28"/>
          <w:lang w:val="en-US" w:eastAsia="zh-CN"/>
        </w:rPr>
      </w:pPr>
      <w:r>
        <w:rPr>
          <w:rFonts w:ascii="宋体" w:eastAsia="宋体" w:hAnsi="宋体" w:cs="宋体" w:hint="eastAsia"/>
          <w:sz w:val="28"/>
          <w:szCs w:val="28"/>
        </w:rPr>
        <w:t xml:space="preserve">基本支出预算</w:t>
      </w:r>
      <w:r>
        <w:rPr>
          <w:rFonts w:ascii="宋体" w:eastAsia="宋体" w:hAnsi="宋体" w:cs="宋体" w:hint="eastAsia"/>
          <w:sz w:val="28"/>
          <w:szCs w:val="28"/>
          <w:lang w:val="en-US" w:eastAsia="zh-CN"/>
        </w:rPr>
        <w:t xml:space="preserve">257.91</w:t>
      </w:r>
      <w:r>
        <w:rPr>
          <w:rFonts w:ascii="宋体" w:eastAsia="宋体" w:hAnsi="宋体" w:cs="宋体" w:hint="eastAsia"/>
          <w:sz w:val="28"/>
          <w:szCs w:val="28"/>
        </w:rPr>
        <w:t xml:space="preserve">万元，占支出预算</w:t>
      </w:r>
      <w:r>
        <w:rPr>
          <w:rFonts w:ascii="宋体" w:eastAsia="宋体" w:hAnsi="宋体" w:cs="宋体"/>
          <w:sz w:val="28"/>
          <w:u w:color="auto"/>
        </w:rPr>
        <w:t xml:space="preserve">32.21%</w:t>
      </w:r>
      <w:r>
        <w:rPr>
          <w:rFonts w:ascii="宋体" w:eastAsia="宋体" w:hAnsi="宋体" w:cs="宋体"/>
          <w:sz w:val="28"/>
          <w:u w:color="auto"/>
        </w:rPr>
        <w:t xml:space="preserve">,比上年</w:t>
      </w:r>
      <w:r>
        <w:rPr>
          <w:rFonts w:ascii="宋体" w:eastAsia="宋体" w:hAnsi="宋体" w:cs="宋体"/>
          <w:sz w:val="28"/>
          <w:u w:color="auto"/>
        </w:rPr>
        <w:t xml:space="preserve">减少0.47</w:t>
      </w:r>
      <w:r>
        <w:rPr>
          <w:rFonts w:ascii="宋体" w:eastAsia="宋体" w:hAnsi="宋体" w:cs="宋体"/>
          <w:sz w:val="28"/>
          <w:u w:color="auto"/>
        </w:rPr>
        <w:t xml:space="preserve">万元，</w:t>
      </w:r>
      <w:r>
        <w:rPr>
          <w:rFonts w:ascii="宋体" w:eastAsia="宋体" w:hAnsi="宋体" w:cs="宋体"/>
          <w:sz w:val="28"/>
          <w:u w:color="auto"/>
        </w:rPr>
        <w:t xml:space="preserve">减少0.18%</w:t>
      </w:r>
      <w:r>
        <w:rPr>
          <w:rFonts w:ascii="宋体" w:eastAsia="宋体" w:hAnsi="宋体" w:cs="宋体" w:hint="eastAsia"/>
          <w:sz w:val="28"/>
          <w:szCs w:val="28"/>
        </w:rPr>
        <w:t xml:space="preserve">。</w:t>
      </w:r>
      <w:r>
        <w:rPr>
          <w:rFonts w:ascii="宋体" w:eastAsia="宋体" w:hAnsi="宋体" w:cs="宋体" w:hint="eastAsia"/>
          <w:sz w:val="28"/>
          <w:szCs w:val="28"/>
          <w:lang w:val="en-US" w:eastAsia="zh-CN"/>
        </w:rPr>
        <w:t xml:space="preserve">其中：</w:t>
      </w:r>
    </w:p>
    <w:p>
      <w:pPr>
        <w:pStyle w:val="Bodytext|3"/>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ascii="宋体" w:eastAsia="宋体" w:hAnsi="宋体" w:cs="宋体" w:hint="eastAsia"/>
          <w:sz w:val="28"/>
          <w:szCs w:val="28"/>
          <w:lang w:val="en-US" w:eastAsia="zh-CN"/>
        </w:rPr>
      </w:pPr>
      <w:r>
        <w:rPr>
          <w:rFonts w:ascii="宋体" w:eastAsia="宋体" w:hAnsi="宋体" w:cs="宋体" w:hint="eastAsia"/>
          <w:sz w:val="28"/>
          <w:szCs w:val="28"/>
        </w:rPr>
        <w:t xml:space="preserve">(</w:t>
      </w:r>
      <w:r>
        <w:rPr>
          <w:rFonts w:ascii="宋体" w:eastAsia="宋体" w:hAnsi="宋体" w:cs="宋体"/>
          <w:sz w:val="28"/>
          <w:u w:color="auto"/>
        </w:rPr>
        <w:t xml:space="preserve">1</w:t>
      </w:r>
      <w:r>
        <w:rPr>
          <w:rFonts w:ascii="宋体" w:eastAsia="宋体" w:hAnsi="宋体" w:cs="宋体"/>
          <w:sz w:val="28"/>
          <w:u w:color="auto"/>
        </w:rPr>
        <w:t xml:space="preserve">)</w:t>
      </w:r>
      <w:r>
        <w:rPr>
          <w:rFonts w:ascii="宋体" w:eastAsia="宋体" w:hAnsi="宋体" w:cs="宋体"/>
          <w:sz w:val="28"/>
          <w:u w:color="auto"/>
        </w:rPr>
        <w:t xml:space="preserve">商品和服务支出</w:t>
      </w:r>
      <w:r>
        <w:rPr>
          <w:rFonts w:ascii="宋体" w:eastAsia="宋体" w:hAnsi="宋体" w:cs="宋体" w:hint="eastAsia"/>
          <w:sz w:val="28"/>
          <w:szCs w:val="28"/>
          <w:lang w:val="en-US" w:eastAsia="zh-CN"/>
        </w:rPr>
        <w:t xml:space="preserve">18.03</w:t>
      </w:r>
      <w:r>
        <w:rPr>
          <w:rFonts w:ascii="宋体" w:eastAsia="宋体" w:hAnsi="宋体" w:cs="宋体" w:hint="eastAsia"/>
          <w:sz w:val="28"/>
          <w:szCs w:val="28"/>
        </w:rPr>
        <w:t xml:space="preserve">万元，占基本支出总预算</w:t>
      </w:r>
      <w:r>
        <w:rPr>
          <w:rFonts w:ascii="宋体" w:eastAsia="宋体" w:hAnsi="宋体" w:cs="宋体" w:hint="eastAsia"/>
          <w:sz w:val="28"/>
          <w:szCs w:val="28"/>
          <w:lang w:val="en-US" w:eastAsia="zh-CN"/>
        </w:rPr>
        <w:t xml:space="preserve">6.99%</w:t>
      </w:r>
      <w:r>
        <w:rPr>
          <w:rFonts w:ascii="宋体" w:eastAsia="宋体" w:hAnsi="宋体" w:cs="宋体" w:hint="eastAsia"/>
          <w:sz w:val="28"/>
          <w:szCs w:val="28"/>
        </w:rPr>
        <w:t xml:space="preserve">,比上年</w:t>
      </w:r>
      <w:r>
        <w:rPr>
          <w:rFonts w:ascii="宋体" w:eastAsia="宋体" w:hAnsi="宋体" w:cs="宋体"/>
          <w:sz w:val="28"/>
          <w:u w:color="auto"/>
        </w:rPr>
        <w:t xml:space="preserve">减少1.48</w:t>
      </w:r>
      <w:r>
        <w:rPr>
          <w:rFonts w:ascii="宋体" w:eastAsia="宋体" w:hAnsi="宋体" w:cs="宋体"/>
          <w:sz w:val="28"/>
          <w:u w:color="auto"/>
        </w:rPr>
        <w:t xml:space="preserve">万元，</w:t>
      </w:r>
      <w:r>
        <w:rPr>
          <w:rFonts w:ascii="宋体" w:eastAsia="宋体" w:hAnsi="宋体" w:cs="宋体"/>
          <w:sz w:val="28"/>
          <w:u w:color="auto"/>
        </w:rPr>
        <w:t xml:space="preserve">减少7.59%</w:t>
      </w:r>
      <w:r>
        <w:rPr>
          <w:rFonts w:ascii="宋体" w:eastAsia="宋体" w:hAnsi="宋体" w:cs="宋体"/>
          <w:sz w:val="28"/>
          <w:u w:color="auto"/>
        </w:rPr>
        <w:t xml:space="preserve">,主要原因是：人员变动，公用经费支出减少，工作经费持续压减</w:t>
      </w:r>
      <w:r>
        <w:rPr>
          <w:rFonts w:ascii="宋体" w:eastAsia="宋体" w:hAnsi="宋体" w:cs="宋体" w:hint="eastAsia"/>
          <w:sz w:val="28"/>
          <w:szCs w:val="28"/>
          <w:lang w:val="en-US" w:eastAsia="zh-CN"/>
        </w:rPr>
        <w:t xml:space="preserve">。</w:t>
      </w:r>
    </w:p>
    <w:p>
      <w:pPr>
        <w:pStyle w:val="Bodytext|3"/>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ascii="宋体" w:eastAsia="宋体" w:hAnsi="宋体" w:cs="宋体" w:hint="eastAsia"/>
          <w:sz w:val="28"/>
          <w:szCs w:val="28"/>
          <w:lang w:val="en-US" w:eastAsia="zh-CN"/>
        </w:rPr>
      </w:pPr>
      <w:r>
        <w:rPr>
          <w:rFonts w:ascii="宋体" w:eastAsia="宋体" w:hAnsi="宋体" w:cs="宋体" w:hint="eastAsia"/>
          <w:sz w:val="28"/>
          <w:szCs w:val="28"/>
        </w:rPr>
        <w:t xml:space="preserve">(</w:t>
      </w:r>
      <w:r>
        <w:rPr>
          <w:rFonts w:ascii="宋体" w:eastAsia="宋体" w:hAnsi="宋体" w:cs="宋体"/>
          <w:sz w:val="28"/>
          <w:u w:color="auto"/>
        </w:rPr>
        <w:t xml:space="preserve">2</w:t>
      </w:r>
      <w:r>
        <w:rPr>
          <w:rFonts w:ascii="宋体" w:eastAsia="宋体" w:hAnsi="宋体" w:cs="宋体"/>
          <w:sz w:val="28"/>
          <w:u w:color="auto"/>
        </w:rPr>
        <w:t xml:space="preserve">)</w:t>
      </w:r>
      <w:r>
        <w:rPr>
          <w:rFonts w:ascii="宋体" w:eastAsia="宋体" w:hAnsi="宋体" w:cs="宋体"/>
          <w:sz w:val="28"/>
          <w:u w:color="auto"/>
        </w:rPr>
        <w:t xml:space="preserve">工资福利支出</w:t>
      </w:r>
      <w:r>
        <w:rPr>
          <w:rFonts w:ascii="宋体" w:eastAsia="宋体" w:hAnsi="宋体" w:cs="宋体" w:hint="eastAsia"/>
          <w:sz w:val="28"/>
          <w:szCs w:val="28"/>
          <w:lang w:val="en-US" w:eastAsia="zh-CN"/>
        </w:rPr>
        <w:t xml:space="preserve">239.88</w:t>
      </w:r>
      <w:r>
        <w:rPr>
          <w:rFonts w:ascii="宋体" w:eastAsia="宋体" w:hAnsi="宋体" w:cs="宋体" w:hint="eastAsia"/>
          <w:sz w:val="28"/>
          <w:szCs w:val="28"/>
        </w:rPr>
        <w:t xml:space="preserve">万元，占基本支出总预算</w:t>
      </w:r>
      <w:r>
        <w:rPr>
          <w:rFonts w:ascii="宋体" w:eastAsia="宋体" w:hAnsi="宋体" w:cs="宋体" w:hint="eastAsia"/>
          <w:sz w:val="28"/>
          <w:szCs w:val="28"/>
          <w:lang w:val="en-US" w:eastAsia="zh-CN"/>
        </w:rPr>
        <w:t xml:space="preserve">93.01%</w:t>
      </w:r>
      <w:r>
        <w:rPr>
          <w:rFonts w:ascii="宋体" w:eastAsia="宋体" w:hAnsi="宋体" w:cs="宋体" w:hint="eastAsia"/>
          <w:sz w:val="28"/>
          <w:szCs w:val="28"/>
        </w:rPr>
        <w:t xml:space="preserve">,比上年</w:t>
      </w:r>
      <w:r>
        <w:rPr>
          <w:rFonts w:ascii="宋体" w:eastAsia="宋体" w:hAnsi="宋体" w:cs="宋体"/>
          <w:sz w:val="28"/>
          <w:u w:color="auto"/>
        </w:rPr>
        <w:t xml:space="preserve">增长7.31</w:t>
      </w:r>
      <w:r>
        <w:rPr>
          <w:rFonts w:ascii="宋体" w:eastAsia="宋体" w:hAnsi="宋体" w:cs="宋体"/>
          <w:sz w:val="28"/>
          <w:u w:color="auto"/>
        </w:rPr>
        <w:t xml:space="preserve">万元，</w:t>
      </w:r>
      <w:r>
        <w:rPr>
          <w:rFonts w:ascii="宋体" w:eastAsia="宋体" w:hAnsi="宋体" w:cs="宋体"/>
          <w:sz w:val="28"/>
          <w:u w:color="auto"/>
        </w:rPr>
        <w:t xml:space="preserve">增长3.14%</w:t>
      </w:r>
      <w:r>
        <w:rPr>
          <w:rFonts w:ascii="宋体" w:eastAsia="宋体" w:hAnsi="宋体" w:cs="宋体"/>
          <w:sz w:val="28"/>
          <w:u w:color="auto"/>
        </w:rPr>
        <w:t xml:space="preserve">,主要原因是：本年度新增了基础性绩效工资项目，导致年初预算比上一年度有所增加</w:t>
      </w:r>
      <w:r>
        <w:rPr>
          <w:rFonts w:ascii="宋体" w:eastAsia="宋体" w:hAnsi="宋体" w:cs="宋体" w:hint="eastAsia"/>
          <w:sz w:val="28"/>
          <w:szCs w:val="28"/>
          <w:lang w:val="en-US" w:eastAsia="zh-CN"/>
        </w:rPr>
        <w:t xml:space="preserve">。</w:t>
      </w:r>
    </w:p>
    <w:p>
      <w:pPr>
        <w:pStyle w:val="Bodytext|3"/>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ascii="宋体" w:eastAsia="宋体" w:hAnsi="宋体" w:cs="宋体" w:hint="eastAsia"/>
          <w:sz w:val="28"/>
          <w:szCs w:val="28"/>
          <w:lang w:val="en-US" w:eastAsia="zh-CN"/>
        </w:rPr>
      </w:pPr>
      <w:r>
        <w:rPr>
          <w:rFonts w:ascii="宋体" w:eastAsia="宋体" w:hAnsi="宋体" w:cs="宋体" w:hint="eastAsia"/>
          <w:sz w:val="28"/>
          <w:szCs w:val="28"/>
        </w:rPr>
        <w:t xml:space="preserve">(</w:t>
      </w:r>
      <w:r>
        <w:rPr>
          <w:rFonts w:ascii="宋体" w:eastAsia="宋体" w:hAnsi="宋体" w:cs="宋体"/>
          <w:sz w:val="28"/>
          <w:u w:color="auto"/>
        </w:rPr>
        <w:t xml:space="preserve">3</w:t>
      </w:r>
      <w:r>
        <w:rPr>
          <w:rFonts w:ascii="宋体" w:eastAsia="宋体" w:hAnsi="宋体" w:cs="宋体"/>
          <w:sz w:val="28"/>
          <w:u w:color="auto"/>
        </w:rPr>
        <w:t xml:space="preserve">)</w:t>
      </w:r>
      <w:r>
        <w:rPr>
          <w:rFonts w:ascii="宋体" w:eastAsia="宋体" w:hAnsi="宋体" w:cs="宋体"/>
          <w:sz w:val="28"/>
          <w:u w:color="auto"/>
        </w:rPr>
        <w:t xml:space="preserve">对个人和家庭的补助</w:t>
      </w:r>
      <w:r>
        <w:rPr>
          <w:rFonts w:ascii="宋体" w:eastAsia="宋体" w:hAnsi="宋体" w:cs="宋体" w:hint="eastAsia"/>
          <w:sz w:val="28"/>
          <w:szCs w:val="28"/>
          <w:lang w:val="en-US" w:eastAsia="zh-CN"/>
        </w:rPr>
        <w:t xml:space="preserve">0.00</w:t>
      </w:r>
      <w:r>
        <w:rPr>
          <w:rFonts w:ascii="宋体" w:eastAsia="宋体" w:hAnsi="宋体" w:cs="宋体" w:hint="eastAsia"/>
          <w:sz w:val="28"/>
          <w:szCs w:val="28"/>
        </w:rPr>
        <w:t xml:space="preserve">万元，占基本支出总预算</w:t>
      </w:r>
      <w:r>
        <w:rPr>
          <w:rFonts w:ascii="宋体" w:eastAsia="宋体" w:hAnsi="宋体" w:cs="宋体" w:hint="eastAsia"/>
          <w:sz w:val="28"/>
          <w:szCs w:val="28"/>
          <w:lang w:val="en-US" w:eastAsia="zh-CN"/>
        </w:rPr>
        <w:t xml:space="preserve">0.00%</w:t>
      </w:r>
      <w:r>
        <w:rPr>
          <w:rFonts w:ascii="宋体" w:eastAsia="宋体" w:hAnsi="宋体" w:cs="宋体" w:hint="eastAsia"/>
          <w:sz w:val="28"/>
          <w:szCs w:val="28"/>
        </w:rPr>
        <w:t xml:space="preserve">,比上年</w:t>
      </w:r>
      <w:r>
        <w:rPr>
          <w:rFonts w:ascii="宋体" w:eastAsia="宋体" w:hAnsi="宋体" w:cs="宋体"/>
          <w:sz w:val="28"/>
          <w:u w:color="auto"/>
        </w:rPr>
        <w:t xml:space="preserve">减少6.30</w:t>
      </w:r>
      <w:r>
        <w:rPr>
          <w:rFonts w:ascii="宋体" w:eastAsia="宋体" w:hAnsi="宋体" w:cs="宋体"/>
          <w:sz w:val="28"/>
          <w:u w:color="auto"/>
        </w:rPr>
        <w:t xml:space="preserve">万元，</w:t>
      </w:r>
      <w:r>
        <w:rPr>
          <w:rFonts w:ascii="宋体" w:eastAsia="宋体" w:hAnsi="宋体" w:cs="宋体"/>
          <w:sz w:val="28"/>
          <w:u w:color="auto"/>
        </w:rPr>
        <w:t xml:space="preserve">减少100.00%</w:t>
      </w:r>
      <w:r>
        <w:rPr>
          <w:rFonts w:ascii="宋体" w:eastAsia="宋体" w:hAnsi="宋体" w:cs="宋体"/>
          <w:sz w:val="28"/>
          <w:u w:color="auto"/>
        </w:rPr>
        <w:t xml:space="preserve">,主要原因是：上一年度纳入年度预算的电影公益放映补贴，本年未纳入年初预算</w:t>
      </w:r>
      <w:r>
        <w:rPr>
          <w:rFonts w:ascii="宋体" w:eastAsia="宋体" w:hAnsi="宋体" w:cs="宋体" w:hint="eastAsia"/>
          <w:sz w:val="28"/>
          <w:szCs w:val="28"/>
          <w:lang w:val="en-US" w:eastAsia="zh-CN"/>
        </w:rPr>
        <w:t xml:space="preserve">。</w:t>
      </w:r>
    </w:p>
    <w:p>
      <w:pPr>
        <w:pStyle w:val="Bodytext|1"/>
        <w:keepNext w:val="0"/>
        <w:keepLines w:val="0"/>
        <w:pageBreakBefore w:val="0"/>
        <w:widowControl w:val="0"/>
        <w:numPr>
          <w:ilvl w:val="0"/>
          <w:numId w:val="3"/>
        </w:numPr>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b w:val="0"/>
          <w:bCs w:val="0"/>
          <w:color w:val="000000"/>
          <w:sz w:val="28"/>
          <w:szCs w:val="28"/>
          <w:lang w:val="zh-TW" w:eastAsia="zh-TW" w:bidi="zh-TW"/>
        </w:rPr>
      </w:pPr>
      <w:r>
        <w:rPr>
          <w:rFonts w:ascii="宋体" w:eastAsia="宋体" w:hAnsi="宋体" w:cs="宋体" w:hint="eastAsia"/>
          <w:b w:val="0"/>
          <w:bCs w:val="0"/>
          <w:color w:val="000000"/>
          <w:sz w:val="28"/>
          <w:szCs w:val="28"/>
          <w:lang w:val="zh-TW" w:eastAsia="zh-TW" w:bidi="zh-TW"/>
        </w:rPr>
        <w:t xml:space="preserve">项目支出预算。</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ascii="宋体" w:eastAsia="宋体" w:hAnsi="宋体" w:cs="宋体" w:hint="eastAsia"/>
          <w:sz w:val="28"/>
          <w:szCs w:val="28"/>
          <w:lang w:val="en-US" w:eastAsia="zh-CN"/>
        </w:rPr>
      </w:pPr>
      <w:r>
        <w:rPr>
          <w:rFonts w:ascii="宋体" w:eastAsia="宋体" w:hAnsi="宋体" w:cs="宋体" w:hint="eastAsia"/>
          <w:sz w:val="28"/>
          <w:szCs w:val="28"/>
        </w:rPr>
        <w:t xml:space="preserve">项目支出预算</w:t>
      </w:r>
      <w:r>
        <w:rPr>
          <w:rFonts w:ascii="宋体" w:eastAsia="宋体" w:hAnsi="宋体" w:cs="宋体" w:hint="eastAsia"/>
          <w:sz w:val="28"/>
          <w:szCs w:val="28"/>
          <w:lang w:val="en-US" w:eastAsia="zh-CN"/>
        </w:rPr>
        <w:t xml:space="preserve">542.82</w:t>
      </w:r>
      <w:r>
        <w:rPr>
          <w:rFonts w:ascii="宋体" w:eastAsia="宋体" w:hAnsi="宋体" w:cs="宋体" w:hint="eastAsia"/>
          <w:sz w:val="28"/>
          <w:szCs w:val="28"/>
        </w:rPr>
        <w:t xml:space="preserve">万元，占支出预算</w:t>
      </w:r>
      <w:r>
        <w:rPr>
          <w:rFonts w:ascii="宋体" w:eastAsia="宋体" w:hAnsi="宋体" w:cs="宋体"/>
          <w:sz w:val="28"/>
          <w:u w:color="auto"/>
        </w:rPr>
        <w:t xml:space="preserve">67.79%</w:t>
      </w:r>
      <w:r>
        <w:rPr>
          <w:rFonts w:ascii="宋体" w:eastAsia="宋体" w:hAnsi="宋体" w:cs="宋体" w:hint="eastAsia"/>
          <w:sz w:val="28"/>
          <w:szCs w:val="28"/>
        </w:rPr>
        <w:t xml:space="preserve">,比上年</w:t>
      </w:r>
      <w:r>
        <w:rPr>
          <w:rFonts w:ascii="宋体" w:eastAsia="宋体" w:hAnsi="宋体" w:cs="宋体"/>
          <w:sz w:val="28"/>
          <w:u w:color="auto"/>
        </w:rPr>
        <w:t xml:space="preserve">减少137.06</w:t>
      </w:r>
      <w:r>
        <w:rPr>
          <w:rFonts w:ascii="宋体" w:eastAsia="宋体" w:hAnsi="宋体" w:cs="宋体" w:hint="eastAsia"/>
          <w:sz w:val="28"/>
          <w:szCs w:val="28"/>
        </w:rPr>
        <w:t xml:space="preserve">万元，</w:t>
      </w:r>
      <w:r>
        <w:rPr>
          <w:rFonts w:ascii="宋体" w:eastAsia="宋体" w:hAnsi="宋体" w:cs="宋体"/>
          <w:sz w:val="28"/>
          <w:u w:color="auto"/>
        </w:rPr>
        <w:t xml:space="preserve">减少20.16%</w:t>
      </w:r>
      <w:r>
        <w:rPr>
          <w:rFonts w:ascii="宋体" w:eastAsia="宋体" w:hAnsi="宋体" w:cs="宋体" w:hint="eastAsia"/>
          <w:sz w:val="28"/>
          <w:szCs w:val="28"/>
        </w:rPr>
        <w:t xml:space="preserve">。</w:t>
      </w:r>
      <w:r>
        <w:rPr>
          <w:rFonts w:ascii="宋体" w:eastAsia="宋体" w:hAnsi="宋体" w:cs="宋体" w:hint="eastAsia"/>
          <w:sz w:val="28"/>
          <w:szCs w:val="28"/>
          <w:lang w:val="en-US" w:eastAsia="zh-CN"/>
        </w:rPr>
        <w:t xml:space="preserve">其中：</w:t>
      </w:r>
    </w:p>
    <w:p>
      <w:pPr>
        <w:pStyle w:val="Bodytext|3"/>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ascii="宋体" w:eastAsia="宋体" w:hAnsi="宋体" w:cs="宋体" w:hint="eastAsia"/>
          <w:color w:val="000000"/>
          <w:sz w:val="28"/>
          <w:szCs w:val="28"/>
          <w:lang w:val="en-US" w:eastAsia="zh-CN" w:bidi="zh-TW"/>
        </w:rPr>
      </w:pPr>
      <w:r>
        <w:rPr>
          <w:rFonts w:ascii="宋体" w:eastAsia="宋体" w:hAnsi="宋体" w:cs="宋体" w:hint="eastAsia"/>
          <w:sz w:val="28"/>
          <w:szCs w:val="28"/>
        </w:rPr>
        <w:t xml:space="preserve">(</w:t>
      </w:r>
      <w:r>
        <w:rPr>
          <w:rFonts w:ascii="宋体" w:eastAsia="宋体" w:hAnsi="宋体" w:cs="宋体"/>
          <w:sz w:val="28"/>
          <w:u w:color="auto"/>
        </w:rPr>
        <w:t xml:space="preserve">1</w:t>
      </w:r>
      <w:r>
        <w:rPr>
          <w:rFonts w:ascii="宋体" w:eastAsia="宋体" w:hAnsi="宋体" w:cs="宋体"/>
          <w:sz w:val="28"/>
          <w:u w:color="auto"/>
        </w:rPr>
        <w:t xml:space="preserve">)</w:t>
      </w:r>
      <w:r>
        <w:rPr>
          <w:rFonts w:ascii="宋体" w:eastAsia="宋体" w:hAnsi="宋体" w:cs="宋体"/>
          <w:sz w:val="28"/>
          <w:u w:color="auto"/>
        </w:rPr>
        <w:t xml:space="preserve">商品和服务支出</w:t>
      </w:r>
      <w:r>
        <w:rPr>
          <w:rFonts w:ascii="宋体" w:eastAsia="宋体" w:hAnsi="宋体" w:cs="宋体" w:hint="eastAsia"/>
          <w:sz w:val="28"/>
          <w:szCs w:val="28"/>
          <w:lang w:val="en-US" w:eastAsia="zh-CN"/>
        </w:rPr>
        <w:t xml:space="preserve">490.92</w:t>
      </w:r>
      <w:r>
        <w:rPr>
          <w:rFonts w:ascii="宋体" w:eastAsia="宋体" w:hAnsi="宋体" w:cs="宋体" w:hint="eastAsia"/>
          <w:sz w:val="28"/>
          <w:szCs w:val="28"/>
        </w:rPr>
        <w:t xml:space="preserve">万元，占项</w:t>
      </w:r>
      <w:r>
        <w:rPr>
          <w:rFonts w:ascii="宋体" w:eastAsia="宋体" w:hAnsi="宋体" w:cs="宋体" w:hint="eastAsia"/>
          <w:color w:val="000000"/>
          <w:sz w:val="28"/>
          <w:szCs w:val="28"/>
          <w:lang w:val="zh-TW" w:eastAsia="zh-TW" w:bidi="zh-TW"/>
        </w:rPr>
        <w:t xml:space="preserve">目支出总预算</w:t>
      </w:r>
      <w:r>
        <w:rPr>
          <w:rFonts w:ascii="宋体" w:eastAsia="宋体" w:hAnsi="宋体" w:cs="宋体" w:hint="eastAsia"/>
          <w:color w:val="000000"/>
          <w:sz w:val="28"/>
          <w:szCs w:val="28"/>
          <w:lang w:val="en-US" w:eastAsia="zh-CN" w:bidi="zh-TW"/>
        </w:rPr>
        <w:t xml:space="preserve">90.44%</w:t>
      </w:r>
      <w:r>
        <w:rPr>
          <w:rFonts w:ascii="宋体" w:eastAsia="宋体" w:hAnsi="宋体" w:cs="宋体" w:hint="eastAsia"/>
          <w:color w:val="000000"/>
          <w:sz w:val="28"/>
          <w:szCs w:val="28"/>
          <w:lang w:val="zh-TW" w:eastAsia="zh-TW" w:bidi="zh-TW"/>
        </w:rPr>
        <w:t xml:space="preserve">,比上年</w:t>
      </w:r>
      <w:r>
        <w:rPr>
          <w:rFonts w:ascii="宋体" w:eastAsia="宋体" w:hAnsi="宋体" w:cs="宋体"/>
          <w:color w:val="000000"/>
          <w:sz w:val="28"/>
          <w:u w:color="auto"/>
        </w:rPr>
        <w:t xml:space="preserve">减少27.28</w:t>
      </w:r>
      <w:r>
        <w:rPr>
          <w:rFonts w:ascii="宋体" w:eastAsia="宋体" w:hAnsi="宋体" w:cs="宋体"/>
          <w:color w:val="000000"/>
          <w:sz w:val="28"/>
          <w:u w:color="auto"/>
        </w:rPr>
        <w:t xml:space="preserve">万元，</w:t>
      </w:r>
      <w:r>
        <w:rPr>
          <w:rFonts w:ascii="宋体" w:eastAsia="宋体" w:hAnsi="宋体" w:cs="宋体"/>
          <w:color w:val="000000"/>
          <w:sz w:val="28"/>
          <w:u w:color="auto"/>
        </w:rPr>
        <w:t xml:space="preserve">减少5.26%</w:t>
      </w:r>
      <w:r>
        <w:rPr>
          <w:rFonts w:ascii="宋体" w:eastAsia="宋体" w:hAnsi="宋体" w:cs="宋体"/>
          <w:color w:val="000000"/>
          <w:sz w:val="28"/>
          <w:u w:color="auto"/>
        </w:rPr>
        <w:t xml:space="preserve">,主要原因是：</w:t>
      </w:r>
      <w:r>
        <w:rPr>
          <w:rFonts w:ascii="宋体" w:eastAsia="宋体" w:hAnsi="宋体" w:cs="宋体" w:hint="eastAsia"/>
          <w:color w:val="000000"/>
          <w:sz w:val="28"/>
          <w:szCs w:val="28"/>
          <w:lang w:val="zh-TW" w:eastAsia="zh-TW" w:bidi="zh-TW"/>
        </w:rPr>
        <w:t xml:space="preserve">按照财政部门要求，过好紧日子，持续降低项目支出预算</w:t>
      </w:r>
      <w:r>
        <w:rPr>
          <w:rFonts w:ascii="宋体" w:eastAsia="宋体" w:hAnsi="宋体" w:cs="宋体" w:hint="eastAsia"/>
          <w:color w:val="000000"/>
          <w:sz w:val="28"/>
          <w:szCs w:val="28"/>
          <w:lang w:val="en-US" w:eastAsia="zh-CN" w:bidi="zh-TW"/>
        </w:rPr>
        <w:t xml:space="preserve">。</w:t>
      </w:r>
    </w:p>
    <w:p>
      <w:pPr>
        <w:pStyle w:val="Bodytext|3"/>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ascii="宋体" w:eastAsia="宋体" w:hAnsi="宋体" w:cs="宋体" w:hint="eastAsia"/>
          <w:color w:val="000000"/>
          <w:sz w:val="28"/>
          <w:szCs w:val="28"/>
          <w:lang w:val="en-US" w:eastAsia="zh-CN" w:bidi="zh-TW"/>
        </w:rPr>
      </w:pPr>
      <w:r>
        <w:rPr>
          <w:rFonts w:ascii="宋体" w:eastAsia="宋体" w:hAnsi="宋体" w:cs="宋体" w:hint="eastAsia"/>
          <w:sz w:val="28"/>
          <w:szCs w:val="28"/>
        </w:rPr>
        <w:t xml:space="preserve">(</w:t>
      </w:r>
      <w:r>
        <w:rPr>
          <w:rFonts w:ascii="宋体" w:eastAsia="宋体" w:hAnsi="宋体" w:cs="宋体"/>
          <w:sz w:val="28"/>
          <w:u w:color="auto"/>
        </w:rPr>
        <w:t xml:space="preserve">2</w:t>
      </w:r>
      <w:r>
        <w:rPr>
          <w:rFonts w:ascii="宋体" w:eastAsia="宋体" w:hAnsi="宋体" w:cs="宋体"/>
          <w:sz w:val="28"/>
          <w:u w:color="auto"/>
        </w:rPr>
        <w:t xml:space="preserve">)</w:t>
      </w:r>
      <w:r>
        <w:rPr>
          <w:rFonts w:ascii="宋体" w:eastAsia="宋体" w:hAnsi="宋体" w:cs="宋体"/>
          <w:sz w:val="28"/>
          <w:u w:color="auto"/>
        </w:rPr>
        <w:t xml:space="preserve">资本性支出（基本建设）</w:t>
      </w:r>
      <w:r>
        <w:rPr>
          <w:rFonts w:ascii="宋体" w:eastAsia="宋体" w:hAnsi="宋体" w:cs="宋体" w:hint="eastAsia"/>
          <w:sz w:val="28"/>
          <w:szCs w:val="28"/>
          <w:lang w:val="en-US" w:eastAsia="zh-CN"/>
        </w:rPr>
        <w:t xml:space="preserve">19.01</w:t>
      </w:r>
      <w:r>
        <w:rPr>
          <w:rFonts w:ascii="宋体" w:eastAsia="宋体" w:hAnsi="宋体" w:cs="宋体" w:hint="eastAsia"/>
          <w:sz w:val="28"/>
          <w:szCs w:val="28"/>
        </w:rPr>
        <w:t xml:space="preserve">万元，占项</w:t>
      </w:r>
      <w:r>
        <w:rPr>
          <w:rFonts w:ascii="宋体" w:eastAsia="宋体" w:hAnsi="宋体" w:cs="宋体" w:hint="eastAsia"/>
          <w:color w:val="000000"/>
          <w:sz w:val="28"/>
          <w:szCs w:val="28"/>
          <w:lang w:val="zh-TW" w:eastAsia="zh-TW" w:bidi="zh-TW"/>
        </w:rPr>
        <w:t xml:space="preserve">目支出总预算</w:t>
      </w:r>
      <w:r>
        <w:rPr>
          <w:rFonts w:ascii="宋体" w:eastAsia="宋体" w:hAnsi="宋体" w:cs="宋体" w:hint="eastAsia"/>
          <w:color w:val="000000"/>
          <w:sz w:val="28"/>
          <w:szCs w:val="28"/>
          <w:lang w:val="en-US" w:eastAsia="zh-CN" w:bidi="zh-TW"/>
        </w:rPr>
        <w:t xml:space="preserve">3.50%</w:t>
      </w:r>
      <w:r>
        <w:rPr>
          <w:rFonts w:ascii="宋体" w:eastAsia="宋体" w:hAnsi="宋体" w:cs="宋体" w:hint="eastAsia"/>
          <w:color w:val="000000"/>
          <w:sz w:val="28"/>
          <w:szCs w:val="28"/>
          <w:lang w:val="zh-TW" w:eastAsia="zh-TW" w:bidi="zh-TW"/>
        </w:rPr>
        <w:t xml:space="preserve">,比上年</w:t>
      </w:r>
      <w:r>
        <w:rPr>
          <w:rFonts w:ascii="宋体" w:eastAsia="宋体" w:hAnsi="宋体" w:cs="宋体"/>
          <w:color w:val="000000"/>
          <w:sz w:val="28"/>
          <w:u w:color="auto"/>
        </w:rPr>
        <w:t xml:space="preserve">增长19.01</w:t>
      </w:r>
      <w:r>
        <w:rPr>
          <w:rFonts w:ascii="宋体" w:eastAsia="宋体" w:hAnsi="宋体" w:cs="宋体"/>
          <w:color w:val="000000"/>
          <w:sz w:val="28"/>
          <w:u w:color="auto"/>
        </w:rPr>
        <w:t xml:space="preserve">万元，</w:t>
      </w:r>
      <w:r>
        <w:rPr>
          <w:rFonts w:ascii="宋体" w:eastAsia="宋体" w:hAnsi="宋体" w:cs="宋体"/>
          <w:color w:val="000000"/>
          <w:sz w:val="28"/>
          <w:u w:color="auto"/>
        </w:rPr>
        <w:t xml:space="preserve">增长100%</w:t>
      </w:r>
      <w:r>
        <w:rPr>
          <w:rFonts w:ascii="宋体" w:eastAsia="宋体" w:hAnsi="宋体" w:cs="宋体"/>
          <w:color w:val="000000"/>
          <w:sz w:val="28"/>
          <w:u w:color="auto"/>
        </w:rPr>
        <w:t xml:space="preserve">,主要原因是：</w:t>
      </w:r>
      <w:r>
        <w:rPr>
          <w:rFonts w:ascii="宋体" w:eastAsia="宋体" w:hAnsi="宋体" w:cs="宋体" w:hint="eastAsia"/>
          <w:color w:val="000000"/>
          <w:sz w:val="28"/>
          <w:szCs w:val="28"/>
          <w:lang w:val="zh-TW" w:eastAsia="zh-TW" w:bidi="zh-TW"/>
        </w:rPr>
        <w:t xml:space="preserve">此项开支用于偿还历年未结清的债务</w:t>
      </w:r>
      <w:r>
        <w:rPr>
          <w:rFonts w:ascii="宋体" w:eastAsia="宋体" w:hAnsi="宋体" w:cs="宋体" w:hint="eastAsia"/>
          <w:color w:val="000000"/>
          <w:sz w:val="28"/>
          <w:szCs w:val="28"/>
          <w:lang w:val="en-US" w:eastAsia="zh-CN" w:bidi="zh-TW"/>
        </w:rPr>
        <w:t xml:space="preserve">。</w:t>
      </w:r>
    </w:p>
    <w:p>
      <w:pPr>
        <w:pStyle w:val="Bodytext|3"/>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ascii="宋体" w:eastAsia="宋体" w:hAnsi="宋体" w:cs="宋体" w:hint="eastAsia"/>
          <w:color w:val="000000"/>
          <w:sz w:val="28"/>
          <w:szCs w:val="28"/>
          <w:lang w:val="en-US" w:eastAsia="zh-CN" w:bidi="zh-TW"/>
        </w:rPr>
      </w:pPr>
      <w:r>
        <w:rPr>
          <w:rFonts w:ascii="宋体" w:eastAsia="宋体" w:hAnsi="宋体" w:cs="宋体" w:hint="eastAsia"/>
          <w:sz w:val="28"/>
          <w:szCs w:val="28"/>
        </w:rPr>
        <w:t xml:space="preserve">(</w:t>
      </w:r>
      <w:r>
        <w:rPr>
          <w:rFonts w:ascii="宋体" w:eastAsia="宋体" w:hAnsi="宋体" w:cs="宋体"/>
          <w:sz w:val="28"/>
          <w:u w:color="auto"/>
        </w:rPr>
        <w:t xml:space="preserve">3</w:t>
      </w:r>
      <w:r>
        <w:rPr>
          <w:rFonts w:ascii="宋体" w:eastAsia="宋体" w:hAnsi="宋体" w:cs="宋体"/>
          <w:sz w:val="28"/>
          <w:u w:color="auto"/>
        </w:rPr>
        <w:t xml:space="preserve">)</w:t>
      </w:r>
      <w:r>
        <w:rPr>
          <w:rFonts w:ascii="宋体" w:eastAsia="宋体" w:hAnsi="宋体" w:cs="宋体"/>
          <w:sz w:val="28"/>
          <w:u w:color="auto"/>
        </w:rPr>
        <w:t xml:space="preserve">资本性支出</w:t>
      </w:r>
      <w:r>
        <w:rPr>
          <w:rFonts w:ascii="宋体" w:eastAsia="宋体" w:hAnsi="宋体" w:cs="宋体" w:hint="eastAsia"/>
          <w:sz w:val="28"/>
          <w:szCs w:val="28"/>
          <w:lang w:val="en-US" w:eastAsia="zh-CN"/>
        </w:rPr>
        <w:t xml:space="preserve">0.00</w:t>
      </w:r>
      <w:r>
        <w:rPr>
          <w:rFonts w:ascii="宋体" w:eastAsia="宋体" w:hAnsi="宋体" w:cs="宋体" w:hint="eastAsia"/>
          <w:sz w:val="28"/>
          <w:szCs w:val="28"/>
        </w:rPr>
        <w:t xml:space="preserve">万元，占项</w:t>
      </w:r>
      <w:r>
        <w:rPr>
          <w:rFonts w:ascii="宋体" w:eastAsia="宋体" w:hAnsi="宋体" w:cs="宋体" w:hint="eastAsia"/>
          <w:color w:val="000000"/>
          <w:sz w:val="28"/>
          <w:szCs w:val="28"/>
          <w:lang w:val="zh-TW" w:eastAsia="zh-TW" w:bidi="zh-TW"/>
        </w:rPr>
        <w:t xml:space="preserve">目支出总预算</w:t>
      </w:r>
      <w:r>
        <w:rPr>
          <w:rFonts w:ascii="宋体" w:eastAsia="宋体" w:hAnsi="宋体" w:cs="宋体" w:hint="eastAsia"/>
          <w:color w:val="000000"/>
          <w:sz w:val="28"/>
          <w:szCs w:val="28"/>
          <w:lang w:val="en-US" w:eastAsia="zh-CN" w:bidi="zh-TW"/>
        </w:rPr>
        <w:t xml:space="preserve">0.00%</w:t>
      </w:r>
      <w:r>
        <w:rPr>
          <w:rFonts w:ascii="宋体" w:eastAsia="宋体" w:hAnsi="宋体" w:cs="宋体" w:hint="eastAsia"/>
          <w:color w:val="000000"/>
          <w:sz w:val="28"/>
          <w:szCs w:val="28"/>
          <w:lang w:val="zh-TW" w:eastAsia="zh-TW" w:bidi="zh-TW"/>
        </w:rPr>
        <w:t xml:space="preserve">,比上年</w:t>
      </w:r>
      <w:r>
        <w:rPr>
          <w:rFonts w:ascii="宋体" w:eastAsia="宋体" w:hAnsi="宋体" w:cs="宋体"/>
          <w:color w:val="000000"/>
          <w:sz w:val="28"/>
          <w:u w:color="auto"/>
        </w:rPr>
        <w:t xml:space="preserve">减少26.08</w:t>
      </w:r>
      <w:r>
        <w:rPr>
          <w:rFonts w:ascii="宋体" w:eastAsia="宋体" w:hAnsi="宋体" w:cs="宋体"/>
          <w:color w:val="000000"/>
          <w:sz w:val="28"/>
          <w:u w:color="auto"/>
        </w:rPr>
        <w:t xml:space="preserve">万元，</w:t>
      </w:r>
      <w:r>
        <w:rPr>
          <w:rFonts w:ascii="宋体" w:eastAsia="宋体" w:hAnsi="宋体" w:cs="宋体"/>
          <w:color w:val="000000"/>
          <w:sz w:val="28"/>
          <w:u w:color="auto"/>
        </w:rPr>
        <w:t xml:space="preserve">减少100.00%</w:t>
      </w:r>
      <w:r>
        <w:rPr>
          <w:rFonts w:ascii="宋体" w:eastAsia="宋体" w:hAnsi="宋体" w:cs="宋体"/>
          <w:color w:val="000000"/>
          <w:sz w:val="28"/>
          <w:u w:color="auto"/>
        </w:rPr>
        <w:t xml:space="preserve">,主要原因是：</w:t>
      </w:r>
      <w:r>
        <w:rPr>
          <w:rFonts w:ascii="宋体" w:eastAsia="宋体" w:hAnsi="宋体" w:cs="宋体" w:hint="eastAsia"/>
          <w:color w:val="000000"/>
          <w:sz w:val="28"/>
          <w:szCs w:val="28"/>
          <w:lang w:val="zh-TW" w:eastAsia="zh-TW" w:bidi="zh-TW"/>
        </w:rPr>
        <w:t xml:space="preserve">支出科目调整，相关经费不再安排</w:t>
      </w:r>
      <w:r>
        <w:rPr>
          <w:rFonts w:ascii="宋体" w:eastAsia="宋体" w:hAnsi="宋体" w:cs="宋体" w:hint="eastAsia"/>
          <w:color w:val="000000"/>
          <w:sz w:val="28"/>
          <w:szCs w:val="28"/>
          <w:lang w:val="en-US" w:eastAsia="zh-CN" w:bidi="zh-TW"/>
        </w:rPr>
        <w:t xml:space="preserve">。</w:t>
      </w:r>
    </w:p>
    <w:p>
      <w:pPr>
        <w:pStyle w:val="Bodytext|3"/>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ascii="宋体" w:eastAsia="宋体" w:hAnsi="宋体" w:cs="宋体" w:hint="eastAsia"/>
          <w:color w:val="000000"/>
          <w:sz w:val="28"/>
          <w:szCs w:val="28"/>
          <w:lang w:val="en-US" w:eastAsia="zh-CN" w:bidi="zh-TW"/>
        </w:rPr>
      </w:pPr>
      <w:r>
        <w:rPr>
          <w:rFonts w:ascii="宋体" w:eastAsia="宋体" w:hAnsi="宋体" w:cs="宋体" w:hint="eastAsia"/>
          <w:sz w:val="28"/>
          <w:szCs w:val="28"/>
        </w:rPr>
        <w:t xml:space="preserve">(</w:t>
      </w:r>
      <w:r>
        <w:rPr>
          <w:rFonts w:ascii="宋体" w:eastAsia="宋体" w:hAnsi="宋体" w:cs="宋体"/>
          <w:sz w:val="28"/>
          <w:u w:color="auto"/>
        </w:rPr>
        <w:t xml:space="preserve">4</w:t>
      </w:r>
      <w:r>
        <w:rPr>
          <w:rFonts w:ascii="宋体" w:eastAsia="宋体" w:hAnsi="宋体" w:cs="宋体"/>
          <w:sz w:val="28"/>
          <w:u w:color="auto"/>
        </w:rPr>
        <w:t xml:space="preserve">)</w:t>
      </w:r>
      <w:r>
        <w:rPr>
          <w:rFonts w:ascii="宋体" w:eastAsia="宋体" w:hAnsi="宋体" w:cs="宋体"/>
          <w:sz w:val="28"/>
          <w:u w:color="auto"/>
        </w:rPr>
        <w:t xml:space="preserve">其他支出</w:t>
      </w:r>
      <w:r>
        <w:rPr>
          <w:rFonts w:ascii="宋体" w:eastAsia="宋体" w:hAnsi="宋体" w:cs="宋体" w:hint="eastAsia"/>
          <w:sz w:val="28"/>
          <w:szCs w:val="28"/>
          <w:lang w:val="en-US" w:eastAsia="zh-CN"/>
        </w:rPr>
        <w:t xml:space="preserve">2.41</w:t>
      </w:r>
      <w:r>
        <w:rPr>
          <w:rFonts w:ascii="宋体" w:eastAsia="宋体" w:hAnsi="宋体" w:cs="宋体" w:hint="eastAsia"/>
          <w:sz w:val="28"/>
          <w:szCs w:val="28"/>
        </w:rPr>
        <w:t xml:space="preserve">万元，占项</w:t>
      </w:r>
      <w:r>
        <w:rPr>
          <w:rFonts w:ascii="宋体" w:eastAsia="宋体" w:hAnsi="宋体" w:cs="宋体" w:hint="eastAsia"/>
          <w:color w:val="000000"/>
          <w:sz w:val="28"/>
          <w:szCs w:val="28"/>
          <w:lang w:val="zh-TW" w:eastAsia="zh-TW" w:bidi="zh-TW"/>
        </w:rPr>
        <w:t xml:space="preserve">目支出总预算</w:t>
      </w:r>
      <w:r>
        <w:rPr>
          <w:rFonts w:ascii="宋体" w:eastAsia="宋体" w:hAnsi="宋体" w:cs="宋体" w:hint="eastAsia"/>
          <w:color w:val="000000"/>
          <w:sz w:val="28"/>
          <w:szCs w:val="28"/>
          <w:lang w:val="en-US" w:eastAsia="zh-CN" w:bidi="zh-TW"/>
        </w:rPr>
        <w:t xml:space="preserve">0.44%</w:t>
      </w:r>
      <w:r>
        <w:rPr>
          <w:rFonts w:ascii="宋体" w:eastAsia="宋体" w:hAnsi="宋体" w:cs="宋体" w:hint="eastAsia"/>
          <w:color w:val="000000"/>
          <w:sz w:val="28"/>
          <w:szCs w:val="28"/>
          <w:lang w:val="zh-TW" w:eastAsia="zh-TW" w:bidi="zh-TW"/>
        </w:rPr>
        <w:t xml:space="preserve">,比上年</w:t>
      </w:r>
      <w:r>
        <w:rPr>
          <w:rFonts w:ascii="宋体" w:eastAsia="宋体" w:hAnsi="宋体" w:cs="宋体"/>
          <w:color w:val="000000"/>
          <w:sz w:val="28"/>
          <w:u w:color="auto"/>
        </w:rPr>
        <w:t xml:space="preserve">减少47.59</w:t>
      </w:r>
      <w:r>
        <w:rPr>
          <w:rFonts w:ascii="宋体" w:eastAsia="宋体" w:hAnsi="宋体" w:cs="宋体"/>
          <w:color w:val="000000"/>
          <w:sz w:val="28"/>
          <w:u w:color="auto"/>
        </w:rPr>
        <w:t xml:space="preserve">万元，</w:t>
      </w:r>
      <w:r>
        <w:rPr>
          <w:rFonts w:ascii="宋体" w:eastAsia="宋体" w:hAnsi="宋体" w:cs="宋体"/>
          <w:color w:val="000000"/>
          <w:sz w:val="28"/>
          <w:u w:color="auto"/>
        </w:rPr>
        <w:t xml:space="preserve">减少95.18%</w:t>
      </w:r>
      <w:r>
        <w:rPr>
          <w:rFonts w:ascii="宋体" w:eastAsia="宋体" w:hAnsi="宋体" w:cs="宋体"/>
          <w:color w:val="000000"/>
          <w:sz w:val="28"/>
          <w:u w:color="auto"/>
        </w:rPr>
        <w:t xml:space="preserve">,主要原因是：</w:t>
      </w:r>
      <w:r>
        <w:rPr>
          <w:rFonts w:ascii="宋体" w:eastAsia="宋体" w:hAnsi="宋体" w:cs="宋体" w:hint="eastAsia"/>
          <w:color w:val="000000"/>
          <w:sz w:val="28"/>
          <w:szCs w:val="28"/>
          <w:lang w:val="zh-TW" w:eastAsia="zh-TW" w:bidi="zh-TW"/>
        </w:rPr>
        <w:t xml:space="preserve">支出科目调整，相关经费不再安排</w:t>
      </w:r>
      <w:r>
        <w:rPr>
          <w:rFonts w:ascii="宋体" w:eastAsia="宋体" w:hAnsi="宋体" w:cs="宋体" w:hint="eastAsia"/>
          <w:color w:val="000000"/>
          <w:sz w:val="28"/>
          <w:szCs w:val="28"/>
          <w:lang w:val="en-US" w:eastAsia="zh-CN" w:bidi="zh-TW"/>
        </w:rPr>
        <w:t xml:space="preserve">。</w:t>
      </w:r>
    </w:p>
    <w:p>
      <w:pPr>
        <w:pStyle w:val="Bodytext|3"/>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ascii="宋体" w:eastAsia="宋体" w:hAnsi="宋体" w:cs="宋体" w:hint="eastAsia"/>
          <w:color w:val="000000"/>
          <w:sz w:val="28"/>
          <w:szCs w:val="28"/>
          <w:lang w:val="en-US" w:eastAsia="zh-CN" w:bidi="zh-TW"/>
        </w:rPr>
      </w:pPr>
      <w:r>
        <w:rPr>
          <w:rFonts w:ascii="宋体" w:eastAsia="宋体" w:hAnsi="宋体" w:cs="宋体" w:hint="eastAsia"/>
          <w:sz w:val="28"/>
          <w:szCs w:val="28"/>
        </w:rPr>
        <w:t xml:space="preserve">(</w:t>
      </w:r>
      <w:r>
        <w:rPr>
          <w:rFonts w:ascii="宋体" w:eastAsia="宋体" w:hAnsi="宋体" w:cs="宋体"/>
          <w:sz w:val="28"/>
          <w:u w:color="auto"/>
        </w:rPr>
        <w:t xml:space="preserve">5</w:t>
      </w:r>
      <w:r>
        <w:rPr>
          <w:rFonts w:ascii="宋体" w:eastAsia="宋体" w:hAnsi="宋体" w:cs="宋体"/>
          <w:sz w:val="28"/>
          <w:u w:color="auto"/>
        </w:rPr>
        <w:t xml:space="preserve">)</w:t>
      </w:r>
      <w:r>
        <w:rPr>
          <w:rFonts w:ascii="宋体" w:eastAsia="宋体" w:hAnsi="宋体" w:cs="宋体"/>
          <w:sz w:val="28"/>
          <w:u w:color="auto"/>
        </w:rPr>
        <w:t xml:space="preserve">对企业补助</w:t>
      </w:r>
      <w:r>
        <w:rPr>
          <w:rFonts w:ascii="宋体" w:eastAsia="宋体" w:hAnsi="宋体" w:cs="宋体" w:hint="eastAsia"/>
          <w:sz w:val="28"/>
          <w:szCs w:val="28"/>
          <w:lang w:val="en-US" w:eastAsia="zh-CN"/>
        </w:rPr>
        <w:t xml:space="preserve">30.48</w:t>
      </w:r>
      <w:r>
        <w:rPr>
          <w:rFonts w:ascii="宋体" w:eastAsia="宋体" w:hAnsi="宋体" w:cs="宋体" w:hint="eastAsia"/>
          <w:sz w:val="28"/>
          <w:szCs w:val="28"/>
        </w:rPr>
        <w:t xml:space="preserve">万元，占项</w:t>
      </w:r>
      <w:r>
        <w:rPr>
          <w:rFonts w:ascii="宋体" w:eastAsia="宋体" w:hAnsi="宋体" w:cs="宋体" w:hint="eastAsia"/>
          <w:color w:val="000000"/>
          <w:sz w:val="28"/>
          <w:szCs w:val="28"/>
          <w:lang w:val="zh-TW" w:eastAsia="zh-TW" w:bidi="zh-TW"/>
        </w:rPr>
        <w:t xml:space="preserve">目支出总预算</w:t>
      </w:r>
      <w:r>
        <w:rPr>
          <w:rFonts w:ascii="宋体" w:eastAsia="宋体" w:hAnsi="宋体" w:cs="宋体" w:hint="eastAsia"/>
          <w:color w:val="000000"/>
          <w:sz w:val="28"/>
          <w:szCs w:val="28"/>
          <w:lang w:val="en-US" w:eastAsia="zh-CN" w:bidi="zh-TW"/>
        </w:rPr>
        <w:t xml:space="preserve">5.62%</w:t>
      </w:r>
      <w:r>
        <w:rPr>
          <w:rFonts w:ascii="宋体" w:eastAsia="宋体" w:hAnsi="宋体" w:cs="宋体" w:hint="eastAsia"/>
          <w:color w:val="000000"/>
          <w:sz w:val="28"/>
          <w:szCs w:val="28"/>
          <w:lang w:val="zh-TW" w:eastAsia="zh-TW" w:bidi="zh-TW"/>
        </w:rPr>
        <w:t xml:space="preserve">,比上年</w:t>
      </w:r>
      <w:r>
        <w:rPr>
          <w:rFonts w:ascii="宋体" w:eastAsia="宋体" w:hAnsi="宋体" w:cs="宋体"/>
          <w:color w:val="000000"/>
          <w:sz w:val="28"/>
          <w:u w:color="auto"/>
        </w:rPr>
        <w:t xml:space="preserve">增长14.88</w:t>
      </w:r>
      <w:r>
        <w:rPr>
          <w:rFonts w:ascii="宋体" w:eastAsia="宋体" w:hAnsi="宋体" w:cs="宋体"/>
          <w:color w:val="000000"/>
          <w:sz w:val="28"/>
          <w:u w:color="auto"/>
        </w:rPr>
        <w:t xml:space="preserve">万元，</w:t>
      </w:r>
      <w:r>
        <w:rPr>
          <w:rFonts w:ascii="宋体" w:eastAsia="宋体" w:hAnsi="宋体" w:cs="宋体"/>
          <w:color w:val="000000"/>
          <w:sz w:val="28"/>
          <w:u w:color="auto"/>
        </w:rPr>
        <w:t xml:space="preserve">增长95.38%</w:t>
      </w:r>
      <w:r>
        <w:rPr>
          <w:rFonts w:ascii="宋体" w:eastAsia="宋体" w:hAnsi="宋体" w:cs="宋体"/>
          <w:color w:val="000000"/>
          <w:sz w:val="28"/>
          <w:u w:color="auto"/>
        </w:rPr>
        <w:t xml:space="preserve">,主要原因是：</w:t>
      </w:r>
      <w:r>
        <w:rPr>
          <w:rFonts w:ascii="宋体" w:eastAsia="宋体" w:hAnsi="宋体" w:cs="宋体" w:hint="eastAsia"/>
          <w:color w:val="000000"/>
          <w:sz w:val="28"/>
          <w:szCs w:val="28"/>
          <w:lang w:val="zh-TW" w:eastAsia="zh-TW" w:bidi="zh-TW"/>
        </w:rPr>
        <w:t xml:space="preserve">农村电影公益放映补贴支出按照相关文件安排落实</w:t>
      </w:r>
      <w:r>
        <w:rPr>
          <w:rFonts w:ascii="宋体" w:eastAsia="宋体" w:hAnsi="宋体" w:cs="宋体" w:hint="eastAsia"/>
          <w:color w:val="000000"/>
          <w:sz w:val="28"/>
          <w:szCs w:val="28"/>
          <w:lang w:val="en-US" w:eastAsia="zh-CN" w:bidi="zh-TW"/>
        </w:rPr>
        <w:t xml:space="preserve">。</w:t>
      </w:r>
    </w:p>
    <w:p>
      <w:pPr>
        <w:pStyle w:val="Bodytext|3"/>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ascii="宋体" w:eastAsia="宋体" w:hAnsi="宋体" w:cs="宋体" w:hint="eastAsia"/>
          <w:color w:val="000000"/>
          <w:sz w:val="28"/>
          <w:szCs w:val="28"/>
          <w:lang w:val="en-US" w:eastAsia="zh-CN" w:bidi="zh-TW"/>
        </w:rPr>
      </w:pPr>
      <w:r>
        <w:rPr>
          <w:rFonts w:ascii="宋体" w:eastAsia="宋体" w:hAnsi="宋体" w:cs="宋体" w:hint="eastAsia"/>
          <w:sz w:val="28"/>
          <w:szCs w:val="28"/>
        </w:rPr>
        <w:t xml:space="preserve">(</w:t>
      </w:r>
      <w:r>
        <w:rPr>
          <w:rFonts w:ascii="宋体" w:eastAsia="宋体" w:hAnsi="宋体" w:cs="宋体"/>
          <w:sz w:val="28"/>
          <w:u w:color="auto"/>
        </w:rPr>
        <w:t xml:space="preserve">6</w:t>
      </w:r>
      <w:r>
        <w:rPr>
          <w:rFonts w:ascii="宋体" w:eastAsia="宋体" w:hAnsi="宋体" w:cs="宋体"/>
          <w:sz w:val="28"/>
          <w:u w:color="auto"/>
        </w:rPr>
        <w:t xml:space="preserve">)</w:t>
      </w:r>
      <w:r>
        <w:rPr>
          <w:rFonts w:ascii="宋体" w:eastAsia="宋体" w:hAnsi="宋体" w:cs="宋体"/>
          <w:sz w:val="28"/>
          <w:u w:color="auto"/>
        </w:rPr>
        <w:t xml:space="preserve">对个人和家庭的补助</w:t>
      </w:r>
      <w:r>
        <w:rPr>
          <w:rFonts w:ascii="宋体" w:eastAsia="宋体" w:hAnsi="宋体" w:cs="宋体" w:hint="eastAsia"/>
          <w:sz w:val="28"/>
          <w:szCs w:val="28"/>
          <w:lang w:val="en-US" w:eastAsia="zh-CN"/>
        </w:rPr>
        <w:t xml:space="preserve">0.00</w:t>
      </w:r>
      <w:r>
        <w:rPr>
          <w:rFonts w:ascii="宋体" w:eastAsia="宋体" w:hAnsi="宋体" w:cs="宋体" w:hint="eastAsia"/>
          <w:sz w:val="28"/>
          <w:szCs w:val="28"/>
        </w:rPr>
        <w:t xml:space="preserve">万元，占项</w:t>
      </w:r>
      <w:r>
        <w:rPr>
          <w:rFonts w:ascii="宋体" w:eastAsia="宋体" w:hAnsi="宋体" w:cs="宋体" w:hint="eastAsia"/>
          <w:color w:val="000000"/>
          <w:sz w:val="28"/>
          <w:szCs w:val="28"/>
          <w:lang w:val="zh-TW" w:eastAsia="zh-TW" w:bidi="zh-TW"/>
        </w:rPr>
        <w:t xml:space="preserve">目支出总预算</w:t>
      </w:r>
      <w:r>
        <w:rPr>
          <w:rFonts w:ascii="宋体" w:eastAsia="宋体" w:hAnsi="宋体" w:cs="宋体" w:hint="eastAsia"/>
          <w:color w:val="000000"/>
          <w:sz w:val="28"/>
          <w:szCs w:val="28"/>
          <w:lang w:val="en-US" w:eastAsia="zh-CN" w:bidi="zh-TW"/>
        </w:rPr>
        <w:t xml:space="preserve">0.00%</w:t>
      </w:r>
      <w:r>
        <w:rPr>
          <w:rFonts w:ascii="宋体" w:eastAsia="宋体" w:hAnsi="宋体" w:cs="宋体" w:hint="eastAsia"/>
          <w:color w:val="000000"/>
          <w:sz w:val="28"/>
          <w:szCs w:val="28"/>
          <w:lang w:val="zh-TW" w:eastAsia="zh-TW" w:bidi="zh-TW"/>
        </w:rPr>
        <w:t xml:space="preserve">,比上年</w:t>
      </w:r>
      <w:r>
        <w:rPr>
          <w:rFonts w:ascii="宋体" w:eastAsia="宋体" w:hAnsi="宋体" w:cs="宋体"/>
          <w:color w:val="000000"/>
          <w:sz w:val="28"/>
          <w:u w:color="auto"/>
        </w:rPr>
        <w:t xml:space="preserve">减少70.00</w:t>
      </w:r>
      <w:r>
        <w:rPr>
          <w:rFonts w:ascii="宋体" w:eastAsia="宋体" w:hAnsi="宋体" w:cs="宋体"/>
          <w:color w:val="000000"/>
          <w:sz w:val="28"/>
          <w:u w:color="auto"/>
        </w:rPr>
        <w:t xml:space="preserve">万元，</w:t>
      </w:r>
      <w:r>
        <w:rPr>
          <w:rFonts w:ascii="宋体" w:eastAsia="宋体" w:hAnsi="宋体" w:cs="宋体"/>
          <w:color w:val="000000"/>
          <w:sz w:val="28"/>
          <w:u w:color="auto"/>
        </w:rPr>
        <w:t xml:space="preserve">减少100.00%</w:t>
      </w:r>
      <w:r>
        <w:rPr>
          <w:rFonts w:ascii="宋体" w:eastAsia="宋体" w:hAnsi="宋体" w:cs="宋体"/>
          <w:color w:val="000000"/>
          <w:sz w:val="28"/>
          <w:u w:color="auto"/>
        </w:rPr>
        <w:t xml:space="preserve">,主要原因是：</w:t>
      </w:r>
      <w:r>
        <w:rPr>
          <w:rFonts w:ascii="宋体" w:eastAsia="宋体" w:hAnsi="宋体" w:cs="宋体" w:hint="eastAsia"/>
          <w:color w:val="000000"/>
          <w:sz w:val="28"/>
          <w:szCs w:val="28"/>
          <w:lang w:val="zh-TW" w:eastAsia="zh-TW" w:bidi="zh-TW"/>
        </w:rPr>
        <w:t xml:space="preserve">电影公司安置补偿款不再纳入年初预算，年中有需要再行上会讨论追加</w:t>
      </w:r>
      <w:r>
        <w:rPr>
          <w:rFonts w:ascii="宋体" w:eastAsia="宋体" w:hAnsi="宋体" w:cs="宋体" w:hint="eastAsia"/>
          <w:color w:val="000000"/>
          <w:sz w:val="28"/>
          <w:szCs w:val="28"/>
          <w:lang w:val="en-US" w:eastAsia="zh-CN" w:bidi="zh-TW"/>
        </w:rPr>
        <w:t xml:space="preserve">。</w:t>
      </w:r>
    </w:p>
    <w:p>
      <w:pPr>
        <w:pStyle w:val="Bodytext|2"/>
        <w:spacing w:after="0" w:line="619" w:lineRule="exact"/>
        <w:ind w:firstLine="620"/>
        <w:jc w:val="left"/>
        <w:rPr>
          <w:rFonts w:hint="eastAsia"/>
          <w:b/>
          <w:bCs/>
          <w:lang w:val="en-US" w:eastAsia="zh-CN"/>
        </w:rPr>
      </w:pPr>
      <w:r>
        <w:rPr>
          <w:rFonts w:hint="eastAsia"/>
          <w:b/>
          <w:bCs/>
          <w:lang w:val="en-US" w:eastAsia="zh-CN"/>
        </w:rPr>
        <w:t xml:space="preserve">四、财政拨款收支总体情况说明</w:t>
      </w:r>
    </w:p>
    <w:p>
      <w:pPr>
        <w:pStyle w:val="Bodytext|1"/>
        <w:spacing w:line="240" w:lineRule="auto"/>
        <w:ind w:firstLine="0"/>
        <w:jc w:val="left"/>
        <w:rPr>
          <w:lang w:val="en-US" w:eastAsia="zh-CN"/>
        </w:rPr>
      </w:pPr>
      <w:r>
        <w:rPr>
          <w:rFonts w:hint="eastAsia"/>
          <w:lang w:val="en-US" w:eastAsia="zh-CN"/>
        </w:rPr>
        <w:drawing>
          <wp:inline distT="0" distB="0" distL="114300" distR="114300">
            <wp:extent cx="5080000" cy="3810000"/>
            <wp:effectExtent l="4445" t="4445" r="5715" b="10795"/>
            <wp:docPr id="816" name="图表 13" title="{{img_sz_c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10"/>
              </a:graphicData>
            </a:graphic>
          </wp:inline>
        </w:drawing>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sz w:val="28"/>
          <w:szCs w:val="28"/>
        </w:rPr>
      </w:pPr>
      <w:r>
        <w:rPr>
          <w:rFonts w:ascii="宋体" w:eastAsia="宋体" w:hAnsi="宋体" w:cs="宋体" w:hint="eastAsia"/>
          <w:sz w:val="28"/>
          <w:szCs w:val="28"/>
          <w:lang w:eastAsia="zh-CN"/>
        </w:rPr>
        <w:t xml:space="preserve">2024</w:t>
      </w:r>
      <w:r>
        <w:rPr>
          <w:rFonts w:ascii="宋体" w:eastAsia="宋体" w:hAnsi="宋体" w:cs="宋体" w:hint="eastAsia"/>
          <w:sz w:val="28"/>
          <w:szCs w:val="28"/>
          <w:u w:color="auto"/>
        </w:rPr>
        <w:t xml:space="preserve">年</w:t>
      </w:r>
      <w:r>
        <w:rPr>
          <w:rFonts w:ascii="宋体" w:eastAsia="宋体" w:hAnsi="宋体" w:cs="宋体" w:hint="eastAsia"/>
          <w:sz w:val="28"/>
          <w:szCs w:val="28"/>
        </w:rPr>
        <w:t xml:space="preserve">财政拨款收入我部门财政拨款总收入</w:t>
      </w:r>
      <w:r>
        <w:rPr>
          <w:rFonts w:ascii="宋体" w:eastAsia="宋体" w:hAnsi="宋体" w:cs="宋体" w:hint="eastAsia"/>
          <w:sz w:val="28"/>
          <w:szCs w:val="28"/>
          <w:lang w:val="en-US" w:eastAsia="zh-CN" w:bidi="en-US"/>
        </w:rPr>
        <w:t xml:space="preserve">800.73</w:t>
      </w:r>
      <w:r>
        <w:rPr>
          <w:rFonts w:ascii="宋体" w:eastAsia="宋体" w:hAnsi="宋体" w:cs="宋体" w:hint="eastAsia"/>
          <w:sz w:val="28"/>
          <w:szCs w:val="28"/>
        </w:rPr>
        <w:t xml:space="preserve">万元，总支出</w:t>
      </w:r>
      <w:r>
        <w:rPr>
          <w:rFonts w:ascii="宋体" w:eastAsia="宋体" w:hAnsi="宋体" w:cs="宋体" w:hint="eastAsia"/>
          <w:sz w:val="28"/>
          <w:szCs w:val="28"/>
          <w:lang w:val="en-US" w:eastAsia="zh-CN" w:bidi="en-US"/>
        </w:rPr>
        <w:t xml:space="preserve">800.73</w:t>
      </w:r>
      <w:r>
        <w:rPr>
          <w:rFonts w:ascii="宋体" w:eastAsia="宋体" w:hAnsi="宋体" w:cs="宋体" w:hint="eastAsia"/>
          <w:sz w:val="28"/>
          <w:szCs w:val="28"/>
        </w:rPr>
        <w:t xml:space="preserve">万元。财政拨款总收入较2023年度预算数</w:t>
      </w:r>
      <w:r>
        <w:rPr>
          <w:rFonts w:ascii="宋体" w:eastAsia="宋体" w:hAnsi="宋体" w:cs="宋体" w:hint="eastAsia"/>
          <w:sz w:val="28"/>
          <w:szCs w:val="28"/>
          <w:lang w:val="en-US" w:eastAsia="zh-CN" w:bidi="en-US"/>
        </w:rPr>
        <w:t xml:space="preserve">938.26</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减少137.53</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下降14.66%</w:t>
      </w:r>
      <w:r>
        <w:rPr>
          <w:rFonts w:ascii="宋体" w:eastAsia="宋体" w:hAnsi="宋体" w:cs="宋体" w:hint="eastAsia"/>
          <w:sz w:val="28"/>
          <w:szCs w:val="28"/>
        </w:rPr>
        <w:t xml:space="preserve">，主要原因是</w:t>
      </w:r>
      <w:r>
        <w:rPr>
          <w:rFonts w:hint="eastAsia"/>
          <w:highlight w:val="none"/>
          <w:lang w:val="en-US" w:eastAsia="zh-CN"/>
        </w:rPr>
        <w:t xml:space="preserve">1.今年较上一年，人员经费支出减少。2.按照财政部门过紧日子的要求，减少非民生项目支出，严控一般项目预算支出</w:t>
      </w:r>
      <w:r>
        <w:rPr>
          <w:rFonts w:ascii="宋体" w:eastAsia="宋体" w:hAnsi="宋体" w:cs="宋体" w:hint="eastAsia"/>
          <w:sz w:val="28"/>
          <w:szCs w:val="28"/>
        </w:rPr>
        <w:t xml:space="preserve">。财政拨款总支出较2023年度预算数</w:t>
      </w:r>
      <w:r>
        <w:rPr>
          <w:rFonts w:ascii="宋体" w:eastAsia="宋体" w:hAnsi="宋体" w:cs="宋体" w:hint="eastAsia"/>
          <w:sz w:val="28"/>
          <w:szCs w:val="28"/>
          <w:lang w:val="en-US" w:eastAsia="zh-CN" w:bidi="en-US"/>
        </w:rPr>
        <w:t xml:space="preserve">938.26</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减少137.53</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下降14.66%</w:t>
      </w:r>
      <w:r>
        <w:rPr>
          <w:rFonts w:ascii="宋体" w:eastAsia="宋体" w:hAnsi="宋体" w:cs="宋体" w:hint="eastAsia"/>
          <w:sz w:val="28"/>
          <w:szCs w:val="28"/>
        </w:rPr>
        <w:t xml:space="preserve">，主要原因是</w:t>
      </w:r>
      <w:r>
        <w:rPr>
          <w:rFonts w:hint="eastAsia"/>
          <w:highlight w:val="none"/>
          <w:lang w:val="en-US" w:eastAsia="zh-CN"/>
        </w:rPr>
        <w:t xml:space="preserve">1.今年较上一年，人员经费支出减少。2.按照财政部门过紧日子的要求，减少非民生项目支出，严控一般项目预算支出</w:t>
      </w:r>
      <w:r>
        <w:rPr>
          <w:rFonts w:ascii="宋体" w:eastAsia="宋体" w:hAnsi="宋体" w:cs="宋体" w:hint="eastAsia"/>
          <w:sz w:val="28"/>
          <w:szCs w:val="28"/>
        </w:rPr>
        <w:t xml:space="preserve">。</w:t>
      </w:r>
    </w:p>
    <w:p>
      <w:pPr>
        <w:pStyle w:val="Bodytext|2"/>
        <w:spacing w:after="0" w:line="619" w:lineRule="exact"/>
        <w:ind w:firstLine="620"/>
        <w:jc w:val="left"/>
        <w:rPr>
          <w:rFonts w:hint="eastAsia"/>
          <w:b/>
          <w:bCs/>
          <w:lang w:val="en-US" w:eastAsia="zh-CN"/>
        </w:rPr>
      </w:pPr>
      <w:r>
        <w:rPr>
          <w:rFonts w:hint="eastAsia"/>
          <w:b/>
          <w:bCs/>
          <w:lang w:val="en-US" w:eastAsia="zh-CN"/>
        </w:rPr>
        <w:t xml:space="preserve">五、一般公共预算支出情况说明</w:t>
      </w:r>
    </w:p>
    <w:p>
      <w:pPr>
        <w:pStyle w:val="Bodytext|1"/>
        <w:spacing w:line="240" w:lineRule="auto"/>
        <w:ind w:firstLine="0"/>
        <w:jc w:val="left"/>
        <w:rPr>
          <w:lang w:eastAsia="zh-CN"/>
        </w:rPr>
      </w:pPr>
      <w:r>
        <w:rPr>
          <w:lang w:eastAsia="zh-CN"/>
        </w:rPr>
        <w:drawing>
          <wp:inline distT="0" distB="0" distL="114300" distR="114300">
            <wp:extent cx="5080000" cy="3810000"/>
            <wp:effectExtent l="4445" t="4445" r="20955" b="14605"/>
            <wp:docPr id="817" name="图表 10" title="{{img_zc_y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11"/>
              </a:graphicData>
            </a:graphic>
          </wp:inline>
        </w:drawing>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lang w:eastAsia="zh-CN"/>
        </w:rPr>
        <w:t xml:space="preserve">2024</w:t>
      </w:r>
      <w:r>
        <w:rPr>
          <w:rFonts w:ascii="宋体" w:eastAsia="宋体" w:hAnsi="宋体" w:cs="宋体" w:hint="eastAsia"/>
          <w:sz w:val="28"/>
          <w:szCs w:val="28"/>
          <w:lang w:val="en-US" w:eastAsia="zh-CN"/>
        </w:rPr>
        <w:t xml:space="preserve">年</w:t>
      </w:r>
      <w:r>
        <w:rPr>
          <w:rFonts w:ascii="宋体" w:eastAsia="宋体" w:hAnsi="宋体" w:cs="宋体" w:hint="eastAsia"/>
          <w:sz w:val="28"/>
          <w:szCs w:val="28"/>
        </w:rPr>
        <w:t xml:space="preserve">一般公共预算支出共</w:t>
      </w:r>
      <w:r>
        <w:rPr>
          <w:rFonts w:ascii="宋体" w:eastAsia="宋体" w:hAnsi="宋体" w:cs="宋体" w:hint="eastAsia"/>
          <w:sz w:val="28"/>
          <w:szCs w:val="28"/>
          <w:lang w:val="en-US" w:eastAsia="zh-CN"/>
        </w:rPr>
        <w:t xml:space="preserve">781.72</w:t>
      </w:r>
      <w:r>
        <w:rPr>
          <w:rFonts w:ascii="宋体" w:eastAsia="宋体" w:hAnsi="宋体" w:cs="宋体" w:hint="eastAsia"/>
          <w:sz w:val="28"/>
          <w:szCs w:val="28"/>
        </w:rPr>
        <w:t xml:space="preserve">万元，较2023年度预算数</w:t>
      </w:r>
      <w:r>
        <w:rPr>
          <w:rFonts w:ascii="宋体" w:eastAsia="宋体" w:hAnsi="宋体" w:cs="宋体" w:hint="eastAsia"/>
          <w:sz w:val="28"/>
          <w:szCs w:val="28"/>
          <w:lang w:val="en-US" w:eastAsia="zh-CN"/>
        </w:rPr>
        <w:t xml:space="preserve">929.66</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减少147.94</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下降15.91%</w:t>
      </w:r>
      <w:r>
        <w:rPr>
          <w:rFonts w:ascii="宋体" w:eastAsia="宋体" w:hAnsi="宋体" w:cs="宋体" w:hint="eastAsia"/>
          <w:sz w:val="28"/>
          <w:szCs w:val="28"/>
        </w:rPr>
        <w:t xml:space="preserve">，主要原因是</w:t>
      </w:r>
      <w:r>
        <w:rPr>
          <w:rFonts w:hint="eastAsia"/>
          <w:highlight w:val="none"/>
          <w:lang w:val="en-US" w:eastAsia="zh-CN"/>
        </w:rPr>
        <w:t xml:space="preserve">1.今年较上一年，人员经费支出减少。2.按照财政部门过紧日子的要求，减少非民生项目支出，严控一般项目预算支出</w:t>
      </w:r>
      <w:r>
        <w:rPr>
          <w:rFonts w:ascii="宋体" w:eastAsia="宋体" w:hAnsi="宋体" w:cs="宋体" w:hint="eastAsia"/>
          <w:sz w:val="28"/>
          <w:szCs w:val="28"/>
        </w:rPr>
        <w:t xml:space="preserve">。中央提前下达2024年一般公共预算转移支付资金安排的支出</w:t>
      </w:r>
      <w:r>
        <w:rPr>
          <w:rFonts w:ascii="宋体" w:eastAsia="宋体" w:hAnsi="宋体" w:cs="宋体" w:hint="eastAsia"/>
          <w:sz w:val="28"/>
          <w:szCs w:val="28"/>
          <w:lang w:val="en-US" w:eastAsia="zh-CN"/>
        </w:rPr>
        <w:t xml:space="preserve">0.00</w:t>
      </w:r>
      <w:r>
        <w:rPr>
          <w:rFonts w:ascii="宋体" w:eastAsia="宋体" w:hAnsi="宋体" w:cs="宋体" w:hint="eastAsia"/>
          <w:sz w:val="28"/>
          <w:szCs w:val="28"/>
        </w:rPr>
        <w:t xml:space="preserve">万元。具体情况为：</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一般公共服务支出</w:t>
      </w:r>
      <w:r>
        <w:rPr>
          <w:rFonts w:ascii="宋体" w:eastAsia="宋体" w:hAnsi="宋体" w:cs="宋体" w:hint="eastAsia"/>
          <w:sz w:val="28"/>
          <w:szCs w:val="28"/>
        </w:rPr>
        <w:t xml:space="preserve">（类）支出</w:t>
      </w:r>
      <w:r>
        <w:rPr>
          <w:rFonts w:ascii="宋体" w:eastAsia="宋体" w:hAnsi="宋体" w:cs="宋体"/>
          <w:sz w:val="28"/>
          <w:u w:color="auto"/>
        </w:rPr>
        <w:t xml:space="preserve">691.29</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88.43%</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709.35</w:t>
      </w:r>
      <w:r>
        <w:rPr>
          <w:rFonts w:ascii="宋体" w:eastAsia="宋体" w:hAnsi="宋体" w:cs="宋体" w:hint="eastAsia"/>
          <w:sz w:val="28"/>
          <w:szCs w:val="28"/>
        </w:rPr>
        <w:t xml:space="preserve">万元，</w:t>
      </w:r>
      <w:r>
        <w:rPr>
          <w:rFonts w:ascii="宋体" w:eastAsia="宋体" w:hAnsi="宋体" w:cs="宋体"/>
          <w:sz w:val="28"/>
          <w:u w:color="auto"/>
        </w:rPr>
        <w:t xml:space="preserve">减少18.06</w:t>
      </w:r>
      <w:r>
        <w:rPr>
          <w:rFonts w:ascii="宋体" w:eastAsia="宋体" w:hAnsi="宋体" w:cs="宋体" w:hint="eastAsia"/>
          <w:sz w:val="28"/>
          <w:szCs w:val="28"/>
        </w:rPr>
        <w:t xml:space="preserve">万元，</w:t>
      </w:r>
      <w:r>
        <w:rPr>
          <w:rFonts w:ascii="宋体" w:eastAsia="宋体" w:hAnsi="宋体" w:cs="宋体"/>
          <w:sz w:val="28"/>
          <w:u w:color="auto"/>
        </w:rPr>
        <w:t xml:space="preserve">减少2.55%</w:t>
      </w:r>
      <w:r>
        <w:rPr>
          <w:rFonts w:ascii="宋体" w:eastAsia="宋体" w:hAnsi="宋体" w:cs="宋体" w:hint="eastAsia"/>
          <w:sz w:val="28"/>
          <w:szCs w:val="28"/>
        </w:rPr>
        <w:t xml:space="preserve">，主要原因是：</w:t>
      </w:r>
      <w:r>
        <w:rPr>
          <w:rFonts w:hint="eastAsia"/>
          <w:highlight w:val="none"/>
        </w:rPr>
        <w:t xml:space="preserve">1.今年较上一年，人员经费支出减少。2.按照财政部门过紧日子的要求，减少非民生项目支出，严控一般项目预算支出</w:t>
      </w:r>
      <w:r>
        <w:rPr>
          <w:rFonts w:ascii="宋体" w:eastAsia="宋体" w:hAnsi="宋体" w:cs="宋体" w:hint="eastAsia"/>
          <w:sz w:val="28"/>
          <w:szCs w:val="28"/>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住房保障支出</w:t>
      </w:r>
      <w:r>
        <w:rPr>
          <w:rFonts w:ascii="宋体" w:eastAsia="宋体" w:hAnsi="宋体" w:cs="宋体" w:hint="eastAsia"/>
          <w:sz w:val="28"/>
          <w:szCs w:val="28"/>
        </w:rPr>
        <w:t xml:space="preserve">（类）支出</w:t>
      </w:r>
      <w:r>
        <w:rPr>
          <w:rFonts w:ascii="宋体" w:eastAsia="宋体" w:hAnsi="宋体" w:cs="宋体"/>
          <w:sz w:val="28"/>
          <w:u w:color="auto"/>
        </w:rPr>
        <w:t xml:space="preserve">23.17</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2.96%</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21.87</w:t>
      </w:r>
      <w:r>
        <w:rPr>
          <w:rFonts w:ascii="宋体" w:eastAsia="宋体" w:hAnsi="宋体" w:cs="宋体" w:hint="eastAsia"/>
          <w:sz w:val="28"/>
          <w:szCs w:val="28"/>
        </w:rPr>
        <w:t xml:space="preserve">万元，</w:t>
      </w:r>
      <w:r>
        <w:rPr>
          <w:rFonts w:ascii="宋体" w:eastAsia="宋体" w:hAnsi="宋体" w:cs="宋体"/>
          <w:sz w:val="28"/>
          <w:u w:color="auto"/>
        </w:rPr>
        <w:t xml:space="preserve">增长1.30</w:t>
      </w:r>
      <w:r>
        <w:rPr>
          <w:rFonts w:ascii="宋体" w:eastAsia="宋体" w:hAnsi="宋体" w:cs="宋体" w:hint="eastAsia"/>
          <w:sz w:val="28"/>
          <w:szCs w:val="28"/>
        </w:rPr>
        <w:t xml:space="preserve">万元，</w:t>
      </w:r>
      <w:r>
        <w:rPr>
          <w:rFonts w:ascii="宋体" w:eastAsia="宋体" w:hAnsi="宋体" w:cs="宋体"/>
          <w:sz w:val="28"/>
          <w:u w:color="auto"/>
        </w:rPr>
        <w:t xml:space="preserve">增长5.94%</w:t>
      </w:r>
      <w:r>
        <w:rPr>
          <w:rFonts w:ascii="宋体" w:eastAsia="宋体" w:hAnsi="宋体" w:cs="宋体" w:hint="eastAsia"/>
          <w:sz w:val="28"/>
          <w:szCs w:val="28"/>
        </w:rPr>
        <w:t xml:space="preserve">，主要原因是：</w:t>
      </w:r>
      <w:r>
        <w:rPr>
          <w:rFonts w:hint="eastAsia"/>
          <w:highlight w:val="none"/>
        </w:rPr>
        <w:t xml:space="preserve">公积金缴费基数上调，整体符合往年发展趋势</w:t>
      </w:r>
      <w:r>
        <w:rPr>
          <w:rFonts w:ascii="宋体" w:eastAsia="宋体" w:hAnsi="宋体" w:cs="宋体" w:hint="eastAsia"/>
          <w:sz w:val="28"/>
          <w:szCs w:val="28"/>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文化旅游体育与传媒支出</w:t>
      </w:r>
      <w:r>
        <w:rPr>
          <w:rFonts w:ascii="宋体" w:eastAsia="宋体" w:hAnsi="宋体" w:cs="宋体" w:hint="eastAsia"/>
          <w:sz w:val="28"/>
          <w:szCs w:val="28"/>
        </w:rPr>
        <w:t xml:space="preserve">（类）支出</w:t>
      </w:r>
      <w:r>
        <w:rPr>
          <w:rFonts w:ascii="宋体" w:eastAsia="宋体" w:hAnsi="宋体" w:cs="宋体"/>
          <w:sz w:val="28"/>
          <w:u w:color="auto"/>
        </w:rPr>
        <w:t xml:space="preserve">40.51</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5.18%</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169.28</w:t>
      </w:r>
      <w:r>
        <w:rPr>
          <w:rFonts w:ascii="宋体" w:eastAsia="宋体" w:hAnsi="宋体" w:cs="宋体" w:hint="eastAsia"/>
          <w:sz w:val="28"/>
          <w:szCs w:val="28"/>
        </w:rPr>
        <w:t xml:space="preserve">万元，</w:t>
      </w:r>
      <w:r>
        <w:rPr>
          <w:rFonts w:ascii="宋体" w:eastAsia="宋体" w:hAnsi="宋体" w:cs="宋体"/>
          <w:sz w:val="28"/>
          <w:u w:color="auto"/>
        </w:rPr>
        <w:t xml:space="preserve">减少128.77</w:t>
      </w:r>
      <w:r>
        <w:rPr>
          <w:rFonts w:ascii="宋体" w:eastAsia="宋体" w:hAnsi="宋体" w:cs="宋体" w:hint="eastAsia"/>
          <w:sz w:val="28"/>
          <w:szCs w:val="28"/>
        </w:rPr>
        <w:t xml:space="preserve">万元，</w:t>
      </w:r>
      <w:r>
        <w:rPr>
          <w:rFonts w:ascii="宋体" w:eastAsia="宋体" w:hAnsi="宋体" w:cs="宋体"/>
          <w:sz w:val="28"/>
          <w:u w:color="auto"/>
        </w:rPr>
        <w:t xml:space="preserve">减少76.07%</w:t>
      </w:r>
      <w:r>
        <w:rPr>
          <w:rFonts w:ascii="宋体" w:eastAsia="宋体" w:hAnsi="宋体" w:cs="宋体" w:hint="eastAsia"/>
          <w:sz w:val="28"/>
          <w:szCs w:val="28"/>
        </w:rPr>
        <w:t xml:space="preserve">，主要原因是：</w:t>
      </w:r>
      <w:r>
        <w:rPr>
          <w:rFonts w:hint="eastAsia"/>
          <w:highlight w:val="none"/>
        </w:rPr>
        <w:t xml:space="preserve">1.电影安置补偿款本年未纳入年初预算。2.对电影公司补贴降低</w:t>
      </w:r>
      <w:r>
        <w:rPr>
          <w:rFonts w:ascii="宋体" w:eastAsia="宋体" w:hAnsi="宋体" w:cs="宋体" w:hint="eastAsia"/>
          <w:sz w:val="28"/>
          <w:szCs w:val="28"/>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社会保障和就业支出</w:t>
      </w:r>
      <w:r>
        <w:rPr>
          <w:rFonts w:ascii="宋体" w:eastAsia="宋体" w:hAnsi="宋体" w:cs="宋体" w:hint="eastAsia"/>
          <w:sz w:val="28"/>
          <w:szCs w:val="28"/>
        </w:rPr>
        <w:t xml:space="preserve">（类）支出</w:t>
      </w:r>
      <w:r>
        <w:rPr>
          <w:rFonts w:ascii="宋体" w:eastAsia="宋体" w:hAnsi="宋体" w:cs="宋体"/>
          <w:sz w:val="28"/>
          <w:u w:color="auto"/>
        </w:rPr>
        <w:t xml:space="preserve">26.75</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3.42%</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29.16</w:t>
      </w:r>
      <w:r>
        <w:rPr>
          <w:rFonts w:ascii="宋体" w:eastAsia="宋体" w:hAnsi="宋体" w:cs="宋体" w:hint="eastAsia"/>
          <w:sz w:val="28"/>
          <w:szCs w:val="28"/>
        </w:rPr>
        <w:t xml:space="preserve">万元，</w:t>
      </w:r>
      <w:r>
        <w:rPr>
          <w:rFonts w:ascii="宋体" w:eastAsia="宋体" w:hAnsi="宋体" w:cs="宋体"/>
          <w:sz w:val="28"/>
          <w:u w:color="auto"/>
        </w:rPr>
        <w:t xml:space="preserve">减少2.41</w:t>
      </w:r>
      <w:r>
        <w:rPr>
          <w:rFonts w:ascii="宋体" w:eastAsia="宋体" w:hAnsi="宋体" w:cs="宋体" w:hint="eastAsia"/>
          <w:sz w:val="28"/>
          <w:szCs w:val="28"/>
        </w:rPr>
        <w:t xml:space="preserve">万元，</w:t>
      </w:r>
      <w:r>
        <w:rPr>
          <w:rFonts w:ascii="宋体" w:eastAsia="宋体" w:hAnsi="宋体" w:cs="宋体"/>
          <w:sz w:val="28"/>
          <w:u w:color="auto"/>
        </w:rPr>
        <w:t xml:space="preserve">减少8.26%</w:t>
      </w:r>
      <w:r>
        <w:rPr>
          <w:rFonts w:ascii="宋体" w:eastAsia="宋体" w:hAnsi="宋体" w:cs="宋体" w:hint="eastAsia"/>
          <w:sz w:val="28"/>
          <w:szCs w:val="28"/>
        </w:rPr>
        <w:t xml:space="preserve">，主要原因是：</w:t>
      </w:r>
      <w:r>
        <w:rPr>
          <w:rFonts w:hint="eastAsia"/>
          <w:highlight w:val="none"/>
        </w:rPr>
        <w:t xml:space="preserve">基数调整，相关支出下降。聘用人员辞职，相关支出下降</w:t>
      </w:r>
      <w:r>
        <w:rPr>
          <w:rFonts w:ascii="宋体" w:eastAsia="宋体" w:hAnsi="宋体" w:cs="宋体" w:hint="eastAsia"/>
          <w:sz w:val="28"/>
          <w:szCs w:val="28"/>
        </w:rPr>
        <w:t xml:space="preserve">。</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r>
        <w:rPr>
          <w:rFonts w:hint="eastAsia"/>
          <w:b/>
          <w:bCs/>
          <w:lang w:val="en-US" w:eastAsia="zh-CN"/>
        </w:rPr>
        <w:t xml:space="preserve">六、一般公共预算基本支出情况说明</w:t>
      </w:r>
    </w:p>
    <w:p>
      <w:pPr>
        <w:pStyle w:val="Bodytext|2"/>
        <w:spacing w:after="0"/>
        <w:ind w:firstLine="0"/>
        <w:jc w:val="left"/>
        <w:rPr>
          <w:highlight w:val="yellow"/>
          <w:lang w:val="en-US" w:eastAsia="zh-CN"/>
        </w:rPr>
      </w:pPr>
      <w:r>
        <w:rPr>
          <w:highlight w:val="none"/>
          <w:lang w:val="en-US" w:eastAsia="zh-CN"/>
        </w:rPr>
        <w:drawing>
          <wp:inline distT="0" distB="0" distL="114300" distR="114300">
            <wp:extent cx="5080000" cy="3810000"/>
            <wp:effectExtent l="4445" t="4445" r="20955" b="14605"/>
            <wp:docPr id="818" name="图表 3" title="{{rep6_y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12"/>
              </a:graphicData>
            </a:graphic>
          </wp:inline>
        </w:drawing>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hint="eastAsia"/>
          <w:lang w:val="en-US" w:eastAsia="zh-CN"/>
        </w:rPr>
      </w:pPr>
      <w:r>
        <w:rPr>
          <w:rFonts w:hint="eastAsia"/>
          <w:lang w:val="en-US" w:eastAsia="zh-CN"/>
        </w:rPr>
        <w:t xml:space="preserve">2024</w:t>
      </w:r>
      <w:r>
        <w:rPr>
          <w:u w:color="auto"/>
        </w:rPr>
        <w:t xml:space="preserve">年</w:t>
      </w:r>
      <w:r>
        <w:rPr>
          <w:rFonts w:hint="eastAsia"/>
        </w:rPr>
        <w:t xml:space="preserve">一般公共预算基本支出共</w:t>
      </w:r>
      <w:r>
        <w:rPr>
          <w:rFonts w:hint="eastAsia"/>
          <w:lang w:val="en-US" w:eastAsia="zh-CN"/>
        </w:rPr>
        <w:t xml:space="preserve">257.91</w:t>
      </w:r>
      <w:r>
        <w:rPr>
          <w:rFonts w:hint="eastAsia"/>
        </w:rPr>
        <w:t xml:space="preserve">万元，较2023年度预算数</w:t>
      </w:r>
      <w:r>
        <w:rPr>
          <w:rFonts w:hint="eastAsia"/>
          <w:lang w:val="en-US" w:eastAsia="zh-CN"/>
        </w:rPr>
        <w:t xml:space="preserve">258.38</w:t>
      </w:r>
      <w:r>
        <w:rPr>
          <w:rFonts w:hint="eastAsia"/>
        </w:rPr>
        <w:t xml:space="preserve">万元</w:t>
      </w:r>
      <w:r>
        <w:rPr>
          <w:rFonts w:hint="eastAsia"/>
          <w:lang w:val="en-US" w:eastAsia="zh-CN"/>
        </w:rPr>
        <w:t xml:space="preserve">,</w:t>
      </w:r>
      <w:r>
        <w:rPr>
          <w:u w:color="auto"/>
        </w:rPr>
        <w:t xml:space="preserve">减少0.47</w:t>
      </w:r>
      <w:r>
        <w:rPr>
          <w:rFonts w:hint="eastAsia"/>
        </w:rPr>
        <w:t xml:space="preserve">万元，</w:t>
      </w:r>
      <w:r>
        <w:rPr>
          <w:rFonts w:hint="eastAsia"/>
          <w:lang w:val="en-US" w:eastAsia="zh-CN"/>
        </w:rPr>
        <w:t xml:space="preserve">下降0.18%</w:t>
      </w:r>
      <w:r>
        <w:rPr>
          <w:rFonts w:hint="eastAsia"/>
        </w:rPr>
        <w:t xml:space="preserve">，主要原因是</w:t>
      </w:r>
      <w:r>
        <w:rPr>
          <w:rFonts w:hint="eastAsia"/>
          <w:highlight w:val="none"/>
          <w:lang w:val="en-US" w:eastAsia="zh-CN"/>
        </w:rPr>
        <w:t xml:space="preserve">1.今年较上一年，人员经费支出减少。2.按照财政部门过紧日子的要求，减少非民生项目支出，严控办公经费支出。</w:t>
      </w:r>
      <w:r>
        <w:rPr>
          <w:rFonts w:hint="eastAsia"/>
        </w:rPr>
        <w:t xml:space="preserve">具体情况为：</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hint="default"/>
          <w:lang w:val="en-US" w:eastAsia="zh-CN"/>
        </w:rPr>
      </w:pPr>
      <w:r>
        <w:rPr>
          <w:rFonts w:hint="eastAsia"/>
          <w:lang w:val="en-US" w:eastAsia="zh-CN"/>
        </w:rPr>
        <w:t xml:space="preserve">商品和服务支出</w:t>
      </w:r>
      <w:r>
        <w:rPr>
          <w:rFonts w:hint="eastAsia"/>
        </w:rPr>
        <w:t xml:space="preserve">支出预算</w:t>
      </w:r>
      <w:r>
        <w:rPr>
          <w:rFonts w:hint="eastAsia"/>
          <w:lang w:val="en-US" w:eastAsia="zh-CN"/>
        </w:rPr>
        <w:t xml:space="preserve">18.03</w:t>
      </w:r>
      <w:r>
        <w:t xml:space="preserve">万元</w:t>
      </w:r>
      <w:r>
        <w:rPr>
          <w:rFonts w:hint="eastAsia"/>
          <w:lang w:eastAsia="zh-CN"/>
        </w:rPr>
        <w:t xml:space="preserve">，</w:t>
      </w:r>
      <w:r>
        <w:rPr>
          <w:rFonts w:hint="eastAsia"/>
        </w:rPr>
        <w:t xml:space="preserve">占基本支出预算的</w:t>
      </w:r>
      <w:r>
        <w:rPr>
          <w:rFonts w:hint="eastAsia"/>
          <w:lang w:val="en-US" w:eastAsia="zh-CN"/>
        </w:rPr>
        <w:t xml:space="preserve">6.99%</w:t>
      </w:r>
      <w:r>
        <w:rPr>
          <w:rFonts w:hint="eastAsia"/>
        </w:rPr>
        <w:t xml:space="preserve">，较2023年度预算数</w:t>
      </w:r>
      <w:r>
        <w:rPr>
          <w:rFonts w:hint="eastAsia"/>
          <w:lang w:val="en-US" w:eastAsia="zh-CN"/>
        </w:rPr>
        <w:t xml:space="preserve">19.51</w:t>
      </w:r>
      <w:r>
        <w:rPr>
          <w:rFonts w:hint="eastAsia"/>
        </w:rPr>
        <w:t xml:space="preserve">万元，</w:t>
      </w:r>
      <w:r>
        <w:rPr>
          <w:rFonts w:hint="eastAsia"/>
          <w:lang w:val="en-US" w:eastAsia="zh-CN"/>
        </w:rPr>
        <w:t xml:space="preserve">减少1.48</w:t>
      </w:r>
      <w:r>
        <w:rPr>
          <w:rFonts w:hint="eastAsia"/>
        </w:rPr>
        <w:t xml:space="preserve">万元，</w:t>
      </w:r>
      <w:r>
        <w:rPr>
          <w:rFonts w:hint="eastAsia"/>
          <w:lang w:val="en-US" w:eastAsia="zh-CN"/>
        </w:rPr>
        <w:t xml:space="preserve">减少7.59%</w:t>
      </w:r>
      <w:r>
        <w:rPr>
          <w:rFonts w:hint="eastAsia"/>
        </w:rPr>
        <w:t xml:space="preserve">，主要原因是：</w:t>
      </w:r>
      <w:r>
        <w:rPr>
          <w:rFonts w:hint="eastAsia"/>
          <w:highlight w:val="none"/>
        </w:rPr>
        <w:t xml:space="preserve">按照财政部门过紧日子的要求，减少非民生项目支出，严控办公经费支出。</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hint="default"/>
          <w:lang w:val="en-US" w:eastAsia="zh-CN"/>
        </w:rPr>
      </w:pPr>
      <w:r>
        <w:rPr>
          <w:rFonts w:hint="eastAsia"/>
          <w:lang w:val="en-US" w:eastAsia="zh-CN"/>
        </w:rPr>
        <w:t xml:space="preserve">工资福利支出</w:t>
      </w:r>
      <w:r>
        <w:rPr>
          <w:rFonts w:hint="eastAsia"/>
        </w:rPr>
        <w:t xml:space="preserve">支出预算</w:t>
      </w:r>
      <w:r>
        <w:rPr>
          <w:rFonts w:hint="eastAsia"/>
          <w:lang w:val="en-US" w:eastAsia="zh-CN"/>
        </w:rPr>
        <w:t xml:space="preserve">239.88</w:t>
      </w:r>
      <w:r>
        <w:t xml:space="preserve">万元</w:t>
      </w:r>
      <w:r>
        <w:rPr>
          <w:rFonts w:hint="eastAsia"/>
          <w:lang w:eastAsia="zh-CN"/>
        </w:rPr>
        <w:t xml:space="preserve">，</w:t>
      </w:r>
      <w:r>
        <w:rPr>
          <w:rFonts w:hint="eastAsia"/>
        </w:rPr>
        <w:t xml:space="preserve">占基本支出预算的</w:t>
      </w:r>
      <w:r>
        <w:rPr>
          <w:rFonts w:hint="eastAsia"/>
          <w:lang w:val="en-US" w:eastAsia="zh-CN"/>
        </w:rPr>
        <w:t xml:space="preserve">93.01%</w:t>
      </w:r>
      <w:r>
        <w:rPr>
          <w:rFonts w:hint="eastAsia"/>
        </w:rPr>
        <w:t xml:space="preserve">，较2023年度预算数</w:t>
      </w:r>
      <w:r>
        <w:rPr>
          <w:rFonts w:hint="eastAsia"/>
          <w:lang w:val="en-US" w:eastAsia="zh-CN"/>
        </w:rPr>
        <w:t xml:space="preserve">232.57</w:t>
      </w:r>
      <w:r>
        <w:rPr>
          <w:rFonts w:hint="eastAsia"/>
        </w:rPr>
        <w:t xml:space="preserve">万元，</w:t>
      </w:r>
      <w:r>
        <w:rPr>
          <w:rFonts w:hint="eastAsia"/>
          <w:lang w:val="en-US" w:eastAsia="zh-CN"/>
        </w:rPr>
        <w:t xml:space="preserve">增长7.31</w:t>
      </w:r>
      <w:r>
        <w:rPr>
          <w:rFonts w:hint="eastAsia"/>
        </w:rPr>
        <w:t xml:space="preserve">万元，</w:t>
      </w:r>
      <w:r>
        <w:rPr>
          <w:rFonts w:hint="eastAsia"/>
          <w:lang w:val="en-US" w:eastAsia="zh-CN"/>
        </w:rPr>
        <w:t xml:space="preserve">增长3.14%</w:t>
      </w:r>
      <w:r>
        <w:rPr>
          <w:rFonts w:hint="eastAsia"/>
        </w:rPr>
        <w:t xml:space="preserve">，主要原因是：</w:t>
      </w:r>
      <w:r>
        <w:rPr>
          <w:rFonts w:hint="eastAsia"/>
          <w:highlight w:val="none"/>
        </w:rPr>
        <w:t xml:space="preserve">1.新招录人员入职，导致人员经费增加。2.公积金基数调整，导致相关支出增加。</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hint="default"/>
          <w:lang w:val="en-US" w:eastAsia="zh-CN"/>
        </w:rPr>
      </w:pPr>
      <w:r>
        <w:rPr>
          <w:rFonts w:hint="eastAsia"/>
          <w:lang w:val="en-US" w:eastAsia="zh-CN"/>
        </w:rPr>
        <w:t xml:space="preserve">对个人和家庭的补助</w:t>
      </w:r>
      <w:r>
        <w:rPr>
          <w:rFonts w:hint="eastAsia"/>
        </w:rPr>
        <w:t xml:space="preserve">支出预算</w:t>
      </w:r>
      <w:r>
        <w:rPr>
          <w:rFonts w:hint="eastAsia"/>
          <w:lang w:val="en-US" w:eastAsia="zh-CN"/>
        </w:rPr>
        <w:t xml:space="preserve">0.00</w:t>
      </w:r>
      <w:r>
        <w:t xml:space="preserve">万元</w:t>
      </w:r>
      <w:r>
        <w:rPr>
          <w:rFonts w:hint="eastAsia"/>
          <w:lang w:eastAsia="zh-CN"/>
        </w:rPr>
        <w:t xml:space="preserve">，</w:t>
      </w:r>
      <w:r>
        <w:rPr>
          <w:rFonts w:hint="eastAsia"/>
        </w:rPr>
        <w:t xml:space="preserve">占基本支出预算的</w:t>
      </w:r>
      <w:r>
        <w:rPr>
          <w:rFonts w:hint="eastAsia"/>
          <w:lang w:val="en-US" w:eastAsia="zh-CN"/>
        </w:rPr>
        <w:t xml:space="preserve">0.00%</w:t>
      </w:r>
      <w:r>
        <w:rPr>
          <w:rFonts w:hint="eastAsia"/>
        </w:rPr>
        <w:t xml:space="preserve">，较2023年度预算数</w:t>
      </w:r>
      <w:r>
        <w:rPr>
          <w:rFonts w:hint="eastAsia"/>
          <w:lang w:val="en-US" w:eastAsia="zh-CN"/>
        </w:rPr>
        <w:t xml:space="preserve">6.30</w:t>
      </w:r>
      <w:r>
        <w:rPr>
          <w:rFonts w:hint="eastAsia"/>
        </w:rPr>
        <w:t xml:space="preserve">万元，</w:t>
      </w:r>
      <w:r>
        <w:rPr>
          <w:rFonts w:hint="eastAsia"/>
          <w:lang w:val="en-US" w:eastAsia="zh-CN"/>
        </w:rPr>
        <w:t xml:space="preserve">减少6.30</w:t>
      </w:r>
      <w:r>
        <w:rPr>
          <w:rFonts w:hint="eastAsia"/>
        </w:rPr>
        <w:t xml:space="preserve">万元，</w:t>
      </w:r>
      <w:r>
        <w:rPr>
          <w:rFonts w:hint="eastAsia"/>
          <w:lang w:val="en-US" w:eastAsia="zh-CN"/>
        </w:rPr>
        <w:t xml:space="preserve">减少100.00%</w:t>
      </w:r>
      <w:r>
        <w:rPr>
          <w:rFonts w:hint="eastAsia"/>
        </w:rPr>
        <w:t xml:space="preserve">，主要原因是：</w:t>
      </w:r>
      <w:r>
        <w:rPr>
          <w:rFonts w:hint="eastAsia"/>
          <w:highlight w:val="none"/>
        </w:rPr>
        <w:t xml:space="preserve">电影公司相关经费减少。</w:t>
      </w:r>
    </w:p>
    <w:p>
      <w:pPr>
        <w:pStyle w:val="Bodytext|2"/>
        <w:spacing w:after="0" w:line="619" w:lineRule="exact"/>
        <w:ind w:firstLine="620"/>
        <w:jc w:val="left"/>
        <w:rPr>
          <w:rFonts w:hint="eastAsia"/>
          <w:b/>
          <w:bCs/>
        </w:rPr>
      </w:pPr>
      <w:r>
        <w:rPr>
          <w:rFonts w:hint="eastAsia"/>
          <w:b/>
          <w:bCs/>
          <w:lang w:val="en-US" w:eastAsia="zh-CN"/>
        </w:rPr>
        <w:t xml:space="preserve">七、一般公共预算</w:t>
      </w:r>
      <w:r>
        <w:rPr>
          <w:rFonts w:hint="eastAsia"/>
          <w:b/>
          <w:bCs/>
          <w:lang w:val="zh-CN" w:eastAsia="zh-CN"/>
        </w:rPr>
        <w:t xml:space="preserve">“三</w:t>
      </w:r>
      <w:r>
        <w:rPr>
          <w:rFonts w:hint="eastAsia"/>
          <w:b/>
          <w:bCs/>
          <w:lang w:val="en-US" w:eastAsia="zh-CN"/>
        </w:rPr>
        <w:t xml:space="preserve">公”经费支出情况说明</w:t>
      </w:r>
    </w:p>
    <w:p>
      <w:pPr>
        <w:pStyle w:val="Bodytext|2"/>
        <w:spacing w:after="0"/>
        <w:ind w:firstLine="0"/>
        <w:jc w:val="left"/>
        <w:rPr>
          <w:highlight w:val="yellow"/>
          <w:lang w:val="en-US" w:eastAsia="zh-CN"/>
        </w:rPr>
      </w:pPr>
      <w:r>
        <w:rPr>
          <w:rFonts w:hint="eastAsia"/>
          <w:highlight w:val="none"/>
          <w:lang w:val="en-US" w:eastAsia="zh-CN"/>
        </w:rPr>
        <w:drawing>
          <wp:inline distT="0" distB="0" distL="114300" distR="114300">
            <wp:extent cx="5080000" cy="3810000"/>
            <wp:effectExtent l="4445" t="4445" r="5715" b="10795"/>
            <wp:docPr id="819" name="图表 23" title="{{img_sgzc_ys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13"/>
              </a:graphicData>
            </a:graphic>
          </wp:inline>
        </w:drawing>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b w:val="0"/>
          <w:bCs w:val="0"/>
          <w:sz w:val="28"/>
          <w:szCs w:val="28"/>
          <w:lang w:eastAsia="zh-CN"/>
        </w:rPr>
      </w:pPr>
      <w:bookmarkStart w:id="14" w:name="bookmark90"/>
      <w:r>
        <w:rPr>
          <w:rFonts w:hint="eastAsia"/>
          <w:b w:val="0"/>
          <w:bCs w:val="0"/>
          <w:sz w:val="28"/>
          <w:szCs w:val="28"/>
          <w:lang w:eastAsia="zh-CN"/>
        </w:rPr>
        <w:t xml:space="preserve">（</w:t>
      </w:r>
      <w:r>
        <w:rPr>
          <w:rFonts w:hint="eastAsia"/>
          <w:b w:val="0"/>
          <w:bCs w:val="0"/>
          <w:sz w:val="28"/>
          <w:szCs w:val="28"/>
          <w:lang w:val="en-US" w:eastAsia="zh-CN"/>
        </w:rPr>
        <w:t xml:space="preserve">一</w:t>
      </w:r>
      <w:r>
        <w:rPr>
          <w:rFonts w:hint="eastAsia"/>
          <w:b w:val="0"/>
          <w:bCs w:val="0"/>
          <w:sz w:val="28"/>
          <w:szCs w:val="28"/>
          <w:lang w:eastAsia="zh-CN"/>
        </w:rPr>
        <w:t xml:space="preserve">）</w:t>
      </w:r>
      <w:r>
        <w:rPr>
          <w:sz w:val="28"/>
          <w:u w:color="auto"/>
        </w:rPr>
        <w:t xml:space="preserve">2024</w:t>
      </w:r>
      <w:r>
        <w:rPr>
          <w:sz w:val="28"/>
          <w:u w:color="auto"/>
        </w:rPr>
        <w:t xml:space="preserve">年部门预算共安排</w:t>
      </w:r>
      <w:r>
        <w:rPr>
          <w:rFonts w:hint="eastAsia"/>
          <w:b w:val="0"/>
          <w:bCs w:val="0"/>
          <w:sz w:val="28"/>
          <w:szCs w:val="28"/>
          <w:lang w:val="zh-CN" w:eastAsia="zh-CN"/>
        </w:rPr>
        <w:t xml:space="preserve">“三公</w:t>
      </w:r>
      <w:r>
        <w:rPr>
          <w:rFonts w:hint="eastAsia"/>
          <w:b w:val="0"/>
          <w:bCs w:val="0"/>
          <w:sz w:val="28"/>
          <w:szCs w:val="28"/>
          <w:lang w:val="en-US" w:eastAsia="zh-CN"/>
        </w:rPr>
        <w:t xml:space="preserve">"</w:t>
      </w:r>
      <w:r>
        <w:rPr>
          <w:rFonts w:hint="eastAsia"/>
          <w:b w:val="0"/>
          <w:bCs w:val="0"/>
          <w:sz w:val="28"/>
          <w:szCs w:val="28"/>
          <w:lang w:eastAsia="zh-CN"/>
        </w:rPr>
        <w:t xml:space="preserve">经费支出预算</w:t>
      </w:r>
      <w:r>
        <w:rPr>
          <w:rFonts w:hint="eastAsia"/>
          <w:b w:val="0"/>
          <w:bCs w:val="0"/>
          <w:sz w:val="28"/>
          <w:szCs w:val="28"/>
          <w:lang w:val="en-US" w:eastAsia="zh-CN"/>
        </w:rPr>
        <w:t xml:space="preserve">6.30</w:t>
      </w:r>
      <w:r>
        <w:rPr>
          <w:rFonts w:hint="eastAsia"/>
          <w:b w:val="0"/>
          <w:bCs w:val="0"/>
          <w:sz w:val="28"/>
          <w:szCs w:val="28"/>
          <w:lang w:eastAsia="zh-CN"/>
        </w:rPr>
        <w:t xml:space="preserve">万元（全口径），其中：因公出国（境）经费支出预算</w:t>
      </w:r>
      <w:r>
        <w:rPr>
          <w:rFonts w:hint="eastAsia"/>
          <w:b w:val="0"/>
          <w:bCs w:val="0"/>
          <w:sz w:val="28"/>
          <w:szCs w:val="28"/>
          <w:lang w:val="en-US" w:eastAsia="zh-CN"/>
        </w:rPr>
        <w:t xml:space="preserve">0.00</w:t>
      </w:r>
      <w:r>
        <w:rPr>
          <w:rFonts w:hint="eastAsia"/>
          <w:b w:val="0"/>
          <w:bCs w:val="0"/>
          <w:sz w:val="28"/>
          <w:szCs w:val="28"/>
          <w:lang w:eastAsia="zh-CN"/>
        </w:rPr>
        <w:t xml:space="preserve">万元，公务接待费支出预算</w:t>
      </w:r>
      <w:r>
        <w:rPr>
          <w:rFonts w:hint="eastAsia"/>
          <w:b w:val="0"/>
          <w:bCs w:val="0"/>
          <w:sz w:val="28"/>
          <w:szCs w:val="28"/>
          <w:lang w:val="en-US" w:eastAsia="zh-CN"/>
        </w:rPr>
        <w:t xml:space="preserve">6.30</w:t>
      </w:r>
      <w:r>
        <w:rPr>
          <w:rFonts w:hint="eastAsia"/>
          <w:b w:val="0"/>
          <w:bCs w:val="0"/>
          <w:sz w:val="28"/>
          <w:szCs w:val="28"/>
          <w:lang w:eastAsia="zh-CN"/>
        </w:rPr>
        <w:t xml:space="preserve">万元，公务用车购置及运行费支出预算</w:t>
      </w:r>
      <w:r>
        <w:rPr>
          <w:rFonts w:hint="eastAsia"/>
          <w:b w:val="0"/>
          <w:bCs w:val="0"/>
          <w:sz w:val="28"/>
          <w:szCs w:val="28"/>
          <w:lang w:val="en-US" w:eastAsia="zh-CN"/>
        </w:rPr>
        <w:t xml:space="preserve">0.00</w:t>
      </w:r>
      <w:r>
        <w:rPr>
          <w:rFonts w:hint="eastAsia"/>
          <w:b w:val="0"/>
          <w:bCs w:val="0"/>
          <w:sz w:val="28"/>
          <w:szCs w:val="28"/>
          <w:lang w:eastAsia="zh-CN"/>
        </w:rPr>
        <w:t xml:space="preserve">万元（公务用车购置费</w:t>
      </w:r>
      <w:r>
        <w:rPr>
          <w:rFonts w:hint="eastAsia"/>
          <w:b w:val="0"/>
          <w:bCs w:val="0"/>
          <w:sz w:val="28"/>
          <w:szCs w:val="28"/>
          <w:lang w:val="en-US" w:eastAsia="zh-CN"/>
        </w:rPr>
        <w:t xml:space="preserve">0.00</w:t>
      </w:r>
      <w:r>
        <w:rPr>
          <w:rFonts w:hint="eastAsia"/>
          <w:b w:val="0"/>
          <w:bCs w:val="0"/>
          <w:sz w:val="28"/>
          <w:szCs w:val="28"/>
          <w:lang w:eastAsia="zh-CN"/>
        </w:rPr>
        <w:t xml:space="preserve">万元,公务用车运行维护费</w:t>
      </w:r>
      <w:r>
        <w:rPr>
          <w:rFonts w:hint="eastAsia"/>
          <w:b w:val="0"/>
          <w:bCs w:val="0"/>
          <w:sz w:val="28"/>
          <w:szCs w:val="28"/>
          <w:lang w:val="en-US" w:eastAsia="zh-CN"/>
        </w:rPr>
        <w:t xml:space="preserve">0.00</w:t>
      </w:r>
      <w:r>
        <w:rPr>
          <w:rFonts w:hint="eastAsia"/>
          <w:b w:val="0"/>
          <w:bCs w:val="0"/>
          <w:sz w:val="28"/>
          <w:szCs w:val="28"/>
          <w:lang w:eastAsia="zh-CN"/>
        </w:rPr>
        <w:t xml:space="preserve">万元）。</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b w:val="0"/>
          <w:bCs w:val="0"/>
          <w:sz w:val="28"/>
          <w:szCs w:val="28"/>
        </w:rPr>
      </w:pPr>
      <w:r>
        <w:rPr>
          <w:rFonts w:hint="eastAsia"/>
          <w:b w:val="0"/>
          <w:bCs w:val="0"/>
          <w:sz w:val="28"/>
          <w:szCs w:val="28"/>
          <w:lang w:eastAsia="zh-CN"/>
        </w:rPr>
        <w:t xml:space="preserve">（</w:t>
      </w:r>
      <w:r>
        <w:rPr>
          <w:rFonts w:hint="eastAsia"/>
          <w:b w:val="0"/>
          <w:bCs w:val="0"/>
          <w:sz w:val="28"/>
          <w:szCs w:val="28"/>
          <w:lang w:val="en-US" w:eastAsia="zh-CN"/>
        </w:rPr>
        <w:t xml:space="preserve">二</w:t>
      </w:r>
      <w:r>
        <w:rPr>
          <w:rFonts w:hint="eastAsia"/>
          <w:b w:val="0"/>
          <w:bCs w:val="0"/>
          <w:sz w:val="28"/>
          <w:szCs w:val="28"/>
          <w:lang w:eastAsia="zh-CN"/>
        </w:rPr>
        <w:t xml:space="preserve">）</w:t>
      </w:r>
      <w:r>
        <w:rPr>
          <w:sz w:val="28"/>
          <w:u w:color="auto"/>
        </w:rPr>
        <w:t xml:space="preserve">2024</w:t>
      </w:r>
      <w:r>
        <w:rPr>
          <w:rFonts w:hint="eastAsia"/>
          <w:b w:val="0"/>
          <w:bCs w:val="0"/>
          <w:sz w:val="28"/>
          <w:szCs w:val="28"/>
        </w:rPr>
        <w:t xml:space="preserve">年一般公共预算安排的“三公”经费支出预算</w:t>
      </w:r>
      <w:r>
        <w:rPr>
          <w:rFonts w:hint="eastAsia"/>
          <w:b w:val="0"/>
          <w:bCs w:val="0"/>
          <w:sz w:val="28"/>
          <w:szCs w:val="28"/>
          <w:lang w:val="en-US" w:eastAsia="zh-CN"/>
        </w:rPr>
        <w:t xml:space="preserve">6.30</w:t>
      </w:r>
      <w:r>
        <w:rPr>
          <w:rFonts w:hint="eastAsia"/>
          <w:b w:val="0"/>
          <w:bCs w:val="0"/>
          <w:sz w:val="28"/>
          <w:szCs w:val="28"/>
        </w:rPr>
        <w:t xml:space="preserve">万元，同口径较2023年度预算数</w:t>
      </w:r>
      <w:r>
        <w:rPr>
          <w:rFonts w:hint="eastAsia"/>
          <w:b w:val="0"/>
          <w:bCs w:val="0"/>
          <w:sz w:val="28"/>
          <w:szCs w:val="28"/>
          <w:lang w:val="en-US" w:eastAsia="zh-CN"/>
        </w:rPr>
        <w:t xml:space="preserve">7.90</w:t>
      </w:r>
      <w:r>
        <w:rPr>
          <w:rFonts w:hint="eastAsia"/>
          <w:b w:val="0"/>
          <w:bCs w:val="0"/>
          <w:sz w:val="28"/>
          <w:szCs w:val="28"/>
        </w:rPr>
        <w:t xml:space="preserve">万元，</w:t>
      </w:r>
      <w:r>
        <w:rPr>
          <w:rFonts w:hint="eastAsia"/>
          <w:b w:val="0"/>
          <w:bCs w:val="0"/>
          <w:sz w:val="28"/>
          <w:szCs w:val="28"/>
          <w:lang w:val="en-US" w:eastAsia="zh-CN"/>
        </w:rPr>
        <w:t xml:space="preserve">减少1.60</w:t>
      </w:r>
      <w:r>
        <w:rPr>
          <w:rFonts w:hint="eastAsia"/>
          <w:b w:val="0"/>
          <w:bCs w:val="0"/>
          <w:sz w:val="28"/>
          <w:szCs w:val="28"/>
        </w:rPr>
        <w:t xml:space="preserve">万元，</w:t>
      </w:r>
      <w:r>
        <w:rPr>
          <w:rFonts w:hint="eastAsia"/>
          <w:b w:val="0"/>
          <w:bCs w:val="0"/>
          <w:sz w:val="28"/>
          <w:szCs w:val="28"/>
          <w:lang w:val="en-US" w:eastAsia="zh-CN"/>
        </w:rPr>
        <w:t xml:space="preserve">减少20.25%</w:t>
      </w:r>
      <w:r>
        <w:rPr>
          <w:rFonts w:hint="eastAsia"/>
          <w:b w:val="0"/>
          <w:bCs w:val="0"/>
          <w:sz w:val="28"/>
          <w:szCs w:val="28"/>
        </w:rPr>
        <w:t xml:space="preserve">，具体如下：</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eastAsia="宋体" w:hint="eastAsia"/>
          <w:b w:val="0"/>
          <w:bCs w:val="0"/>
          <w:sz w:val="28"/>
          <w:szCs w:val="28"/>
          <w:lang w:eastAsia="zh-CN"/>
        </w:rPr>
      </w:pPr>
      <w:r>
        <w:rPr>
          <w:rFonts w:hint="eastAsia"/>
          <w:b w:val="0"/>
          <w:bCs w:val="0"/>
          <w:sz w:val="28"/>
          <w:szCs w:val="28"/>
        </w:rPr>
        <w:t xml:space="preserve">1.因公出国（境）费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，主要原因是</w:t>
      </w:r>
      <w:r>
        <w:rPr>
          <w:rFonts w:hint="eastAsia"/>
          <w:sz w:val="28"/>
          <w:szCs w:val="28"/>
          <w:highlight w:val="none"/>
          <w:lang w:val="en-US" w:eastAsia="zh-CN"/>
        </w:rPr>
        <w:t xml:space="preserve">本单位无因公出国（境）费用事项</w:t>
      </w:r>
      <w:r>
        <w:rPr>
          <w:rFonts w:hint="eastAsia"/>
          <w:b w:val="0"/>
          <w:bCs w:val="0"/>
          <w:sz w:val="28"/>
          <w:szCs w:val="28"/>
        </w:rPr>
        <w:t xml:space="preserve">。</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eastAsia="宋体" w:hint="eastAsia"/>
          <w:b w:val="0"/>
          <w:bCs w:val="0"/>
          <w:sz w:val="28"/>
          <w:szCs w:val="28"/>
          <w:lang w:eastAsia="zh-CN"/>
        </w:rPr>
      </w:pPr>
      <w:r>
        <w:rPr>
          <w:rFonts w:hint="eastAsia"/>
          <w:b w:val="0"/>
          <w:bCs w:val="0"/>
          <w:sz w:val="28"/>
          <w:szCs w:val="28"/>
        </w:rPr>
        <w:t xml:space="preserve">2.公务接待费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6.30</w:t>
      </w:r>
      <w:r>
        <w:rPr>
          <w:rFonts w:hint="eastAsia"/>
          <w:b w:val="0"/>
          <w:bCs w:val="0"/>
          <w:sz w:val="28"/>
          <w:szCs w:val="28"/>
        </w:rPr>
        <w:t xml:space="preserve">万元，较2023年度预算数</w:t>
      </w:r>
      <w:r>
        <w:rPr>
          <w:sz w:val="28"/>
          <w:u w:color="auto"/>
        </w:rPr>
        <w:t xml:space="preserve">7.90</w:t>
      </w:r>
      <w:r>
        <w:rPr>
          <w:rFonts w:hint="eastAsia"/>
          <w:b w:val="0"/>
          <w:bCs w:val="0"/>
          <w:sz w:val="28"/>
          <w:szCs w:val="28"/>
        </w:rPr>
        <w:t xml:space="preserve">万元，</w:t>
      </w:r>
      <w:r>
        <w:rPr>
          <w:sz w:val="28"/>
          <w:u w:color="auto"/>
        </w:rPr>
        <w:t xml:space="preserve">减少1.60</w:t>
      </w:r>
      <w:r>
        <w:rPr>
          <w:rFonts w:hint="eastAsia"/>
          <w:b w:val="0"/>
          <w:bCs w:val="0"/>
          <w:sz w:val="28"/>
          <w:szCs w:val="28"/>
        </w:rPr>
        <w:t xml:space="preserve">万元，</w:t>
      </w:r>
      <w:r>
        <w:rPr>
          <w:sz w:val="28"/>
          <w:u w:color="auto"/>
        </w:rPr>
        <w:t xml:space="preserve">减少20.25%</w:t>
      </w:r>
      <w:r>
        <w:rPr>
          <w:rFonts w:hint="eastAsia"/>
          <w:b w:val="0"/>
          <w:bCs w:val="0"/>
          <w:sz w:val="28"/>
          <w:szCs w:val="28"/>
        </w:rPr>
        <w:t xml:space="preserve">，主要原因是</w:t>
      </w:r>
      <w:r>
        <w:rPr>
          <w:rFonts w:hint="eastAsia"/>
          <w:sz w:val="28"/>
          <w:szCs w:val="28"/>
          <w:highlight w:val="none"/>
          <w:lang w:val="en-US" w:eastAsia="zh-CN"/>
        </w:rPr>
        <w:t xml:space="preserve">按照财政部门要求，严格压减三公经费支出</w:t>
      </w:r>
      <w:r>
        <w:rPr>
          <w:rFonts w:hint="eastAsia"/>
          <w:b w:val="0"/>
          <w:bCs w:val="0"/>
          <w:sz w:val="28"/>
          <w:szCs w:val="28"/>
        </w:rPr>
        <w:t xml:space="preserve">。</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b w:val="0"/>
          <w:bCs w:val="0"/>
          <w:sz w:val="28"/>
          <w:szCs w:val="28"/>
        </w:rPr>
      </w:pPr>
      <w:r>
        <w:rPr>
          <w:rFonts w:hint="eastAsia"/>
          <w:b w:val="0"/>
          <w:bCs w:val="0"/>
          <w:sz w:val="28"/>
          <w:szCs w:val="28"/>
        </w:rPr>
        <w:t xml:space="preserve">3.公务用车购置及运行费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，其中：</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eastAsia="宋体" w:hint="eastAsia"/>
          <w:b w:val="0"/>
          <w:bCs w:val="0"/>
          <w:sz w:val="28"/>
          <w:szCs w:val="28"/>
          <w:lang w:eastAsia="zh-CN"/>
        </w:rPr>
      </w:pPr>
      <w:r>
        <w:rPr>
          <w:rFonts w:hint="eastAsia"/>
          <w:b w:val="0"/>
          <w:bCs w:val="0"/>
          <w:sz w:val="28"/>
          <w:szCs w:val="28"/>
        </w:rPr>
        <w:t xml:space="preserve">公务用车购置费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，主要原因是</w:t>
      </w:r>
      <w:r>
        <w:rPr>
          <w:rFonts w:hint="eastAsia"/>
          <w:sz w:val="28"/>
          <w:szCs w:val="28"/>
          <w:highlight w:val="none"/>
          <w:lang w:val="en-US" w:eastAsia="zh-CN"/>
        </w:rPr>
        <w:t xml:space="preserve">本单位无公车</w:t>
      </w:r>
      <w:r>
        <w:rPr>
          <w:rFonts w:hint="eastAsia"/>
          <w:b w:val="0"/>
          <w:bCs w:val="0"/>
          <w:sz w:val="28"/>
          <w:szCs w:val="28"/>
        </w:rPr>
        <w:t xml:space="preserve">。</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b w:val="0"/>
          <w:bCs w:val="0"/>
          <w:sz w:val="28"/>
          <w:szCs w:val="28"/>
        </w:rPr>
      </w:pPr>
      <w:r>
        <w:rPr>
          <w:rFonts w:hint="eastAsia"/>
          <w:b w:val="0"/>
          <w:bCs w:val="0"/>
          <w:sz w:val="28"/>
          <w:szCs w:val="28"/>
        </w:rPr>
        <w:t xml:space="preserve">公务用车运行维护费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，主要原因是</w:t>
      </w:r>
      <w:r>
        <w:rPr>
          <w:rFonts w:hint="eastAsia"/>
          <w:sz w:val="28"/>
          <w:szCs w:val="28"/>
          <w:highlight w:val="none"/>
          <w:lang w:val="en-US" w:eastAsia="zh-CN"/>
        </w:rPr>
        <w:t xml:space="preserve">本单位无公车</w:t>
      </w:r>
      <w:r>
        <w:rPr>
          <w:rFonts w:hint="eastAsia"/>
          <w:b w:val="0"/>
          <w:bCs w:val="0"/>
          <w:sz w:val="28"/>
          <w:szCs w:val="28"/>
        </w:rPr>
        <w:t xml:space="preserve">。</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r>
        <w:rPr>
          <w:rFonts w:hint="eastAsia"/>
          <w:b/>
          <w:bCs/>
          <w:lang w:val="en-US" w:eastAsia="zh-CN"/>
        </w:rPr>
        <w:t xml:space="preserve">八</w:t>
      </w:r>
      <w:bookmarkEnd w:id="14"/>
      <w:r>
        <w:rPr>
          <w:rFonts w:hint="eastAsia"/>
          <w:b/>
          <w:bCs/>
          <w:lang w:val="en-US" w:eastAsia="zh-CN"/>
        </w:rPr>
        <w:t xml:space="preserve">、政府性基金预算支出情况说明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eastAsia="宋体" w:hint="eastAsia"/>
          <w:sz w:val="28"/>
          <w:szCs w:val="28"/>
          <w:lang w:eastAsia="zh-CN"/>
        </w:rPr>
      </w:pPr>
      <w:r>
        <w:rPr>
          <w:rFonts w:hint="eastAsia"/>
          <w:sz w:val="28"/>
          <w:szCs w:val="28"/>
        </w:rPr>
        <w:t xml:space="preserve">我部门</w:t>
      </w:r>
      <w:r>
        <w:rPr>
          <w:rFonts w:hint="eastAsia"/>
          <w:b w:val="0"/>
          <w:bCs w:val="0"/>
          <w:sz w:val="28"/>
          <w:szCs w:val="28"/>
          <w:lang w:eastAsia="zh-CN"/>
        </w:rPr>
        <w:t xml:space="preserve">2024</w:t>
      </w:r>
      <w:r>
        <w:rPr>
          <w:rFonts w:hint="eastAsia"/>
          <w:sz w:val="28"/>
          <w:szCs w:val="28"/>
        </w:rPr>
        <w:t xml:space="preserve">年政府性基金预算支出共</w:t>
      </w:r>
      <w:r>
        <w:rPr>
          <w:rFonts w:hint="eastAsia"/>
          <w:b w:val="0"/>
          <w:bCs w:val="0"/>
          <w:sz w:val="28"/>
          <w:szCs w:val="28"/>
          <w:lang w:eastAsia="zh-CN"/>
        </w:rPr>
        <w:t xml:space="preserve">19.01</w:t>
      </w:r>
      <w:r>
        <w:rPr>
          <w:rFonts w:hint="eastAsia"/>
          <w:sz w:val="28"/>
          <w:szCs w:val="28"/>
        </w:rPr>
        <w:t xml:space="preserve">万元，较2023年度预算数</w:t>
      </w:r>
      <w:r>
        <w:rPr>
          <w:rFonts w:hint="eastAsia"/>
          <w:b w:val="0"/>
          <w:bCs w:val="0"/>
          <w:sz w:val="28"/>
          <w:szCs w:val="28"/>
          <w:lang w:eastAsia="zh-CN"/>
        </w:rPr>
        <w:t xml:space="preserve">8.60</w:t>
      </w:r>
      <w:r>
        <w:rPr>
          <w:rFonts w:hint="eastAsia"/>
          <w:sz w:val="28"/>
          <w:szCs w:val="28"/>
        </w:rPr>
        <w:t xml:space="preserve">万元，</w:t>
      </w:r>
      <w:r>
        <w:rPr>
          <w:rFonts w:hint="eastAsia"/>
          <w:b w:val="0"/>
          <w:bCs w:val="0"/>
          <w:sz w:val="28"/>
          <w:szCs w:val="28"/>
          <w:lang w:eastAsia="zh-CN"/>
        </w:rPr>
        <w:t xml:space="preserve">增加10.41</w:t>
      </w:r>
      <w:r>
        <w:rPr>
          <w:rFonts w:hint="eastAsia"/>
          <w:sz w:val="28"/>
          <w:szCs w:val="28"/>
        </w:rPr>
        <w:t xml:space="preserve">万元，</w:t>
      </w:r>
      <w:r>
        <w:rPr>
          <w:rFonts w:hint="eastAsia"/>
          <w:b w:val="0"/>
          <w:bCs w:val="0"/>
          <w:sz w:val="28"/>
          <w:szCs w:val="28"/>
          <w:lang w:eastAsia="zh-CN"/>
        </w:rPr>
        <w:t xml:space="preserve">增长121.05%</w:t>
      </w:r>
      <w:r>
        <w:rPr>
          <w:rFonts w:hint="eastAsia"/>
          <w:sz w:val="28"/>
          <w:szCs w:val="28"/>
        </w:rPr>
        <w:t xml:space="preserve">，主要原因是</w:t>
      </w:r>
      <w:r>
        <w:rPr>
          <w:rFonts w:hint="eastAsia"/>
          <w:sz w:val="28"/>
          <w:szCs w:val="28"/>
          <w:highlight w:val="none"/>
          <w:lang w:val="en-US" w:eastAsia="zh-CN"/>
        </w:rPr>
        <w:t xml:space="preserve">此项支出为上级专款安排，用于清偿历年所欠债务</w:t>
      </w:r>
      <w:r>
        <w:rPr>
          <w:rFonts w:hint="eastAsia"/>
          <w:sz w:val="28"/>
          <w:szCs w:val="28"/>
        </w:rPr>
        <w:t xml:space="preserve">。</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bookmarkStart w:id="15" w:name="bookmark91"/>
      <w:r>
        <w:rPr>
          <w:rFonts w:hint="eastAsia"/>
          <w:b/>
          <w:bCs/>
          <w:lang w:val="en-US" w:eastAsia="zh-CN"/>
        </w:rPr>
        <w:t xml:space="preserve">九</w:t>
      </w:r>
      <w:bookmarkEnd w:id="15"/>
      <w:r>
        <w:rPr>
          <w:rFonts w:hint="eastAsia"/>
          <w:b/>
          <w:bCs/>
          <w:lang w:val="en-US" w:eastAsia="zh-CN"/>
        </w:rPr>
        <w:t xml:space="preserve">、国有资本经营预算支出情况说明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eastAsia="宋体" w:hint="eastAsia"/>
          <w:sz w:val="28"/>
          <w:szCs w:val="28"/>
          <w:lang w:eastAsia="zh-CN"/>
        </w:rPr>
      </w:pPr>
      <w:r>
        <w:rPr>
          <w:rFonts w:hint="eastAsia"/>
          <w:sz w:val="28"/>
          <w:szCs w:val="28"/>
        </w:rPr>
        <w:t xml:space="preserve">我部门</w:t>
      </w:r>
      <w:r>
        <w:rPr>
          <w:rFonts w:hint="eastAsia"/>
          <w:sz w:val="28"/>
          <w:szCs w:val="28"/>
          <w:lang w:eastAsia="zh-CN"/>
        </w:rPr>
        <w:t xml:space="preserve">2024</w:t>
      </w:r>
      <w:r>
        <w:rPr>
          <w:rFonts w:hint="eastAsia"/>
          <w:sz w:val="28"/>
          <w:szCs w:val="28"/>
        </w:rPr>
        <w:t xml:space="preserve">年国有资本经营预算支出共</w:t>
      </w:r>
      <w:r>
        <w:rPr>
          <w:rFonts w:hint="eastAsia"/>
          <w:sz w:val="28"/>
          <w:szCs w:val="28"/>
          <w:lang w:eastAsia="zh-CN"/>
        </w:rPr>
        <w:t xml:space="preserve">0.00</w:t>
      </w:r>
      <w:r>
        <w:rPr>
          <w:rFonts w:hint="eastAsia"/>
          <w:sz w:val="28"/>
          <w:szCs w:val="28"/>
        </w:rPr>
        <w:t xml:space="preserve">万元，较2023年度预算数</w:t>
      </w:r>
      <w:r>
        <w:rPr>
          <w:rFonts w:hint="eastAsia"/>
          <w:sz w:val="28"/>
          <w:szCs w:val="28"/>
          <w:lang w:eastAsia="zh-CN"/>
        </w:rPr>
        <w:t xml:space="preserve">0.00</w:t>
      </w:r>
      <w:r>
        <w:rPr>
          <w:rFonts w:hint="eastAsia"/>
          <w:sz w:val="28"/>
          <w:szCs w:val="28"/>
        </w:rPr>
        <w:t xml:space="preserve">万元，</w:t>
      </w:r>
      <w:r>
        <w:rPr>
          <w:rFonts w:hint="eastAsia"/>
          <w:sz w:val="28"/>
          <w:szCs w:val="28"/>
          <w:lang w:eastAsia="zh-CN"/>
        </w:rPr>
        <w:t xml:space="preserve">增加0.00</w:t>
      </w:r>
      <w:r>
        <w:rPr>
          <w:rFonts w:hint="eastAsia"/>
          <w:sz w:val="28"/>
          <w:szCs w:val="28"/>
        </w:rPr>
        <w:t xml:space="preserve">万元，</w:t>
      </w:r>
      <w:r>
        <w:rPr>
          <w:rFonts w:hint="eastAsia"/>
          <w:sz w:val="28"/>
          <w:szCs w:val="28"/>
          <w:lang w:eastAsia="zh-CN"/>
        </w:rPr>
        <w:t xml:space="preserve">增长0%</w:t>
      </w:r>
      <w:r>
        <w:rPr>
          <w:rFonts w:hint="eastAsia"/>
          <w:sz w:val="28"/>
          <w:szCs w:val="28"/>
        </w:rPr>
        <w:t xml:space="preserve">，主要原因是</w:t>
      </w:r>
      <w:r>
        <w:rPr>
          <w:rFonts w:hint="eastAsia"/>
          <w:sz w:val="28"/>
          <w:szCs w:val="28"/>
          <w:lang w:val="en-US" w:eastAsia="zh-CN"/>
        </w:rPr>
        <w:t xml:space="preserve">本单位不涉及此项支出</w:t>
      </w:r>
      <w:r>
        <w:rPr>
          <w:rFonts w:hint="eastAsia"/>
          <w:sz w:val="28"/>
          <w:szCs w:val="28"/>
        </w:rPr>
        <w:t xml:space="preserve">。</w:t>
      </w:r>
    </w:p>
    <w:p>
      <w:pPr>
        <w:pStyle w:val="Bodytext|2"/>
        <w:keepNext w:val="0"/>
        <w:keepLines w:val="0"/>
        <w:pageBreakBefore w:val="0"/>
        <w:widowControl w:val="0"/>
        <w:tabs>
          <w:tab w:val="left" w:pos="1235"/>
        </w:tabs>
        <w:kinsoku/>
        <w:wordWrap/>
        <w:overflowPunct/>
        <w:topLinePunct w:val="0"/>
        <w:autoSpaceDE/>
        <w:autoSpaceDN/>
        <w:bidi w:val="0"/>
        <w:adjustRightInd/>
        <w:snapToGrid/>
        <w:spacing w:before="120" w:after="0" w:line="600" w:lineRule="exact"/>
        <w:ind w:firstLine="578"/>
        <w:jc w:val="left"/>
        <w:textAlignment w:val="auto"/>
        <w:rPr>
          <w:b/>
          <w:bCs/>
        </w:rPr>
      </w:pPr>
      <w:r>
        <w:rPr>
          <w:b/>
          <w:bCs/>
        </w:rPr>
        <w:t xml:space="preserve">十、其他重要事项</w:t>
      </w:r>
      <w:r>
        <w:rPr>
          <w:rFonts w:hint="eastAsia"/>
          <w:b/>
          <w:bCs/>
          <w:lang w:val="en-US" w:eastAsia="zh-CN"/>
        </w:rPr>
        <w:t xml:space="preserve">情况</w:t>
      </w:r>
      <w:r>
        <w:rPr>
          <w:b/>
          <w:bCs/>
        </w:rPr>
        <w:t xml:space="preserve">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（一）机关运行经费安排情况说明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2024</w:t>
      </w:r>
      <w:r>
        <w:rPr>
          <w:rFonts w:ascii="宋体" w:eastAsia="宋体" w:hAnsi="宋体" w:cs="宋体"/>
          <w:sz w:val="28"/>
          <w:u w:color="auto"/>
        </w:rPr>
        <w:t xml:space="preserve">年本部门机关运行经费预算</w:t>
      </w:r>
      <w:r>
        <w:rPr>
          <w:rFonts w:ascii="宋体" w:eastAsia="宋体" w:hAnsi="宋体" w:cs="宋体" w:hint="eastAsia"/>
          <w:sz w:val="28"/>
          <w:szCs w:val="28"/>
          <w:lang w:val="en-US" w:eastAsia="zh-CN"/>
        </w:rPr>
        <w:t xml:space="preserve">18.03</w:t>
      </w:r>
      <w:r>
        <w:rPr>
          <w:rFonts w:ascii="宋体" w:eastAsia="宋体" w:hAnsi="宋体" w:cs="宋体" w:hint="eastAsia"/>
          <w:sz w:val="28"/>
          <w:szCs w:val="28"/>
          <w:lang w:eastAsia="zh-CN"/>
        </w:rPr>
        <w:t xml:space="preserve">万元，较2023年度预算数</w:t>
      </w:r>
      <w:r>
        <w:rPr>
          <w:rFonts w:ascii="宋体" w:eastAsia="宋体" w:hAnsi="宋体" w:cs="宋体" w:hint="eastAsia"/>
          <w:sz w:val="28"/>
          <w:szCs w:val="28"/>
          <w:lang w:val="en-US" w:eastAsia="zh-CN"/>
        </w:rPr>
        <w:t xml:space="preserve">19.51</w:t>
      </w:r>
      <w:r>
        <w:rPr>
          <w:rFonts w:ascii="宋体" w:eastAsia="宋体" w:hAnsi="宋体" w:cs="宋体" w:hint="eastAsia"/>
          <w:sz w:val="28"/>
          <w:szCs w:val="28"/>
          <w:lang w:eastAsia="zh-CN"/>
        </w:rPr>
        <w:t xml:space="preserve">万元，</w:t>
      </w:r>
      <w:r>
        <w:rPr>
          <w:rFonts w:ascii="宋体" w:eastAsia="宋体" w:hAnsi="宋体" w:cs="宋体" w:hint="eastAsia"/>
          <w:sz w:val="28"/>
          <w:szCs w:val="28"/>
          <w:lang w:val="en-US" w:eastAsia="zh-CN"/>
        </w:rPr>
        <w:t xml:space="preserve">减少1.48</w:t>
      </w:r>
      <w:r>
        <w:rPr>
          <w:rFonts w:ascii="宋体" w:eastAsia="宋体" w:hAnsi="宋体" w:cs="宋体" w:hint="eastAsia"/>
          <w:sz w:val="28"/>
          <w:szCs w:val="28"/>
          <w:lang w:eastAsia="zh-CN"/>
        </w:rPr>
        <w:t xml:space="preserve">万元，</w:t>
      </w:r>
      <w:r>
        <w:rPr>
          <w:rFonts w:ascii="宋体" w:eastAsia="宋体" w:hAnsi="宋体" w:cs="宋体" w:hint="eastAsia"/>
          <w:sz w:val="28"/>
          <w:szCs w:val="28"/>
          <w:lang w:val="en-US" w:eastAsia="zh-CN"/>
        </w:rPr>
        <w:t xml:space="preserve">下降7.59%</w:t>
      </w:r>
      <w:r>
        <w:rPr>
          <w:rFonts w:ascii="宋体" w:eastAsia="宋体" w:hAnsi="宋体" w:cs="宋体" w:hint="eastAsia"/>
          <w:sz w:val="28"/>
          <w:szCs w:val="28"/>
          <w:lang w:eastAsia="zh-CN"/>
        </w:rPr>
        <w:t xml:space="preserve">，主要原因是：</w:t>
      </w:r>
      <w:r>
        <w:rPr>
          <w:rFonts w:ascii="宋体" w:eastAsia="宋体" w:hAnsi="宋体" w:cs="宋体" w:hint="eastAsia"/>
          <w:sz w:val="28"/>
          <w:szCs w:val="28"/>
          <w:lang w:val="en-US" w:eastAsia="zh-CN"/>
        </w:rPr>
        <w:t xml:space="preserve">按照财政部门过紧日子的要求，减少非民生项目支出，严控办公经费支出。</w:t>
      </w:r>
      <w:r>
        <w:rPr>
          <w:rFonts w:ascii="宋体" w:eastAsia="宋体" w:hAnsi="宋体" w:cs="宋体" w:hint="eastAsia"/>
          <w:sz w:val="28"/>
          <w:szCs w:val="28"/>
          <w:lang w:eastAsia="zh-CN"/>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（二）政府采购预算安排情况说明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default"/>
          <w:sz w:val="28"/>
          <w:szCs w:val="28"/>
          <w:lang w:val="en-US" w:eastAsia="zh-CN"/>
        </w:rPr>
      </w:pPr>
      <w:r>
        <w:rPr>
          <w:rFonts w:ascii="宋体" w:eastAsia="宋体" w:hAnsi="宋体" w:cs="宋体" w:hint="eastAsia"/>
          <w:sz w:val="28"/>
          <w:szCs w:val="28"/>
          <w:lang w:eastAsia="zh-CN"/>
        </w:rPr>
        <w:t xml:space="preserve">我部门2024年政府采购预算总金额</w:t>
      </w:r>
      <w:r>
        <w:rPr>
          <w:rFonts w:ascii="宋体" w:eastAsia="宋体" w:hAnsi="宋体" w:cs="宋体" w:hint="eastAsia"/>
          <w:sz w:val="28"/>
          <w:szCs w:val="28"/>
          <w:lang w:val="en-US" w:eastAsia="zh-CN"/>
        </w:rPr>
        <w:t xml:space="preserve">5</w:t>
      </w:r>
      <w:r>
        <w:rPr>
          <w:rFonts w:ascii="宋体" w:eastAsia="宋体" w:hAnsi="宋体" w:cs="宋体" w:hint="eastAsia"/>
          <w:sz w:val="28"/>
          <w:szCs w:val="28"/>
          <w:lang w:eastAsia="zh-CN"/>
        </w:rPr>
        <w:t xml:space="preserve">万元。其中：货物类采购</w:t>
      </w:r>
      <w:r>
        <w:rPr>
          <w:rFonts w:ascii="宋体" w:eastAsia="宋体" w:hAnsi="宋体" w:cs="宋体" w:hint="eastAsia"/>
          <w:sz w:val="28"/>
          <w:szCs w:val="28"/>
          <w:lang w:val="en-US" w:eastAsia="zh-CN"/>
        </w:rPr>
        <w:t xml:space="preserve">5</w:t>
      </w:r>
      <w:r>
        <w:rPr>
          <w:rFonts w:ascii="宋体" w:eastAsia="宋体" w:hAnsi="宋体" w:cs="宋体" w:hint="eastAsia"/>
          <w:sz w:val="28"/>
          <w:szCs w:val="28"/>
          <w:lang w:eastAsia="zh-CN"/>
        </w:rPr>
        <w:t xml:space="preserve">万元、工程类采购</w:t>
      </w:r>
      <w:r>
        <w:rPr>
          <w:rFonts w:ascii="宋体" w:eastAsia="宋体" w:hAnsi="宋体" w:cs="宋体" w:hint="eastAsia"/>
          <w:sz w:val="28"/>
          <w:szCs w:val="28"/>
          <w:lang w:val="en-US" w:eastAsia="zh-CN"/>
        </w:rPr>
        <w:t xml:space="preserve">0</w:t>
      </w:r>
      <w:r>
        <w:rPr>
          <w:rFonts w:ascii="宋体" w:eastAsia="宋体" w:hAnsi="宋体" w:cs="宋体" w:hint="eastAsia"/>
          <w:sz w:val="28"/>
          <w:szCs w:val="28"/>
          <w:lang w:eastAsia="zh-CN"/>
        </w:rPr>
        <w:t xml:space="preserve">万元、服务类采购</w:t>
      </w:r>
      <w:r>
        <w:rPr>
          <w:rFonts w:ascii="宋体" w:eastAsia="宋体" w:hAnsi="宋体" w:cs="宋体" w:hint="eastAsia"/>
          <w:sz w:val="28"/>
          <w:szCs w:val="28"/>
          <w:lang w:val="en-US" w:eastAsia="zh-CN"/>
        </w:rPr>
        <w:t xml:space="preserve">0</w:t>
      </w:r>
      <w:r>
        <w:rPr>
          <w:rFonts w:ascii="宋体" w:eastAsia="宋体" w:hAnsi="宋体" w:cs="宋体" w:hint="eastAsia"/>
          <w:sz w:val="28"/>
          <w:szCs w:val="28"/>
          <w:lang w:eastAsia="zh-CN"/>
        </w:rPr>
        <w:t xml:space="preserve">万元。</w:t>
      </w:r>
      <w:r>
        <w:rPr>
          <w:rFonts w:ascii="宋体" w:eastAsia="宋体" w:hAnsi="宋体" w:cs="宋体" w:hint="eastAsia"/>
          <w:sz w:val="28"/>
          <w:szCs w:val="28"/>
          <w:lang w:val="en-US" w:eastAsia="zh-CN"/>
        </w:rPr>
        <w:t xml:space="preserve">主要用于：办公用品购买等支出。</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（三）国有资产占用情况说明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截至2023年12月31日，本部门共有车辆</w:t>
      </w:r>
      <w:r>
        <w:rPr>
          <w:rFonts w:hint="eastAsia"/>
          <w:sz w:val="28"/>
          <w:szCs w:val="28"/>
          <w:highlight w:val="none"/>
          <w:lang w:val="en-US" w:eastAsia="zh-CN"/>
        </w:rPr>
        <w:t xml:space="preserve">0</w:t>
      </w:r>
      <w:r>
        <w:rPr>
          <w:rFonts w:ascii="宋体" w:eastAsia="宋体" w:hAnsi="宋体" w:cs="宋体" w:hint="eastAsia"/>
          <w:sz w:val="28"/>
          <w:szCs w:val="28"/>
          <w:lang w:eastAsia="zh-CN"/>
        </w:rPr>
        <w:t xml:space="preserve">辆，其中，应急机要通信用车</w:t>
      </w:r>
      <w:r>
        <w:rPr>
          <w:rFonts w:hint="eastAsia"/>
          <w:sz w:val="28"/>
          <w:szCs w:val="28"/>
          <w:highlight w:val="none"/>
          <w:lang w:val="en-US" w:eastAsia="zh-CN"/>
        </w:rPr>
        <w:t xml:space="preserve">0</w:t>
      </w:r>
      <w:r>
        <w:rPr>
          <w:rFonts w:ascii="宋体" w:eastAsia="宋体" w:hAnsi="宋体" w:cs="宋体" w:hint="eastAsia"/>
          <w:sz w:val="28"/>
          <w:szCs w:val="28"/>
          <w:lang w:eastAsia="zh-CN"/>
        </w:rPr>
        <w:t xml:space="preserve">辆、一般执法执勤用车</w:t>
      </w:r>
      <w:r>
        <w:rPr>
          <w:rFonts w:hint="eastAsia"/>
          <w:sz w:val="28"/>
          <w:szCs w:val="28"/>
          <w:highlight w:val="none"/>
          <w:lang w:val="en-US" w:eastAsia="zh-CN"/>
        </w:rPr>
        <w:t xml:space="preserve">0</w:t>
      </w:r>
      <w:r>
        <w:rPr>
          <w:rFonts w:ascii="宋体" w:eastAsia="宋体" w:hAnsi="宋体" w:cs="宋体" w:hint="eastAsia"/>
          <w:sz w:val="28"/>
          <w:szCs w:val="28"/>
          <w:lang w:eastAsia="zh-CN"/>
        </w:rPr>
        <w:t xml:space="preserve">辆、特种专业技术用车</w:t>
      </w:r>
      <w:r>
        <w:rPr>
          <w:rFonts w:hint="eastAsia"/>
          <w:sz w:val="28"/>
          <w:szCs w:val="28"/>
          <w:highlight w:val="none"/>
          <w:lang w:val="en-US" w:eastAsia="zh-CN"/>
        </w:rPr>
        <w:t xml:space="preserve">0</w:t>
      </w:r>
      <w:r>
        <w:rPr>
          <w:rFonts w:ascii="宋体" w:eastAsia="宋体" w:hAnsi="宋体" w:cs="宋体" w:hint="eastAsia"/>
          <w:sz w:val="28"/>
          <w:szCs w:val="28"/>
          <w:lang w:eastAsia="zh-CN"/>
        </w:rPr>
        <w:t xml:space="preserve">辆、其他用车</w:t>
      </w:r>
      <w:r>
        <w:rPr>
          <w:rFonts w:hint="eastAsia"/>
          <w:sz w:val="28"/>
          <w:szCs w:val="28"/>
          <w:highlight w:val="none"/>
          <w:lang w:val="en-US" w:eastAsia="zh-CN"/>
        </w:rPr>
        <w:t xml:space="preserve">0</w:t>
      </w:r>
      <w:r>
        <w:rPr>
          <w:rFonts w:ascii="宋体" w:eastAsia="宋体" w:hAnsi="宋体" w:cs="宋体" w:hint="eastAsia"/>
          <w:sz w:val="28"/>
          <w:szCs w:val="28"/>
          <w:lang w:eastAsia="zh-CN"/>
        </w:rPr>
        <w:t xml:space="preserve">辆，单位价值200万元以上大型设备</w:t>
      </w:r>
      <w:r>
        <w:rPr>
          <w:rFonts w:hint="eastAsia"/>
          <w:sz w:val="28"/>
          <w:szCs w:val="28"/>
          <w:highlight w:val="none"/>
          <w:lang w:val="en-US" w:eastAsia="zh-CN"/>
        </w:rPr>
        <w:t xml:space="preserve">0</w:t>
      </w:r>
      <w:r>
        <w:rPr>
          <w:rFonts w:ascii="宋体" w:eastAsia="宋体" w:hAnsi="宋体" w:cs="宋体" w:hint="eastAsia"/>
          <w:sz w:val="28"/>
          <w:szCs w:val="28"/>
          <w:lang w:eastAsia="zh-CN"/>
        </w:rPr>
        <w:t xml:space="preserve">台（套）。</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（四）预算绩效目标情况说明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1.我部门2024年所有项目支出全面实施绩效目标管理，涉及项目</w:t>
      </w:r>
      <w:r>
        <w:rPr>
          <w:rFonts w:hint="eastAsia"/>
          <w:sz w:val="28"/>
          <w:szCs w:val="28"/>
          <w:highlight w:val="none"/>
          <w:lang w:val="en-US" w:eastAsia="zh-CN"/>
        </w:rPr>
        <w:t xml:space="preserve">21</w:t>
      </w:r>
      <w:r>
        <w:rPr>
          <w:rFonts w:ascii="宋体" w:eastAsia="宋体" w:hAnsi="宋体" w:cs="宋体" w:hint="eastAsia"/>
          <w:sz w:val="28"/>
          <w:szCs w:val="28"/>
          <w:lang w:eastAsia="zh-CN"/>
        </w:rPr>
        <w:t xml:space="preserve">个，预算资金</w:t>
      </w:r>
      <w:r>
        <w:rPr>
          <w:rFonts w:hint="eastAsia"/>
          <w:sz w:val="28"/>
          <w:szCs w:val="28"/>
          <w:highlight w:val="none"/>
          <w:lang w:val="en-US" w:eastAsia="zh-CN"/>
        </w:rPr>
        <w:t xml:space="preserve">542.82</w:t>
      </w:r>
      <w:r>
        <w:rPr>
          <w:rFonts w:ascii="宋体" w:eastAsia="宋体" w:hAnsi="宋体" w:cs="宋体" w:hint="eastAsia"/>
          <w:sz w:val="28"/>
          <w:szCs w:val="28"/>
          <w:lang w:eastAsia="zh-CN"/>
        </w:rPr>
        <w:t xml:space="preserve">万元。绩效目标情况详见报表（日常运转类项目、工资类人员经费项目和涉密项目等除外）。</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2.重点项目预算绩效目标说明。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sz w:val="28"/>
          <w:szCs w:val="28"/>
          <w:highlight w:val="none"/>
          <w:lang w:val="en-US" w:eastAsia="zh-CN"/>
        </w:rPr>
      </w:pPr>
      <w:r>
        <w:rPr>
          <w:rFonts w:hint="eastAsia"/>
          <w:sz w:val="28"/>
          <w:szCs w:val="28"/>
          <w:highlight w:val="none"/>
          <w:lang w:val="en-US" w:eastAsia="zh-CN"/>
        </w:rPr>
        <w:t xml:space="preserve">重点项目一：项目名称全县党报党刊征订费用，预算资金300万元，2024年度绩效目标为按照《中共环江毛南族自治县委员会常委会会议纪要》（八届第177号）文件第31条内容，把全县党报党刊征订经费纳入年度财政预算。根据文件要求，按时按量完成全县党报党刊征订工作。设1条数量指标：数量指标1.征订任务单位为全县135家行政、企事业单位；设1条质量指标：质量指标1.征订对象为《人民日报》、《广西日报》、《河池日报》等7家中央、省市级党报党刊；设1条时效指标：时效指标1.年内完成相关工作；设7条成本指标：成本指标1.《人民日报》价格为288元/年/份,成本指标2.《求是报》价格为264元/年/份，成本指标3.《光明日报》价格为360元/年/份，成本指标4.《经济日报》价格为365元/年/份，成本指标5.《广西日报》价格为496元/年/份，成本指标6.《当代广西》价格为168元/年/份，成本指标7.《河池日报》价格为396元/年/份；设1条社会效益指标：全县机关事业单位以及重要行业、企业全覆盖；设1条满意度指标：征订单位满意度100%。</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sz w:val="28"/>
          <w:szCs w:val="28"/>
          <w:highlight w:val="none"/>
          <w:lang w:val="en-US" w:eastAsia="zh-CN"/>
        </w:rPr>
      </w:pPr>
      <w:r>
        <w:rPr>
          <w:rFonts w:hint="eastAsia"/>
          <w:sz w:val="28"/>
          <w:szCs w:val="28"/>
          <w:highlight w:val="none"/>
          <w:lang w:val="en-US" w:eastAsia="zh-CN"/>
        </w:rPr>
        <w:t xml:space="preserve">重点项目二：项目名称媒体合作经费，预算资金115万元，2024年度绩效目标为1.根据第七届第57号常委会议议定，同意将媒体合作经费纳入财政预算，2.按照年度工作计划与央级、省市级媒体完成合作，对外推广环江良好形象，做好相关新闻报导工作。设1条数量指标：数量指标1.合作对象至少含有一家及以上国家级媒体，一家及以上省级媒体，一家地市级媒体；设1条质量指标：质量指标1.保证每年关于我县新闻报道出现在国家级媒体不低于5次，省级媒体不低于10次，地市级媒体不低于10次；设1条时效指标：时效指标1.年内完成相关工作；设1条成本指标：成本指标1.年内项目总成本不超过115万元；设1条社会效益指标：</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sz w:val="28"/>
          <w:szCs w:val="28"/>
          <w:highlight w:val="none"/>
          <w:lang w:val="en-US" w:eastAsia="zh-CN"/>
        </w:rPr>
      </w:pPr>
      <w:r>
        <w:rPr>
          <w:rFonts w:hint="eastAsia"/>
          <w:sz w:val="28"/>
          <w:szCs w:val="28"/>
          <w:highlight w:val="none"/>
          <w:lang w:val="en-US" w:eastAsia="zh-CN"/>
        </w:rPr>
        <w:t xml:space="preserve">对我县社会宣传内容不少于三项；设1条满意度指标：征订单位满意度不低于90%。</w:t>
      </w:r>
    </w:p>
    <w:p>
      <w:pPr>
        <w:pStyle w:val="Bodytext|1"/>
        <w:spacing w:line="624" w:lineRule="exact"/>
        <w:ind w:firstLine="600"/>
        <w:jc w:val="left"/>
        <w:rPr>
          <w:rFonts w:hint="eastAsia"/>
          <w:sz w:val="28"/>
          <w:szCs w:val="28"/>
          <w:highlight w:val="none"/>
          <w:lang w:val="en-US" w:eastAsia="zh-CN"/>
        </w:rPr>
      </w:pPr>
    </w:p>
    <w:p>
      <w:pPr>
        <w:pStyle w:val="Bodytext|1"/>
        <w:spacing w:line="624" w:lineRule="exact"/>
        <w:jc w:val="left"/>
        <w:rPr>
          <w:rFonts w:hint="default"/>
          <w:sz w:val="28"/>
          <w:szCs w:val="28"/>
          <w:highlight w:val="none"/>
          <w:lang w:val="en-US" w:eastAsia="zh-CN"/>
        </w:rPr>
        <w:sectPr>
          <w:headerReference w:type="default" r:id="rId14"/>
          <w:footerReference w:type="default" r:id="rId15"/>
          <w:pgSz w:w="11900" w:h="16840" w:orient="portrait"/>
          <w:pgMar w:top="1440" w:right="1800" w:bottom="1440" w:left="1800" w:header="0" w:footer="1077" w:gutter="0"/>
          <w:pgBorders>
            <w:top w:val="none" w:sz="0" w:space="0" w:color="auto"/>
            <w:left w:val="none" w:sz="0" w:space="0" w:color="auto"/>
            <w:bottom w:val="none" w:sz="0" w:space="0" w:color="auto"/>
            <w:right w:val="none" w:sz="0" w:space="0" w:color="auto"/>
          </w:pgBorders>
          <w:pgNumType w:fmt="decimal"/>
          <w:cols w:num="1" w:space="720">
            <w:col w:w="8300" w:space="720"/>
          </w:cols>
          <w:docGrid w:linePitch="360" w:charSpace="0"/>
        </w:sectPr>
      </w:pPr>
    </w:p>
    <w:p>
      <w:pPr>
        <w:pStyle w:val="Heading#1|1"/>
        <w:keepNext/>
        <w:keepLines/>
        <w:spacing w:after="980"/>
        <w:jc w:val="center"/>
        <w:rPr>
          <w:rFonts w:ascii="宋体" w:eastAsia="宋体" w:hAnsi="宋体" w:cs="宋体" w:hint="eastAsia"/>
          <w:b/>
          <w:bCs/>
          <w:sz w:val="36"/>
          <w:szCs w:val="36"/>
        </w:rPr>
      </w:pPr>
      <w:bookmarkEnd w:id="10"/>
      <w:bookmarkEnd w:id="11"/>
      <w:bookmarkEnd w:id="12"/>
      <w:r>
        <w:rPr>
          <w:rFonts w:ascii="宋体" w:eastAsia="宋体" w:hAnsi="宋体" w:cs="宋体" w:hint="eastAsia"/>
          <w:b/>
          <w:bCs/>
          <w:sz w:val="36"/>
          <w:szCs w:val="36"/>
        </w:rPr>
        <w:t xml:space="preserve">第</w:t>
      </w:r>
      <w:r>
        <w:rPr>
          <w:rFonts w:ascii="宋体" w:eastAsia="宋体" w:hAnsi="宋体" w:cs="宋体" w:hint="eastAsia"/>
          <w:b/>
          <w:bCs/>
          <w:sz w:val="36"/>
          <w:szCs w:val="36"/>
          <w:lang w:val="en-US" w:eastAsia="zh-CN"/>
        </w:rPr>
        <w:t xml:space="preserve">三</w:t>
      </w:r>
      <w:r>
        <w:rPr>
          <w:rFonts w:ascii="宋体" w:eastAsia="宋体" w:hAnsi="宋体" w:cs="宋体" w:hint="eastAsia"/>
          <w:b/>
          <w:bCs/>
          <w:sz w:val="36"/>
          <w:szCs w:val="36"/>
        </w:rPr>
        <w:t xml:space="preserve">部分</w:t>
      </w:r>
      <w:r>
        <w:rPr>
          <w:rFonts w:ascii="宋体" w:eastAsia="宋体" w:hAnsi="宋体" w:cs="宋体" w:hint="eastAsia"/>
          <w:b/>
          <w:bCs/>
          <w:sz w:val="36"/>
          <w:szCs w:val="36"/>
          <w:lang w:eastAsia="zh-CN"/>
        </w:rPr>
        <w:t xml:space="preserve">中共环江毛南族自治县委员会宣传部</w:t>
      </w:r>
      <w:r>
        <w:rPr>
          <w:rFonts w:ascii="宋体" w:eastAsia="宋体" w:hAnsi="宋体" w:cs="宋体"/>
          <w:b/>
          <w:sz w:val="36"/>
          <w:u w:color="auto"/>
        </w:rPr>
        <w:t xml:space="preserve">2024</w:t>
      </w:r>
      <w:r>
        <w:rPr>
          <w:rFonts w:ascii="宋体" w:eastAsia="宋体" w:hAnsi="宋体" w:cs="宋体"/>
          <w:b/>
          <w:sz w:val="36"/>
          <w:u w:color="auto"/>
        </w:rPr>
        <w:t xml:space="preserve">年</w:t>
      </w:r>
      <w:r>
        <w:rPr>
          <w:rFonts w:ascii="宋体" w:eastAsia="宋体" w:hAnsi="宋体" w:cs="宋体" w:hint="eastAsia"/>
          <w:b/>
          <w:bCs/>
          <w:sz w:val="36"/>
          <w:szCs w:val="36"/>
        </w:rPr>
        <w:t xml:space="preserve">部门预算表</w:t>
      </w:r>
    </w:p>
    <w:p>
      <w:pPr>
        <w:pStyle w:val="Heading#2|1"/>
        <w:keepNext/>
        <w:keepLines/>
        <w:spacing w:after="240"/>
        <w:jc w:val="center"/>
      </w:pPr>
      <w:bookmarkStart w:id="16" w:name="bookmark31"/>
      <w:bookmarkStart w:id="17" w:name="bookmark30"/>
      <w:bookmarkStart w:id="18" w:name="bookmark29"/>
      <w:r>
        <w:t xml:space="preserve">收支总体情况表</w:t>
      </w:r>
      <w:bookmarkEnd w:id="16"/>
      <w:bookmarkEnd w:id="17"/>
      <w:bookmarkEnd w:id="18"/>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3339"/>
        <w:gridCol w:w="3760"/>
        <w:gridCol w:w="3542"/>
        <w:gridCol w:w="3571"/>
      </w:tblGrid>
      <w:tr>
        <w:tblPrEx>
          <w:tblW w:w="0" w:type="auto"/>
          <w:tblInd w:w="0" w:type="dxa"/>
          <w:tblLayout w:type="fixed"/>
          <w:tblCellMar>
            <w:top w:w="0" w:type="dxa"/>
            <w:left w:w="10" w:type="dxa"/>
            <w:bottom w:w="0" w:type="dxa"/>
            <w:right w:w="10" w:type="dxa"/>
          </w:tblCellMar>
        </w:tblPrEx>
        <w:trPr>
          <w:cantSplit/>
          <w:trHeight w:hRule="exact" w:val="331"/>
        </w:trPr>
        <w:tc>
          <w:tcPr>
            <w:tcW w:w="10641" w:type="dxa"/>
            <w:gridSpan w:val="3"/>
            <w:tcBorders>
              <w:bottom w:val="single" w:sz="4" w:space="0" w:color="auto"/>
            </w:tcBorders>
            <w:shd w:val="clear" w:color="auto" w:fill="FFFFFF"/>
          </w:tcPr>
          <w:p>
            <w:pPr>
              <w:pStyle w:val="Other|1"/>
              <w:spacing w:line="240" w:lineRule="auto"/>
              <w:ind w:firstLine="0"/>
              <w:jc w:val="left"/>
              <w:rPr>
                <w:sz w:val="17"/>
                <w:szCs w:val="17"/>
              </w:rPr>
            </w:pPr>
            <w:r>
              <w:rPr>
                <w:sz w:val="17"/>
                <w:szCs w:val="17"/>
              </w:rPr>
              <w:t xml:space="preserve">单位名称：</w:t>
            </w:r>
            <w:r>
              <w:rPr>
                <w:rFonts w:hint="eastAsia"/>
                <w:sz w:val="17"/>
                <w:szCs w:val="17"/>
                <w:lang w:eastAsia="zh-CN"/>
              </w:rPr>
              <w:t xml:space="preserve">中共环江毛南族自治县委员会宣传部</w:t>
            </w:r>
          </w:p>
        </w:tc>
        <w:tc>
          <w:tcPr>
            <w:tcW w:w="3571" w:type="dxa"/>
            <w:tcBorders>
              <w:bottom w:val="single" w:sz="4" w:space="0" w:color="auto"/>
            </w:tcBorders>
            <w:shd w:val="clear" w:color="auto" w:fill="FFFFFF"/>
          </w:tcPr>
          <w:p>
            <w:pPr>
              <w:pStyle w:val="Other|1"/>
              <w:spacing w:line="240" w:lineRule="auto"/>
              <w:ind w:firstLine="2380" w:firstLineChars="1400"/>
              <w:jc w:val="left"/>
              <w:rPr>
                <w:sz w:val="17"/>
                <w:szCs w:val="17"/>
              </w:rPr>
            </w:pPr>
            <w:r>
              <w:rPr>
                <w:sz w:val="17"/>
                <w:szCs w:val="17"/>
              </w:rPr>
              <w:t xml:space="preserve">单位：万元</w:t>
            </w:r>
          </w:p>
        </w:tc>
      </w:tr>
      <w:tr>
        <w:tblPrEx>
          <w:tblW w:w="0" w:type="auto"/>
          <w:tblInd w:w="0" w:type="dxa"/>
          <w:tblLayout w:type="fixed"/>
          <w:tblCellMar>
            <w:top w:w="0" w:type="dxa"/>
            <w:left w:w="10" w:type="dxa"/>
            <w:bottom w:w="0" w:type="dxa"/>
            <w:right w:w="10" w:type="dxa"/>
          </w:tblCellMar>
        </w:tblPrEx>
        <w:trPr>
          <w:cantSplit/>
          <w:trHeight w:hRule="exact" w:val="456"/>
        </w:trPr>
        <w:tc>
          <w:tcPr>
            <w:tcW w:w="7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2890" w:firstLineChars="1700"/>
              <w:jc w:val="both"/>
              <w:rPr>
                <w:sz w:val="17"/>
                <w:szCs w:val="17"/>
              </w:rPr>
            </w:pPr>
            <w:r>
              <w:rPr>
                <w:sz w:val="17"/>
                <w:szCs w:val="17"/>
              </w:rPr>
              <w:t xml:space="preserve">收入</w:t>
            </w:r>
          </w:p>
        </w:tc>
        <w:tc>
          <w:tcPr>
            <w:tcW w:w="71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right="340" w:firstLine="2890" w:firstLineChars="1700"/>
              <w:jc w:val="both"/>
              <w:rPr>
                <w:sz w:val="17"/>
                <w:szCs w:val="17"/>
              </w:rPr>
            </w:pPr>
            <w:r>
              <w:rPr>
                <w:sz w:val="17"/>
                <w:szCs w:val="17"/>
              </w:rPr>
              <w:t xml:space="preserve">支出</w:t>
            </w:r>
          </w:p>
        </w:tc>
      </w:tr>
      <w:tr>
        <w:tblPrEx>
          <w:tblW w:w="0" w:type="auto"/>
          <w:tblInd w:w="0" w:type="dxa"/>
          <w:tblLayout w:type="fixed"/>
          <w:tblCellMar>
            <w:top w:w="0" w:type="dxa"/>
            <w:left w:w="10" w:type="dxa"/>
            <w:bottom w:w="0" w:type="dxa"/>
            <w:right w:w="10" w:type="dxa"/>
          </w:tblCellMar>
        </w:tblPrEx>
        <w:trPr>
          <w:cantSplit/>
          <w:trHeight w:hRule="exact" w:val="432"/>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sz w:val="17"/>
                <w:szCs w:val="17"/>
              </w:rPr>
            </w:pPr>
            <w:r>
              <w:rPr>
                <w:sz w:val="17"/>
                <w:szCs w:val="17"/>
              </w:rPr>
              <w:t xml:space="preserve">项目</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sz w:val="17"/>
                <w:szCs w:val="17"/>
              </w:rPr>
            </w:pPr>
            <w:r>
              <w:rPr>
                <w:sz w:val="17"/>
                <w:szCs w:val="17"/>
              </w:rPr>
              <w:t xml:space="preserve">预算数</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tabs>
                <w:tab w:val="left" w:pos="894"/>
              </w:tabs>
              <w:spacing w:line="240" w:lineRule="auto"/>
              <w:jc w:val="left"/>
              <w:rPr>
                <w:sz w:val="17"/>
                <w:szCs w:val="17"/>
              </w:rPr>
            </w:pPr>
            <w:r>
              <w:rPr>
                <w:sz w:val="17"/>
                <w:szCs w:val="17"/>
              </w:rPr>
              <w:t xml:space="preserve">项</w:t>
            </w:r>
            <w:r>
              <w:rPr>
                <w:sz w:val="17"/>
                <w:szCs w:val="17"/>
              </w:rPr>
              <w:tab/>
            </w:r>
            <w:r>
              <w:rPr>
                <w:sz w:val="17"/>
                <w:szCs w:val="17"/>
              </w:rPr>
              <w:t xml:space="preserve">目（按支出功能科目分类）</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sz w:val="17"/>
                <w:szCs w:val="17"/>
              </w:rPr>
            </w:pPr>
            <w:r>
              <w:rPr>
                <w:sz w:val="17"/>
                <w:szCs w:val="17"/>
              </w:rPr>
              <w:t xml:space="preserve">预算数</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一、一般公共预算拨款</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746.91</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一、一般公共服务支出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691.29</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1、上级补助</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二、外交支出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2、本级</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746.91</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三、国防支出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二、政府性基金预算拨款</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四、公共安全支出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1、上级补助</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五、教育支出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2、本级</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六、科学技术支出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三、国有资本经营预算拨款</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七、文化旅游体育与传媒支出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40.51</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1、上级补助</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八、社会保障和就业支出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26.75</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2、本级</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九、卫生健康支出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四、财政专户管理资金收入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十、节能环保支出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五、事业收入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十一、城乡社区支出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19.01</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六、事业单位经营收入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十二、农林水支出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七、上级补助收入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十三、交通运输支出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八、附属单位上缴收入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十四、资源勘探工业信息等支出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九、其他收入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十五、商业服务业等支出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十六、金融支出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十七、援助其他地区支出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十八、自然资源海洋气象等支出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十九、住房保障支出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23.17</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二十、粮油物资储备支出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二十一、国有资本经营预算支出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二十二、灾害防治及应急管理支出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二十三、其他支出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二十四、债务还本支出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二十五、债务付息支出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二十六、债务发行费用支出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本年收入合计</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746.91</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本年支出合计</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800.73</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上年结转结余</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53.82</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结转下年支出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收入总计</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800.73</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支出总计</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800.73</w:t>
            </w:r>
          </w:p>
        </w:tc>
      </w:tr>
    </w:tbl>
    <w:p>
      <w:pPr>
        <w:pStyle w:val="Tablecaption|1"/>
        <w:ind w:left="101"/>
        <w:jc w:val="left"/>
      </w:pPr>
      <w:r>
        <w:t xml:space="preserve">注：报表金额单位转换时可能存在四舍五入尾数误差。</w:t>
      </w:r>
    </w:p>
    <w:p>
      <w:pPr>
        <w:tabs>
          <w:tab w:val="left" w:pos="859"/>
        </w:tabs>
        <w:jc w:val="left"/>
        <w:rPr>
          <w:rFonts w:eastAsia="宋体"/>
          <w:lang w:eastAsia="zh-CN"/>
        </w:rPr>
      </w:pPr>
    </w:p>
    <w:p>
      <w:pPr>
        <w:tabs>
          <w:tab w:val="left" w:pos="859"/>
        </w:tabs>
        <w:jc w:val="left"/>
        <w:rPr>
          <w:rFonts w:eastAsia="宋体"/>
          <w:lang w:eastAsia="zh-CN"/>
        </w:rPr>
      </w:pPr>
    </w:p>
    <w:p>
      <w:pPr>
        <w:tabs>
          <w:tab w:val="left" w:pos="859"/>
        </w:tabs>
        <w:jc w:val="left"/>
        <w:rPr>
          <w:rFonts w:eastAsia="宋体"/>
          <w:lang w:eastAsia="zh-CN"/>
        </w:rPr>
      </w:pPr>
    </w:p>
    <w:p>
      <w:pPr>
        <w:tabs>
          <w:tab w:val="left" w:pos="859"/>
        </w:tabs>
        <w:jc w:val="left"/>
        <w:rPr>
          <w:rFonts w:eastAsia="宋体"/>
          <w:lang w:eastAsia="zh-CN"/>
        </w:rPr>
        <w:sectPr>
          <w:headerReference w:type="default" r:id="rId16"/>
          <w:footerReference w:type="default" r:id="rId17"/>
          <w:pgSz w:w="16840" w:h="11900" w:orient="landscape"/>
          <w:pgMar w:top="2397" w:right="761" w:bottom="1966" w:left="739" w:header="0" w:footer="1474" w:gutter="0"/>
          <w:pgBorders>
            <w:top w:val="none" w:sz="0" w:space="0" w:color="auto"/>
            <w:left w:val="none" w:sz="0" w:space="0" w:color="auto"/>
            <w:bottom w:val="none" w:sz="0" w:space="0" w:color="auto"/>
            <w:right w:val="none" w:sz="0" w:space="0" w:color="auto"/>
          </w:pgBorders>
          <w:pgNumType w:fmt="decimal"/>
          <w:cols w:num="1" w:space="720">
            <w:col w:w="15340" w:space="720"/>
          </w:cols>
          <w:docGrid w:linePitch="360" w:charSpace="0"/>
        </w:sectPr>
      </w:pPr>
    </w:p>
    <w:p>
      <w:pPr>
        <w:tabs>
          <w:tab w:val="left" w:pos="859"/>
        </w:tabs>
        <w:jc w:val="left"/>
        <w:rPr>
          <w:rFonts w:eastAsia="宋体"/>
          <w:lang w:eastAsia="zh-CN"/>
        </w:rPr>
      </w:pPr>
    </w:p>
    <w:p>
      <w:pPr>
        <w:tabs>
          <w:tab w:val="left" w:pos="859"/>
        </w:tabs>
        <w:jc w:val="center"/>
        <w:rPr>
          <w:rFonts w:eastAsia="宋体" w:hint="eastAsia"/>
          <w:lang w:val="en-US" w:eastAsia="zh-CN"/>
        </w:rPr>
      </w:pPr>
    </w:p>
    <w:p>
      <w:pPr>
        <w:tabs>
          <w:tab w:val="left" w:pos="859"/>
        </w:tabs>
        <w:jc w:val="center"/>
        <w:rPr>
          <w:rFonts w:eastAsia="宋体" w:hint="eastAsia"/>
          <w:lang w:val="en-US" w:eastAsia="zh-CN"/>
        </w:rPr>
      </w:pPr>
      <w:r>
        <w:rPr>
          <w:rFonts w:eastAsia="宋体" w:hint="eastAsia"/>
          <w:lang w:val="en-US" w:eastAsia="zh-CN"/>
        </w:rPr>
        <w:t xml:space="preserve">收入总体情况表</w:t>
      </w:r>
    </w:p>
    <w:p>
      <w:pPr>
        <w:tabs>
          <w:tab w:val="left" w:pos="859"/>
        </w:tabs>
        <w:jc w:val="center"/>
        <w:rPr>
          <w:rFonts w:eastAsia="宋体" w:hint="eastAsia"/>
          <w:lang w:val="en-US" w:eastAsia="zh-CN"/>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firstRow="0" w:lastRow="0" w:firstColumn="0" w:lastColumn="0" w:noHBand="1" w:noVBand="1"/>
      </w:tblPr>
      <w:tblGrid>
        <w:gridCol w:w="1636"/>
        <w:gridCol w:w="1279"/>
        <w:gridCol w:w="990"/>
        <w:gridCol w:w="926"/>
        <w:gridCol w:w="909"/>
        <w:gridCol w:w="968"/>
        <w:gridCol w:w="990"/>
        <w:gridCol w:w="1078"/>
        <w:gridCol w:w="972"/>
        <w:gridCol w:w="919"/>
        <w:gridCol w:w="1011"/>
        <w:gridCol w:w="859"/>
        <w:gridCol w:w="944"/>
        <w:gridCol w:w="150"/>
        <w:gridCol w:w="937"/>
        <w:gridCol w:w="989"/>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cantSplit/>
          <w:trHeight w:val="270"/>
        </w:trPr>
        <w:tc>
          <w:tcPr>
            <w:tcW w:w="13481" w:type="dxa"/>
            <w:gridSpan w:val="13"/>
            <w:tcBorders>
              <w:top w:val="nil"/>
              <w:left w:val="nil"/>
              <w:right w:val="nil"/>
            </w:tcBorders>
          </w:tcPr>
          <w:p>
            <w:pPr>
              <w:pStyle w:val="Tablecaption|1"/>
              <w:jc w:val="both"/>
              <w:rPr>
                <w:rFonts w:hint="eastAsia"/>
                <w:lang w:val="en-US" w:eastAsia="zh-CN"/>
              </w:rPr>
            </w:pPr>
            <w:r>
              <w:rPr>
                <w:sz w:val="17"/>
                <w:szCs w:val="17"/>
              </w:rPr>
              <w:t xml:space="preserve">单位名称：</w:t>
            </w:r>
            <w:r>
              <w:rPr>
                <w:rFonts w:hint="eastAsia"/>
                <w:sz w:val="17"/>
                <w:szCs w:val="17"/>
                <w:lang w:eastAsia="zh-CN"/>
              </w:rPr>
              <w:t xml:space="preserve">中共环江毛南族自治县委员会宣传部</w:t>
            </w:r>
          </w:p>
        </w:tc>
        <w:tc>
          <w:tcPr>
            <w:tcW w:w="2076" w:type="dxa"/>
            <w:gridSpan w:val="3"/>
            <w:tcBorders>
              <w:top w:val="nil"/>
              <w:left w:val="nil"/>
              <w:right w:val="nil"/>
            </w:tcBorders>
          </w:tcPr>
          <w:p>
            <w:pPr>
              <w:pStyle w:val="Tablecaption|1"/>
              <w:ind w:firstLine="340" w:firstLineChars="200"/>
              <w:jc w:val="left"/>
              <w:rPr>
                <w:rFonts w:hint="eastAsia"/>
                <w:lang w:val="en-US" w:eastAsia="zh-CN"/>
              </w:rPr>
            </w:pPr>
            <w:r>
              <w:rPr>
                <w:sz w:val="17"/>
                <w:szCs w:val="17"/>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cantSplit/>
        </w:trPr>
        <w:tc>
          <w:tcPr>
            <w:tcW w:w="1636" w:type="dxa"/>
            <w:vMerge w:val="restart"/>
            <w:vAlign w:val="center"/>
          </w:tcPr>
          <w:p>
            <w:pPr>
              <w:tabs>
                <w:tab w:val="left" w:pos="859"/>
              </w:tabs>
              <w:jc w:val="center"/>
              <w:rPr>
                <w:rFonts w:eastAsia="宋体" w:hint="eastAsia"/>
                <w:vertAlign w:val="baseline"/>
                <w:lang w:val="en-US" w:eastAsia="zh-CN"/>
              </w:rPr>
            </w:pPr>
            <w:r>
              <w:rPr>
                <w:sz w:val="17"/>
                <w:szCs w:val="17"/>
              </w:rPr>
              <w:t xml:space="preserve">部门（单位）代码</w:t>
            </w:r>
          </w:p>
        </w:tc>
        <w:tc>
          <w:tcPr>
            <w:tcW w:w="1279" w:type="dxa"/>
            <w:vMerge w:val="restart"/>
            <w:vAlign w:val="center"/>
          </w:tcPr>
          <w:p>
            <w:pPr>
              <w:tabs>
                <w:tab w:val="left" w:pos="859"/>
              </w:tabs>
              <w:jc w:val="center"/>
              <w:rPr>
                <w:rFonts w:eastAsia="宋体" w:hint="eastAsia"/>
                <w:vertAlign w:val="baseline"/>
                <w:lang w:val="en-US" w:eastAsia="zh-CN"/>
              </w:rPr>
            </w:pPr>
            <w:r>
              <w:rPr>
                <w:sz w:val="17"/>
                <w:szCs w:val="17"/>
              </w:rPr>
              <w:t xml:space="preserve">部门（单位）名称</w:t>
            </w:r>
          </w:p>
        </w:tc>
        <w:tc>
          <w:tcPr>
            <w:tcW w:w="990" w:type="dxa"/>
            <w:vMerge w:val="restart"/>
            <w:vAlign w:val="center"/>
          </w:tcPr>
          <w:p>
            <w:pPr>
              <w:pStyle w:val="Other|1"/>
              <w:spacing w:line="240" w:lineRule="auto"/>
              <w:ind w:left="0" w:firstLine="0" w:leftChars="0" w:firstLineChars="0"/>
              <w:jc w:val="center"/>
              <w:rPr>
                <w:rFonts w:eastAsia="宋体" w:hint="eastAsia"/>
                <w:vertAlign w:val="baseline"/>
                <w:lang w:val="en-US" w:eastAsia="zh-CN"/>
              </w:rPr>
            </w:pPr>
            <w:r>
              <w:rPr>
                <w:rFonts w:hint="eastAsia"/>
                <w:sz w:val="17"/>
                <w:szCs w:val="17"/>
                <w:lang w:val="en-US" w:eastAsia="zh-CN"/>
              </w:rPr>
              <w:t xml:space="preserve">合</w:t>
            </w:r>
            <w:r>
              <w:rPr>
                <w:sz w:val="17"/>
                <w:szCs w:val="17"/>
              </w:rPr>
              <w:t xml:space="preserve">计</w:t>
            </w:r>
          </w:p>
        </w:tc>
        <w:tc>
          <w:tcPr>
            <w:tcW w:w="5843" w:type="dxa"/>
            <w:gridSpan w:val="6"/>
          </w:tcPr>
          <w:p>
            <w:pPr>
              <w:tabs>
                <w:tab w:val="left" w:pos="859"/>
              </w:tabs>
              <w:jc w:val="center"/>
              <w:rPr>
                <w:rFonts w:eastAsia="宋体" w:hint="eastAsia"/>
                <w:vertAlign w:val="baseline"/>
                <w:lang w:val="en-US" w:eastAsia="zh-CN"/>
              </w:rPr>
            </w:pPr>
            <w:r>
              <w:rPr>
                <w:sz w:val="17"/>
                <w:szCs w:val="17"/>
              </w:rPr>
              <w:t xml:space="preserve">本年收入</w:t>
            </w:r>
          </w:p>
        </w:tc>
        <w:tc>
          <w:tcPr>
            <w:tcW w:w="5809" w:type="dxa"/>
            <w:gridSpan w:val="7"/>
          </w:tcPr>
          <w:p>
            <w:pPr>
              <w:tabs>
                <w:tab w:val="left" w:pos="859"/>
              </w:tabs>
              <w:jc w:val="center"/>
              <w:rPr>
                <w:rFonts w:eastAsia="宋体" w:hint="eastAsia"/>
                <w:vertAlign w:val="baseline"/>
                <w:lang w:val="en-US" w:eastAsia="zh-CN"/>
              </w:rPr>
            </w:pPr>
            <w:r>
              <w:rPr>
                <w:sz w:val="17"/>
                <w:szCs w:val="17"/>
              </w:rPr>
              <w:t xml:space="preserve">上年结转结余</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cantSplit/>
          <w:trHeight w:val="1058"/>
        </w:trPr>
        <w:tc>
          <w:tcPr>
            <w:tcW w:w="1636" w:type="dxa"/>
            <w:vMerge/>
          </w:tcPr>
          <w:p>
            <w:pPr>
              <w:tabs>
                <w:tab w:val="left" w:pos="859"/>
              </w:tabs>
              <w:jc w:val="center"/>
              <w:rPr>
                <w:rFonts w:eastAsia="宋体" w:hint="eastAsia"/>
                <w:vertAlign w:val="baseline"/>
                <w:lang w:val="en-US" w:eastAsia="zh-CN"/>
              </w:rPr>
            </w:pPr>
          </w:p>
        </w:tc>
        <w:tc>
          <w:tcPr>
            <w:tcW w:w="1279" w:type="dxa"/>
            <w:vMerge/>
          </w:tcPr>
          <w:p>
            <w:pPr>
              <w:tabs>
                <w:tab w:val="left" w:pos="859"/>
              </w:tabs>
              <w:jc w:val="center"/>
              <w:rPr>
                <w:rFonts w:eastAsia="宋体" w:hint="eastAsia"/>
                <w:vertAlign w:val="baseline"/>
                <w:lang w:val="en-US" w:eastAsia="zh-CN"/>
              </w:rPr>
            </w:pPr>
          </w:p>
        </w:tc>
        <w:tc>
          <w:tcPr>
            <w:tcW w:w="990" w:type="dxa"/>
            <w:vMerge/>
            <w:vAlign w:val="center"/>
          </w:tcPr>
          <w:p>
            <w:pPr>
              <w:pStyle w:val="Other|1"/>
              <w:spacing w:line="240" w:lineRule="auto"/>
              <w:ind w:firstLine="300" w:firstLineChars="0"/>
              <w:jc w:val="center"/>
              <w:rPr>
                <w:rFonts w:eastAsia="宋体" w:hint="eastAsia"/>
                <w:vertAlign w:val="baseline"/>
                <w:lang w:val="en-US" w:eastAsia="zh-CN"/>
              </w:rPr>
            </w:pPr>
          </w:p>
        </w:tc>
        <w:tc>
          <w:tcPr>
            <w:tcW w:w="926" w:type="dxa"/>
            <w:vAlign w:val="center"/>
          </w:tcPr>
          <w:p>
            <w:pPr>
              <w:pStyle w:val="Other|1"/>
              <w:spacing w:line="240" w:lineRule="auto"/>
              <w:ind w:firstLine="300" w:firstLineChars="0"/>
              <w:jc w:val="center"/>
              <w:rPr>
                <w:rFonts w:eastAsia="宋体" w:hint="eastAsia"/>
                <w:vertAlign w:val="baseline"/>
                <w:lang w:val="en-US" w:eastAsia="zh-CN"/>
              </w:rPr>
            </w:pPr>
            <w:r>
              <w:rPr>
                <w:sz w:val="17"/>
                <w:szCs w:val="17"/>
              </w:rPr>
              <w:t xml:space="preserve">小计</w:t>
            </w:r>
          </w:p>
        </w:tc>
        <w:tc>
          <w:tcPr>
            <w:tcW w:w="909" w:type="dxa"/>
            <w:vAlign w:val="center"/>
          </w:tcPr>
          <w:p>
            <w:pPr>
              <w:pStyle w:val="Other|1"/>
              <w:spacing w:line="317" w:lineRule="exact"/>
              <w:ind w:firstLine="0" w:firstLineChars="0"/>
              <w:jc w:val="center"/>
              <w:rPr>
                <w:rFonts w:eastAsia="宋体" w:hint="eastAsia"/>
                <w:vertAlign w:val="baseline"/>
                <w:lang w:val="en-US" w:eastAsia="zh-CN"/>
              </w:rPr>
            </w:pPr>
            <w:r>
              <w:rPr>
                <w:sz w:val="17"/>
                <w:szCs w:val="17"/>
              </w:rPr>
              <w:t xml:space="preserve">一般公共预算</w:t>
            </w:r>
          </w:p>
        </w:tc>
        <w:tc>
          <w:tcPr>
            <w:tcW w:w="968" w:type="dxa"/>
            <w:vAlign w:val="center"/>
          </w:tcPr>
          <w:p>
            <w:pPr>
              <w:pStyle w:val="Other|1"/>
              <w:spacing w:line="317" w:lineRule="exact"/>
              <w:ind w:firstLine="0" w:firstLineChars="0"/>
              <w:jc w:val="center"/>
              <w:rPr>
                <w:rFonts w:eastAsia="宋体" w:hint="eastAsia"/>
                <w:vertAlign w:val="baseline"/>
                <w:lang w:val="en-US" w:eastAsia="zh-CN"/>
              </w:rPr>
            </w:pPr>
            <w:r>
              <w:rPr>
                <w:sz w:val="17"/>
                <w:szCs w:val="17"/>
              </w:rPr>
              <w:t xml:space="preserve">政府性基金预算</w:t>
            </w:r>
          </w:p>
        </w:tc>
        <w:tc>
          <w:tcPr>
            <w:tcW w:w="990" w:type="dxa"/>
            <w:vAlign w:val="center"/>
          </w:tcPr>
          <w:p>
            <w:pPr>
              <w:pStyle w:val="Other|1"/>
              <w:spacing w:line="317" w:lineRule="exact"/>
              <w:ind w:firstLine="0" w:firstLineChars="0"/>
              <w:jc w:val="center"/>
              <w:rPr>
                <w:rFonts w:eastAsia="宋体" w:hint="eastAsia"/>
                <w:vertAlign w:val="baseline"/>
                <w:lang w:val="en-US" w:eastAsia="zh-CN"/>
              </w:rPr>
            </w:pPr>
            <w:r>
              <w:rPr>
                <w:sz w:val="17"/>
                <w:szCs w:val="17"/>
              </w:rPr>
              <w:t xml:space="preserve">国有资本经营预算</w:t>
            </w:r>
          </w:p>
        </w:tc>
        <w:tc>
          <w:tcPr>
            <w:tcW w:w="1078" w:type="dxa"/>
          </w:tcPr>
          <w:p>
            <w:pPr>
              <w:pStyle w:val="Other|1"/>
              <w:spacing w:line="312" w:lineRule="exact"/>
              <w:ind w:firstLine="0"/>
              <w:jc w:val="center"/>
              <w:rPr>
                <w:sz w:val="17"/>
                <w:szCs w:val="17"/>
              </w:rPr>
            </w:pPr>
            <w:r>
              <w:rPr>
                <w:sz w:val="17"/>
                <w:szCs w:val="17"/>
              </w:rPr>
              <w:t xml:space="preserve">财政专户管理资金</w:t>
            </w:r>
          </w:p>
          <w:p>
            <w:pPr>
              <w:pStyle w:val="Other|1"/>
              <w:spacing w:line="312" w:lineRule="exact"/>
              <w:ind w:firstLine="0" w:firstLineChars="0"/>
              <w:jc w:val="center"/>
              <w:rPr>
                <w:rFonts w:eastAsia="宋体" w:hint="eastAsia"/>
                <w:vertAlign w:val="baseline"/>
                <w:lang w:val="en-US" w:eastAsia="zh-CN"/>
              </w:rPr>
            </w:pPr>
            <w:r>
              <w:rPr>
                <w:sz w:val="17"/>
                <w:szCs w:val="17"/>
              </w:rPr>
              <w:t xml:space="preserve">收入</w:t>
            </w:r>
          </w:p>
        </w:tc>
        <w:tc>
          <w:tcPr>
            <w:tcW w:w="972" w:type="dxa"/>
            <w:vAlign w:val="center"/>
          </w:tcPr>
          <w:p>
            <w:pPr>
              <w:pStyle w:val="Other|1"/>
              <w:spacing w:line="240" w:lineRule="auto"/>
              <w:ind w:firstLine="0" w:firstLineChars="0"/>
              <w:jc w:val="center"/>
              <w:rPr>
                <w:rFonts w:eastAsia="宋体" w:hint="eastAsia"/>
                <w:vertAlign w:val="baseline"/>
                <w:lang w:val="en-US" w:eastAsia="zh-CN"/>
              </w:rPr>
            </w:pPr>
            <w:r>
              <w:rPr>
                <w:sz w:val="17"/>
                <w:szCs w:val="17"/>
              </w:rPr>
              <w:t xml:space="preserve">单位资金</w:t>
            </w:r>
          </w:p>
        </w:tc>
        <w:tc>
          <w:tcPr>
            <w:tcW w:w="919" w:type="dxa"/>
            <w:vAlign w:val="center"/>
          </w:tcPr>
          <w:p>
            <w:pPr>
              <w:pStyle w:val="Other|1"/>
              <w:spacing w:line="240" w:lineRule="auto"/>
              <w:ind w:firstLine="300" w:firstLineChars="0"/>
              <w:jc w:val="center"/>
              <w:rPr>
                <w:rFonts w:eastAsia="宋体" w:hint="eastAsia"/>
                <w:vertAlign w:val="baseline"/>
                <w:lang w:val="en-US" w:eastAsia="zh-CN"/>
              </w:rPr>
            </w:pPr>
            <w:r>
              <w:rPr>
                <w:sz w:val="17"/>
                <w:szCs w:val="17"/>
              </w:rPr>
              <w:t xml:space="preserve">小计</w:t>
            </w:r>
          </w:p>
        </w:tc>
        <w:tc>
          <w:tcPr>
            <w:tcW w:w="1011" w:type="dxa"/>
            <w:vAlign w:val="center"/>
          </w:tcPr>
          <w:p>
            <w:pPr>
              <w:pStyle w:val="Other|1"/>
              <w:spacing w:line="317" w:lineRule="exact"/>
              <w:ind w:firstLine="0" w:firstLineChars="0"/>
              <w:jc w:val="center"/>
              <w:rPr>
                <w:rFonts w:eastAsia="宋体" w:hint="eastAsia"/>
                <w:vertAlign w:val="baseline"/>
                <w:lang w:val="en-US" w:eastAsia="zh-CN"/>
              </w:rPr>
            </w:pPr>
            <w:r>
              <w:rPr>
                <w:sz w:val="17"/>
                <w:szCs w:val="17"/>
              </w:rPr>
              <w:t xml:space="preserve">一般公共预算</w:t>
            </w:r>
          </w:p>
        </w:tc>
        <w:tc>
          <w:tcPr>
            <w:tcW w:w="859" w:type="dxa"/>
            <w:vAlign w:val="center"/>
          </w:tcPr>
          <w:p>
            <w:pPr>
              <w:pStyle w:val="Other|1"/>
              <w:spacing w:line="317" w:lineRule="exact"/>
              <w:ind w:firstLine="0" w:firstLineChars="0"/>
              <w:jc w:val="center"/>
              <w:rPr>
                <w:rFonts w:eastAsia="宋体" w:hint="eastAsia"/>
                <w:vertAlign w:val="baseline"/>
                <w:lang w:val="en-US" w:eastAsia="zh-CN"/>
              </w:rPr>
            </w:pPr>
            <w:r>
              <w:rPr>
                <w:sz w:val="17"/>
                <w:szCs w:val="17"/>
              </w:rPr>
              <w:t xml:space="preserve">政府性基金预算</w:t>
            </w:r>
          </w:p>
        </w:tc>
        <w:tc>
          <w:tcPr>
            <w:tcW w:w="1094" w:type="dxa"/>
            <w:gridSpan w:val="2"/>
            <w:vAlign w:val="center"/>
          </w:tcPr>
          <w:p>
            <w:pPr>
              <w:pStyle w:val="Other|1"/>
              <w:spacing w:line="317" w:lineRule="exact"/>
              <w:ind w:firstLine="0" w:firstLineChars="0"/>
              <w:jc w:val="center"/>
              <w:rPr>
                <w:rFonts w:eastAsia="宋体" w:hint="eastAsia"/>
                <w:vertAlign w:val="baseline"/>
                <w:lang w:val="en-US" w:eastAsia="zh-CN"/>
              </w:rPr>
            </w:pPr>
            <w:r>
              <w:rPr>
                <w:sz w:val="17"/>
                <w:szCs w:val="17"/>
              </w:rPr>
              <w:t xml:space="preserve">国有资本经营预算</w:t>
            </w:r>
          </w:p>
        </w:tc>
        <w:tc>
          <w:tcPr>
            <w:tcW w:w="937" w:type="dxa"/>
          </w:tcPr>
          <w:p>
            <w:pPr>
              <w:pStyle w:val="Other|1"/>
              <w:spacing w:line="312" w:lineRule="exact"/>
              <w:ind w:firstLine="0"/>
              <w:jc w:val="center"/>
              <w:rPr>
                <w:sz w:val="17"/>
                <w:szCs w:val="17"/>
              </w:rPr>
            </w:pPr>
            <w:r>
              <w:rPr>
                <w:sz w:val="17"/>
                <w:szCs w:val="17"/>
              </w:rPr>
              <w:t xml:space="preserve">财政专户管理资金</w:t>
            </w:r>
          </w:p>
          <w:p>
            <w:pPr>
              <w:pStyle w:val="Other|1"/>
              <w:spacing w:line="312" w:lineRule="exact"/>
              <w:ind w:right="280" w:firstLine="0" w:rightChars="0" w:firstLineChars="0"/>
              <w:jc w:val="center"/>
              <w:rPr>
                <w:rFonts w:eastAsia="宋体" w:hint="eastAsia"/>
                <w:vertAlign w:val="baseline"/>
                <w:lang w:val="en-US" w:eastAsia="zh-CN"/>
              </w:rPr>
            </w:pPr>
            <w:r>
              <w:rPr>
                <w:sz w:val="17"/>
                <w:szCs w:val="17"/>
              </w:rPr>
              <w:t xml:space="preserve">收入</w:t>
            </w:r>
          </w:p>
        </w:tc>
        <w:tc>
          <w:tcPr>
            <w:tcW w:w="989" w:type="dxa"/>
            <w:vAlign w:val="center"/>
          </w:tcPr>
          <w:p>
            <w:pPr>
              <w:pStyle w:val="Other|1"/>
              <w:spacing w:line="240" w:lineRule="auto"/>
              <w:ind w:firstLine="140" w:firstLineChars="0"/>
              <w:jc w:val="center"/>
              <w:rPr>
                <w:rFonts w:eastAsia="宋体" w:hint="eastAsia"/>
                <w:vertAlign w:val="baseline"/>
                <w:lang w:val="en-US" w:eastAsia="zh-CN"/>
              </w:rPr>
            </w:pPr>
            <w:r>
              <w:rPr>
                <w:sz w:val="17"/>
                <w:szCs w:val="17"/>
              </w:rPr>
              <w:t xml:space="preserve">单位资金</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cantSplit/>
        </w:trPr>
        <w:tc>
          <w:tcPr>
            <w:tcW w:w="1636" w:type="dxa"/>
          </w:tcPr>
          <w:p>
            <w:pPr>
              <w:tabs>
                <w:tab w:val="left" w:pos="859"/>
              </w:tabs>
              <w:jc w:val="both"/>
              <w:rPr>
                <w:rFonts w:eastAsia="宋体" w:hint="eastAsia"/>
                <w:vertAlign w:val="baseline"/>
                <w:lang w:val="en-US" w:eastAsia="zh-CN"/>
              </w:rPr>
            </w:pPr>
          </w:p>
        </w:tc>
        <w:tc>
          <w:tcPr>
            <w:tcW w:w="1279" w:type="dxa"/>
          </w:tcPr>
          <w:p>
            <w:pPr>
              <w:tabs>
                <w:tab w:val="left" w:pos="859"/>
              </w:tabs>
              <w:jc w:val="both"/>
              <w:rPr>
                <w:rFonts w:eastAsia="宋体" w:hint="eastAsia"/>
                <w:vertAlign w:val="baseline"/>
                <w:lang w:val="en-US" w:eastAsia="zh-CN"/>
              </w:rPr>
            </w:pPr>
          </w:p>
        </w:tc>
        <w:tc>
          <w:tcPr>
            <w:tcW w:w="990" w:type="dxa"/>
            <w:vAlign w:val="center"/>
          </w:tcPr>
          <w:p>
            <w:pPr>
              <w:pStyle w:val="Other|1"/>
              <w:spacing w:line="240" w:lineRule="auto"/>
              <w:ind w:firstLine="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1</w:t>
            </w:r>
          </w:p>
        </w:tc>
        <w:tc>
          <w:tcPr>
            <w:tcW w:w="926" w:type="dxa"/>
            <w:vAlign w:val="center"/>
          </w:tcPr>
          <w:p>
            <w:pPr>
              <w:pStyle w:val="Other|1"/>
              <w:spacing w:line="240" w:lineRule="auto"/>
              <w:ind w:firstLine="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2</w:t>
            </w:r>
          </w:p>
        </w:tc>
        <w:tc>
          <w:tcPr>
            <w:tcW w:w="909" w:type="dxa"/>
            <w:vAlign w:val="center"/>
          </w:tcPr>
          <w:p>
            <w:pPr>
              <w:pStyle w:val="Other|1"/>
              <w:spacing w:line="240" w:lineRule="auto"/>
              <w:ind w:firstLine="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3</w:t>
            </w:r>
          </w:p>
        </w:tc>
        <w:tc>
          <w:tcPr>
            <w:tcW w:w="968" w:type="dxa"/>
            <w:vAlign w:val="center"/>
          </w:tcPr>
          <w:p>
            <w:pPr>
              <w:pStyle w:val="Other|1"/>
              <w:spacing w:line="240" w:lineRule="auto"/>
              <w:ind w:left="0" w:firstLine="0" w:lef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4</w:t>
            </w:r>
          </w:p>
        </w:tc>
        <w:tc>
          <w:tcPr>
            <w:tcW w:w="990" w:type="dxa"/>
            <w:vAlign w:val="center"/>
          </w:tcPr>
          <w:p>
            <w:pPr>
              <w:pStyle w:val="Other|1"/>
              <w:spacing w:line="240" w:lineRule="auto"/>
              <w:ind w:left="0" w:firstLine="0" w:lef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5</w:t>
            </w:r>
          </w:p>
        </w:tc>
        <w:tc>
          <w:tcPr>
            <w:tcW w:w="1078" w:type="dxa"/>
            <w:vAlign w:val="center"/>
          </w:tcPr>
          <w:p>
            <w:pPr>
              <w:pStyle w:val="Other|1"/>
              <w:spacing w:line="240" w:lineRule="auto"/>
              <w:ind w:left="0" w:firstLine="0" w:lef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6</w:t>
            </w:r>
          </w:p>
        </w:tc>
        <w:tc>
          <w:tcPr>
            <w:tcW w:w="972" w:type="dxa"/>
            <w:vAlign w:val="center"/>
          </w:tcPr>
          <w:p>
            <w:pPr>
              <w:pStyle w:val="Other|1"/>
              <w:spacing w:line="240" w:lineRule="auto"/>
              <w:ind w:left="0" w:firstLine="0" w:lef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7</w:t>
            </w:r>
          </w:p>
        </w:tc>
        <w:tc>
          <w:tcPr>
            <w:tcW w:w="919" w:type="dxa"/>
            <w:vAlign w:val="center"/>
          </w:tcPr>
          <w:p>
            <w:pPr>
              <w:pStyle w:val="Other|1"/>
              <w:spacing w:line="240" w:lineRule="auto"/>
              <w:ind w:left="0" w:firstLine="0" w:lef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8</w:t>
            </w:r>
          </w:p>
        </w:tc>
        <w:tc>
          <w:tcPr>
            <w:tcW w:w="1011" w:type="dxa"/>
            <w:vAlign w:val="center"/>
          </w:tcPr>
          <w:p>
            <w:pPr>
              <w:pStyle w:val="Other|1"/>
              <w:spacing w:line="240" w:lineRule="auto"/>
              <w:ind w:left="0" w:firstLine="0" w:lef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9</w:t>
            </w:r>
          </w:p>
        </w:tc>
        <w:tc>
          <w:tcPr>
            <w:tcW w:w="859" w:type="dxa"/>
            <w:vAlign w:val="center"/>
          </w:tcPr>
          <w:p>
            <w:pPr>
              <w:pStyle w:val="Other|1"/>
              <w:spacing w:line="240" w:lineRule="auto"/>
              <w:ind w:right="360" w:firstLine="0" w:righ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10</w:t>
            </w:r>
          </w:p>
        </w:tc>
        <w:tc>
          <w:tcPr>
            <w:tcW w:w="1094" w:type="dxa"/>
            <w:gridSpan w:val="2"/>
            <w:vAlign w:val="center"/>
          </w:tcPr>
          <w:p>
            <w:pPr>
              <w:pStyle w:val="Other|1"/>
              <w:spacing w:line="240" w:lineRule="auto"/>
              <w:ind w:left="0" w:firstLine="0" w:lef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11</w:t>
            </w:r>
          </w:p>
        </w:tc>
        <w:tc>
          <w:tcPr>
            <w:tcW w:w="937" w:type="dxa"/>
            <w:vAlign w:val="center"/>
          </w:tcPr>
          <w:p>
            <w:pPr>
              <w:pStyle w:val="Other|1"/>
              <w:spacing w:line="240" w:lineRule="auto"/>
              <w:ind w:right="380" w:firstLine="0" w:righ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12</w:t>
            </w:r>
          </w:p>
        </w:tc>
        <w:tc>
          <w:tcPr>
            <w:tcW w:w="989" w:type="dxa"/>
            <w:vAlign w:val="center"/>
          </w:tcPr>
          <w:p>
            <w:pPr>
              <w:pStyle w:val="Other|1"/>
              <w:spacing w:line="240" w:lineRule="auto"/>
              <w:ind w:right="420" w:firstLine="0" w:righ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13</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cantSplit/>
        </w:trPr>
        <w:tc>
          <w:tcPr>
            <w:tcW w:w="1636"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rPr>
              <w:t xml:space="preserve">214001</w:t>
            </w:r>
          </w:p>
        </w:tc>
        <w:tc>
          <w:tcPr>
            <w:tcW w:w="1279" w:type="dxa"/>
          </w:tcPr>
          <w:p>
            <w:pPr>
              <w:pStyle w:val="Other|1"/>
              <w:spacing w:line="326" w:lineRule="exact"/>
              <w:ind w:firstLine="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rPr>
              <w:t xml:space="preserve">中共环江毛南族自治县委员会宣传部</w:t>
            </w:r>
          </w:p>
        </w:tc>
        <w:tc>
          <w:tcPr>
            <w:tcW w:w="990" w:type="dxa"/>
            <w:vAlign w:val="center"/>
          </w:tcPr>
          <w:p>
            <w:pPr>
              <w:pStyle w:val="Other|1"/>
              <w:spacing w:line="240" w:lineRule="auto"/>
              <w:ind w:left="0" w:firstLine="0" w:leftChars="0" w:firstLineChars="0"/>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800.73</w:t>
            </w:r>
          </w:p>
        </w:tc>
        <w:tc>
          <w:tcPr>
            <w:tcW w:w="926" w:type="dxa"/>
            <w:vAlign w:val="center"/>
          </w:tcPr>
          <w:p>
            <w:pPr>
              <w:pStyle w:val="Other|1"/>
              <w:spacing w:line="240" w:lineRule="auto"/>
              <w:ind w:left="0" w:firstLine="0" w:leftChars="0" w:firstLineChars="0"/>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746.91</w:t>
            </w:r>
          </w:p>
        </w:tc>
        <w:tc>
          <w:tcPr>
            <w:tcW w:w="909" w:type="dxa"/>
            <w:vAlign w:val="center"/>
          </w:tcPr>
          <w:p>
            <w:pPr>
              <w:pStyle w:val="Other|1"/>
              <w:spacing w:line="240" w:lineRule="auto"/>
              <w:ind w:left="0" w:firstLine="0" w:leftChars="0" w:firstLineChars="0"/>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746.91</w:t>
            </w:r>
          </w:p>
        </w:tc>
        <w:tc>
          <w:tcPr>
            <w:tcW w:w="968" w:type="dxa"/>
            <w:vAlign w:val="center"/>
          </w:tcPr>
          <w:p>
            <w:pPr>
              <w:pStyle w:val="Other|1"/>
              <w:spacing w:line="240" w:lineRule="auto"/>
              <w:ind w:left="0" w:firstLine="0" w:leftChars="0" w:firstLineChars="0"/>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990" w:type="dxa"/>
            <w:vAlign w:val="center"/>
          </w:tcPr>
          <w:p>
            <w:pPr>
              <w:pStyle w:val="Other|1"/>
              <w:spacing w:line="240" w:lineRule="auto"/>
              <w:ind w:left="0" w:firstLine="0" w:leftChars="0" w:firstLineChars="0"/>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1078" w:type="dxa"/>
            <w:vAlign w:val="center"/>
          </w:tcPr>
          <w:p>
            <w:pPr>
              <w:pStyle w:val="Other|1"/>
              <w:spacing w:line="240" w:lineRule="auto"/>
              <w:ind w:firstLine="0" w:firstLineChars="0"/>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972" w:type="dxa"/>
            <w:vAlign w:val="center"/>
          </w:tcPr>
          <w:p>
            <w:pPr>
              <w:pStyle w:val="Other|1"/>
              <w:spacing w:line="240" w:lineRule="auto"/>
              <w:ind w:firstLine="0" w:firstLineChars="0"/>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919" w:type="dxa"/>
            <w:vAlign w:val="center"/>
          </w:tcPr>
          <w:p>
            <w:pPr>
              <w:spacing w:line="240" w:lineRule="auto"/>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53.82</w:t>
            </w:r>
          </w:p>
        </w:tc>
        <w:tc>
          <w:tcPr>
            <w:tcW w:w="1011" w:type="dxa"/>
            <w:vAlign w:val="center"/>
          </w:tcPr>
          <w:p>
            <w:pPr>
              <w:spacing w:line="240" w:lineRule="auto"/>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34.81</w:t>
            </w:r>
          </w:p>
        </w:tc>
        <w:tc>
          <w:tcPr>
            <w:tcW w:w="859" w:type="dxa"/>
            <w:vAlign w:val="center"/>
          </w:tcPr>
          <w:p>
            <w:pPr>
              <w:spacing w:line="240" w:lineRule="auto"/>
              <w:ind w:firstLine="0" w:firstLineChars="0"/>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19.01</w:t>
            </w:r>
          </w:p>
        </w:tc>
        <w:tc>
          <w:tcPr>
            <w:tcW w:w="1094" w:type="dxa"/>
            <w:gridSpan w:val="2"/>
            <w:vAlign w:val="center"/>
          </w:tcPr>
          <w:p>
            <w:pPr>
              <w:spacing w:line="240" w:lineRule="auto"/>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937" w:type="dxa"/>
            <w:vAlign w:val="center"/>
          </w:tcPr>
          <w:p>
            <w:pPr>
              <w:spacing w:line="240" w:lineRule="auto"/>
              <w:ind w:firstLine="0" w:firstLineChars="0"/>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989" w:type="dxa"/>
            <w:vAlign w:val="center"/>
          </w:tcPr>
          <w:p>
            <w:pPr>
              <w:spacing w:line="240" w:lineRule="auto"/>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cantSplit/>
        </w:trPr>
        <w:tc>
          <w:tcPr>
            <w:tcW w:w="15557" w:type="dxa"/>
            <w:gridSpan w:val="16"/>
            <w:tcBorders>
              <w:left w:val="nil"/>
              <w:bottom w:val="nil"/>
              <w:right w:val="nil"/>
            </w:tcBorders>
          </w:tcPr>
          <w:p>
            <w:pPr>
              <w:pStyle w:val="Tablecaption|1"/>
              <w:jc w:val="left"/>
              <w:rPr>
                <w:rFonts w:eastAsia="宋体" w:hint="eastAsia"/>
                <w:vertAlign w:val="baseline"/>
                <w:lang w:val="en-US" w:eastAsia="zh-CN"/>
              </w:rPr>
            </w:pPr>
            <w:r>
              <w:t xml:space="preserve">注：本报表金额单位转换时可能存在四舍五入尾数误差。</w:t>
            </w:r>
          </w:p>
        </w:tc>
      </w:tr>
    </w:tbl>
    <w:p>
      <w:pPr>
        <w:tabs>
          <w:tab w:val="left" w:pos="859"/>
        </w:tabs>
        <w:jc w:val="both"/>
        <w:rPr>
          <w:rFonts w:eastAsia="宋体" w:hint="eastAsia"/>
          <w:lang w:val="en-US" w:eastAsia="zh-CN"/>
        </w:rPr>
      </w:pPr>
    </w:p>
    <w:p>
      <w:pPr>
        <w:tabs>
          <w:tab w:val="left" w:pos="859"/>
        </w:tabs>
        <w:jc w:val="center"/>
        <w:rPr>
          <w:rFonts w:eastAsia="宋体" w:hint="eastAsia"/>
          <w:lang w:val="en-US" w:eastAsia="zh-CN"/>
        </w:rPr>
      </w:pPr>
    </w:p>
    <w:p>
      <w:pPr>
        <w:tabs>
          <w:tab w:val="left" w:pos="859"/>
        </w:tabs>
        <w:jc w:val="both"/>
        <w:rPr>
          <w:rFonts w:eastAsia="宋体" w:hint="eastAsia"/>
          <w:lang w:val="en-US" w:eastAsia="zh-CN"/>
        </w:rPr>
      </w:pPr>
    </w:p>
    <w:p>
      <w:pPr>
        <w:spacing w:line="1" w:lineRule="exact"/>
        <w:jc w:val="left"/>
        <w:rPr>
          <w:lang w:eastAsia="zh-CN"/>
        </w:rPr>
        <w:sectPr>
          <w:headerReference w:type="default" r:id="rId18"/>
          <w:footerReference w:type="default" r:id="rId19"/>
          <w:pgSz w:w="16840" w:h="11900" w:orient="landscape"/>
          <w:pgMar w:top="2709" w:right="764" w:bottom="2709" w:left="735" w:header="2281" w:footer="1474" w:gutter="0"/>
          <w:pgBorders>
            <w:top w:val="none" w:sz="0" w:space="0" w:color="auto"/>
            <w:left w:val="none" w:sz="0" w:space="0" w:color="auto"/>
            <w:bottom w:val="none" w:sz="0" w:space="0" w:color="auto"/>
            <w:right w:val="none" w:sz="0" w:space="0" w:color="auto"/>
          </w:pgBorders>
          <w:pgNumType w:fmt="decimal"/>
          <w:cols w:num="1" w:space="720">
            <w:col w:w="15341" w:space="720"/>
          </w:cols>
          <w:docGrid w:linePitch="360" w:charSpace="0"/>
        </w:sectPr>
      </w:pPr>
    </w:p>
    <w:p>
      <w:pPr>
        <w:pStyle w:val="Heading#2|1"/>
        <w:keepNext/>
        <w:keepLines/>
        <w:spacing w:after="240"/>
        <w:jc w:val="center"/>
      </w:pPr>
      <w:bookmarkStart w:id="19" w:name="bookmark42"/>
      <w:bookmarkStart w:id="20" w:name="bookmark41"/>
      <w:bookmarkStart w:id="21" w:name="bookmark43"/>
      <w:r>
        <w:t xml:space="preserve">支出总体情况表</w:t>
      </w:r>
      <w:bookmarkEnd w:id="19"/>
      <w:bookmarkEnd w:id="20"/>
      <w:bookmarkEnd w:id="21"/>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1843"/>
        <w:gridCol w:w="1934"/>
        <w:gridCol w:w="2390"/>
        <w:gridCol w:w="2280"/>
        <w:gridCol w:w="2299"/>
        <w:gridCol w:w="2222"/>
        <w:gridCol w:w="2371"/>
      </w:tblGrid>
      <w:tr>
        <w:tblPrEx>
          <w:tblW w:w="0" w:type="auto"/>
          <w:tblInd w:w="0" w:type="dxa"/>
          <w:tblLayout w:type="fixed"/>
          <w:tblCellMar>
            <w:top w:w="0" w:type="dxa"/>
            <w:left w:w="10" w:type="dxa"/>
            <w:bottom w:w="0" w:type="dxa"/>
            <w:right w:w="10" w:type="dxa"/>
          </w:tblCellMar>
        </w:tblPrEx>
        <w:trPr>
          <w:cantSplit/>
          <w:trHeight w:hRule="exact" w:val="346"/>
        </w:trPr>
        <w:tc>
          <w:tcPr>
            <w:tcW w:w="12968" w:type="dxa"/>
            <w:gridSpan w:val="6"/>
            <w:shd w:val="clear" w:color="auto" w:fill="FFFFFF"/>
          </w:tcPr>
          <w:p>
            <w:pPr>
              <w:pStyle w:val="Other|1"/>
              <w:spacing w:line="240" w:lineRule="auto"/>
              <w:ind w:firstLine="0"/>
              <w:jc w:val="left"/>
              <w:rPr>
                <w:sz w:val="17"/>
                <w:szCs w:val="17"/>
              </w:rPr>
            </w:pPr>
            <w:r>
              <w:rPr>
                <w:sz w:val="17"/>
                <w:szCs w:val="17"/>
              </w:rPr>
              <w:t xml:space="preserve">单位名称：</w:t>
            </w:r>
            <w:r>
              <w:rPr>
                <w:rFonts w:hint="eastAsia"/>
                <w:sz w:val="17"/>
                <w:szCs w:val="17"/>
                <w:lang w:eastAsia="zh-CN"/>
              </w:rPr>
              <w:t xml:space="preserve">中共环江毛南族自治县委员会宣传部</w:t>
            </w:r>
          </w:p>
        </w:tc>
        <w:tc>
          <w:tcPr>
            <w:tcW w:w="2371" w:type="dxa"/>
            <w:shd w:val="clear" w:color="auto" w:fill="FFFFFF"/>
          </w:tcPr>
          <w:p>
            <w:pPr>
              <w:pStyle w:val="Other|1"/>
              <w:spacing w:line="240" w:lineRule="auto"/>
              <w:ind w:firstLine="1190" w:firstLineChars="700"/>
              <w:jc w:val="left"/>
              <w:rPr>
                <w:sz w:val="17"/>
                <w:szCs w:val="17"/>
              </w:rPr>
            </w:pPr>
            <w:r>
              <w:rPr>
                <w:sz w:val="17"/>
                <w:szCs w:val="17"/>
              </w:rPr>
              <w:t xml:space="preserve">单位：万元</w:t>
            </w:r>
          </w:p>
        </w:tc>
      </w:tr>
      <w:tr>
        <w:tblPrEx>
          <w:tblW w:w="0" w:type="auto"/>
          <w:tblInd w:w="0" w:type="dxa"/>
          <w:tblLayout w:type="fixed"/>
          <w:tblCellMar>
            <w:top w:w="0" w:type="dxa"/>
            <w:left w:w="10" w:type="dxa"/>
            <w:bottom w:w="0" w:type="dxa"/>
            <w:right w:w="10" w:type="dxa"/>
          </w:tblCellMar>
        </w:tblPrEx>
        <w:trPr>
          <w:cantSplit/>
          <w:trHeight w:hRule="exact" w:val="854"/>
        </w:trPr>
        <w:tc>
          <w:tcPr>
            <w:tcW w:w="1843"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科目编码</w:t>
            </w:r>
          </w:p>
        </w:tc>
        <w:tc>
          <w:tcPr>
            <w:tcW w:w="1934"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40"/>
              <w:jc w:val="left"/>
              <w:rPr>
                <w:sz w:val="17"/>
                <w:szCs w:val="17"/>
              </w:rPr>
            </w:pPr>
            <w:r>
              <w:rPr>
                <w:sz w:val="17"/>
                <w:szCs w:val="17"/>
              </w:rPr>
              <w:t xml:space="preserve">部门（单位）代码</w:t>
            </w:r>
          </w:p>
        </w:tc>
        <w:tc>
          <w:tcPr>
            <w:tcW w:w="2390" w:type="dxa"/>
            <w:tcBorders>
              <w:top w:val="single" w:sz="4" w:space="0" w:color="auto"/>
              <w:left w:val="single" w:sz="4" w:space="0" w:color="auto"/>
              <w:bottom w:val="single" w:sz="4" w:space="0" w:color="auto"/>
            </w:tcBorders>
            <w:shd w:val="clear" w:color="auto" w:fill="FFFFFF"/>
            <w:vAlign w:val="center"/>
          </w:tcPr>
          <w:p>
            <w:pPr>
              <w:pStyle w:val="Other|1"/>
              <w:spacing w:after="120" w:line="240" w:lineRule="auto"/>
              <w:ind w:firstLine="0"/>
              <w:jc w:val="left"/>
              <w:rPr>
                <w:sz w:val="17"/>
                <w:szCs w:val="17"/>
              </w:rPr>
            </w:pPr>
            <w:r>
              <w:rPr>
                <w:sz w:val="17"/>
                <w:szCs w:val="17"/>
              </w:rPr>
              <w:t xml:space="preserve">部门（单位）名称</w:t>
            </w:r>
          </w:p>
          <w:p>
            <w:pPr>
              <w:pStyle w:val="Other|1"/>
              <w:spacing w:line="240" w:lineRule="auto"/>
              <w:ind w:firstLine="0"/>
              <w:jc w:val="left"/>
              <w:rPr>
                <w:sz w:val="17"/>
                <w:szCs w:val="17"/>
              </w:rPr>
            </w:pPr>
            <w:r>
              <w:rPr>
                <w:sz w:val="17"/>
                <w:szCs w:val="17"/>
              </w:rPr>
              <w:t xml:space="preserve">（功能分类科目名称）</w:t>
            </w:r>
          </w:p>
        </w:tc>
        <w:tc>
          <w:tcPr>
            <w:tcW w:w="228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合计</w:t>
            </w:r>
          </w:p>
        </w:tc>
        <w:tc>
          <w:tcPr>
            <w:tcW w:w="2299"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基本支出</w:t>
            </w:r>
          </w:p>
        </w:tc>
        <w:tc>
          <w:tcPr>
            <w:tcW w:w="2222"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项目支出</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结转下年支出</w:t>
            </w:r>
          </w:p>
        </w:tc>
      </w:tr>
      <w:tr>
        <w:tblPrEx>
          <w:tblW w:w="0" w:type="auto"/>
          <w:tblInd w:w="0" w:type="dxa"/>
          <w:tblLayout w:type="fixed"/>
          <w:tblCellMar>
            <w:top w:w="0" w:type="dxa"/>
            <w:left w:w="10" w:type="dxa"/>
            <w:bottom w:w="0" w:type="dxa"/>
            <w:right w:w="10" w:type="dxa"/>
          </w:tblCellMar>
        </w:tblPrEx>
        <w:trPr>
          <w:cantSplit/>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合计</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800.73</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257.91</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542.82</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cantSplit/>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214001</w:t>
            </w: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800.73</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257.91</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542.82</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cantSplit/>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2012999</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其他群众团体事务支出</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2.25</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2.25</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cantSplit/>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2013301</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行政运行</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194.37</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185.87</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8.50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cantSplit/>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2013399</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其他宣传事务支出</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494.67</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19.87</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474.80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cantSplit/>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2070199</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其他文化和旅游支出</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1.92</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1.92</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cantSplit/>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2070607</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电影</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5.70</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5.70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cantSplit/>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2070699</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其他新闻出版电影支出</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30.48</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30.48</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cantSplit/>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2079999</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其他文化旅游体育与传媒支出</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2.41</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2.41</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cantSplit/>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2080505</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机关事业单位基本养老保险缴费支出</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26.75</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26.75</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cantSplit/>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2121903</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城市建设支出</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19.01</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19.01</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cantSplit/>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2210201</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住房公积金</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23.17</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23.17</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bl>
    <w:p>
      <w:pPr>
        <w:pStyle w:val="Tablecaption|1"/>
        <w:ind w:left="672"/>
        <w:jc w:val="left"/>
      </w:pPr>
      <w:r>
        <w:t xml:space="preserve">注：本报表金额单位转换时可能存在四舍五入尾数误差。</w:t>
      </w:r>
      <w:r>
        <w:br w:type="page"/>
      </w:r>
    </w:p>
    <w:p>
      <w:pPr>
        <w:pStyle w:val="Heading#2|1"/>
        <w:keepNext/>
        <w:keepLines/>
        <w:spacing w:after="240"/>
        <w:jc w:val="center"/>
      </w:pPr>
      <w:bookmarkStart w:id="22" w:name="bookmark44"/>
      <w:bookmarkStart w:id="23" w:name="bookmark46"/>
      <w:bookmarkStart w:id="24" w:name="bookmark45"/>
      <w:r>
        <w:t xml:space="preserve">财政拨款收支总体情况表</w:t>
      </w:r>
      <w:bookmarkEnd w:id="22"/>
      <w:bookmarkEnd w:id="23"/>
      <w:bookmarkEnd w:id="24"/>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2885"/>
        <w:gridCol w:w="955"/>
        <w:gridCol w:w="3830"/>
        <w:gridCol w:w="3826"/>
        <w:gridCol w:w="3845"/>
        <w:gridCol w:w="1"/>
      </w:tblGrid>
      <w:tr>
        <w:tblPrEx>
          <w:tblW w:w="0" w:type="auto"/>
          <w:tblInd w:w="0" w:type="dxa"/>
          <w:tblLayout w:type="fixed"/>
          <w:tblCellMar>
            <w:top w:w="0" w:type="dxa"/>
            <w:left w:w="10" w:type="dxa"/>
            <w:bottom w:w="0" w:type="dxa"/>
            <w:right w:w="10" w:type="dxa"/>
          </w:tblCellMar>
        </w:tblPrEx>
        <w:trPr>
          <w:gridAfter w:val="1"/>
          <w:wAfter w:w="1" w:type="dxa"/>
          <w:cantSplit/>
          <w:trHeight w:hRule="exact" w:val="346"/>
        </w:trPr>
        <w:tc>
          <w:tcPr>
            <w:tcW w:w="11496" w:type="dxa"/>
            <w:gridSpan w:val="4"/>
            <w:shd w:val="clear" w:color="auto" w:fill="FFFFFF"/>
          </w:tcPr>
          <w:p>
            <w:pPr>
              <w:pStyle w:val="Other|1"/>
              <w:spacing w:line="240" w:lineRule="auto"/>
              <w:ind w:firstLine="0"/>
              <w:jc w:val="left"/>
              <w:rPr>
                <w:rFonts w:hint="default"/>
                <w:sz w:val="17"/>
                <w:szCs w:val="17"/>
                <w:lang w:val="en-US"/>
              </w:rPr>
            </w:pPr>
            <w:r>
              <w:rPr>
                <w:sz w:val="17"/>
                <w:szCs w:val="17"/>
              </w:rPr>
              <w:t xml:space="preserve">单位名称：</w:t>
            </w:r>
            <w:r>
              <w:rPr>
                <w:rFonts w:hint="eastAsia"/>
                <w:sz w:val="17"/>
                <w:szCs w:val="17"/>
                <w:lang w:eastAsia="zh-CN"/>
              </w:rPr>
              <w:t xml:space="preserve">中共环江毛南族自治县委员会宣传部</w:t>
            </w:r>
          </w:p>
        </w:tc>
        <w:tc>
          <w:tcPr>
            <w:tcW w:w="3845" w:type="dxa"/>
            <w:shd w:val="clear" w:color="auto" w:fill="FFFFFF"/>
          </w:tcPr>
          <w:p>
            <w:pPr>
              <w:pStyle w:val="Other|1"/>
              <w:spacing w:line="240" w:lineRule="auto"/>
              <w:jc w:val="left"/>
              <w:rPr>
                <w:sz w:val="17"/>
                <w:szCs w:val="17"/>
              </w:rPr>
            </w:pPr>
            <w:r>
              <w:rPr>
                <w:sz w:val="17"/>
                <w:szCs w:val="17"/>
              </w:rPr>
              <w:t xml:space="preserve">单位：万元</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2885" w:type="dxa"/>
            <w:tcBorders>
              <w:top w:val="single" w:sz="4" w:space="0" w:color="auto"/>
              <w:left w:val="single" w:sz="4" w:space="0" w:color="auto"/>
            </w:tcBorders>
            <w:shd w:val="clear" w:color="auto" w:fill="FFFFFF"/>
          </w:tcPr>
          <w:p>
            <w:pPr>
              <w:jc w:val="left"/>
              <w:rPr>
                <w:sz w:val="10"/>
                <w:szCs w:val="10"/>
              </w:rPr>
            </w:pPr>
          </w:p>
        </w:tc>
        <w:tc>
          <w:tcPr>
            <w:tcW w:w="955" w:type="dxa"/>
            <w:tcBorders>
              <w:top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收</w:t>
            </w:r>
          </w:p>
        </w:tc>
        <w:tc>
          <w:tcPr>
            <w:tcW w:w="3830" w:type="dxa"/>
            <w:tcBorders>
              <w:top w:val="single" w:sz="4" w:space="0" w:color="auto"/>
            </w:tcBorders>
            <w:shd w:val="clear" w:color="auto" w:fill="FFFFFF"/>
            <w:vAlign w:val="center"/>
          </w:tcPr>
          <w:p>
            <w:pPr>
              <w:pStyle w:val="Other|1"/>
              <w:spacing w:line="240" w:lineRule="auto"/>
              <w:ind w:firstLine="340"/>
              <w:jc w:val="left"/>
              <w:rPr>
                <w:sz w:val="17"/>
                <w:szCs w:val="17"/>
              </w:rPr>
            </w:pPr>
            <w:r>
              <w:rPr>
                <w:sz w:val="17"/>
                <w:szCs w:val="17"/>
              </w:rPr>
              <w:t xml:space="preserve">入</w:t>
            </w:r>
          </w:p>
        </w:tc>
        <w:tc>
          <w:tcPr>
            <w:tcW w:w="3826" w:type="dxa"/>
            <w:tcBorders>
              <w:top w:val="single" w:sz="4" w:space="0" w:color="auto"/>
              <w:left w:val="single" w:sz="4" w:space="0" w:color="auto"/>
            </w:tcBorders>
            <w:shd w:val="clear" w:color="auto" w:fill="FFFFFF"/>
            <w:vAlign w:val="center"/>
          </w:tcPr>
          <w:p>
            <w:pPr>
              <w:pStyle w:val="Other|1"/>
              <w:spacing w:line="240" w:lineRule="auto"/>
              <w:ind w:right="340" w:firstLine="2720" w:firstLineChars="1600"/>
              <w:jc w:val="left"/>
              <w:rPr>
                <w:sz w:val="17"/>
                <w:szCs w:val="17"/>
              </w:rPr>
            </w:pPr>
            <w:r>
              <w:rPr>
                <w:sz w:val="17"/>
                <w:szCs w:val="17"/>
              </w:rPr>
              <w:t xml:space="preserve">支</w:t>
            </w:r>
          </w:p>
        </w:tc>
        <w:tc>
          <w:tcPr>
            <w:tcW w:w="3845" w:type="dxa"/>
            <w:tcBorders>
              <w:top w:val="single" w:sz="4" w:space="0" w:color="auto"/>
              <w:right w:val="single" w:sz="4" w:space="0" w:color="auto"/>
            </w:tcBorders>
            <w:shd w:val="clear" w:color="auto" w:fill="FFFFFF"/>
            <w:vAlign w:val="center"/>
          </w:tcPr>
          <w:p>
            <w:pPr>
              <w:pStyle w:val="Other|1"/>
              <w:spacing w:line="240" w:lineRule="auto"/>
              <w:ind w:firstLine="935" w:firstLineChars="550"/>
              <w:jc w:val="left"/>
              <w:rPr>
                <w:sz w:val="17"/>
                <w:szCs w:val="17"/>
              </w:rPr>
            </w:pPr>
            <w:r>
              <w:rPr>
                <w:sz w:val="17"/>
                <w:szCs w:val="17"/>
              </w:rPr>
              <w:t xml:space="preserve">出</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51"/>
        </w:trPr>
        <w:tc>
          <w:tcPr>
            <w:tcW w:w="3840" w:type="dxa"/>
            <w:gridSpan w:val="2"/>
            <w:tcBorders>
              <w:top w:val="single" w:sz="4" w:space="0" w:color="auto"/>
              <w:left w:val="single" w:sz="4" w:space="0" w:color="auto"/>
            </w:tcBorders>
            <w:shd w:val="clear" w:color="auto" w:fill="FFFFFF"/>
            <w:vAlign w:val="center"/>
          </w:tcPr>
          <w:p>
            <w:pPr>
              <w:pStyle w:val="Other|1"/>
              <w:spacing w:line="240" w:lineRule="auto"/>
              <w:ind w:firstLine="0"/>
              <w:jc w:val="center"/>
              <w:rPr>
                <w:sz w:val="17"/>
                <w:szCs w:val="17"/>
              </w:rPr>
            </w:pPr>
            <w:r>
              <w:rPr>
                <w:sz w:val="17"/>
                <w:szCs w:val="17"/>
              </w:rPr>
              <w:t xml:space="preserve">项目</w:t>
            </w:r>
          </w:p>
        </w:tc>
        <w:tc>
          <w:tcPr>
            <w:tcW w:w="3830" w:type="dxa"/>
            <w:tcBorders>
              <w:top w:val="single" w:sz="4" w:space="0" w:color="auto"/>
              <w:left w:val="single" w:sz="4" w:space="0" w:color="auto"/>
            </w:tcBorders>
            <w:shd w:val="clear" w:color="auto" w:fill="FFFFFF"/>
            <w:vAlign w:val="center"/>
          </w:tcPr>
          <w:p>
            <w:pPr>
              <w:pStyle w:val="Other|1"/>
              <w:spacing w:line="240" w:lineRule="auto"/>
              <w:ind w:firstLine="0"/>
              <w:jc w:val="center"/>
              <w:rPr>
                <w:sz w:val="17"/>
                <w:szCs w:val="17"/>
              </w:rPr>
            </w:pPr>
            <w:r>
              <w:rPr>
                <w:sz w:val="17"/>
                <w:szCs w:val="17"/>
              </w:rPr>
              <w:t xml:space="preserve">预算数</w:t>
            </w:r>
          </w:p>
        </w:tc>
        <w:tc>
          <w:tcPr>
            <w:tcW w:w="3826" w:type="dxa"/>
            <w:tcBorders>
              <w:top w:val="single" w:sz="4" w:space="0" w:color="auto"/>
              <w:left w:val="single" w:sz="4" w:space="0" w:color="auto"/>
            </w:tcBorders>
            <w:shd w:val="clear" w:color="auto" w:fill="FFFFFF"/>
            <w:vAlign w:val="center"/>
          </w:tcPr>
          <w:p>
            <w:pPr>
              <w:pStyle w:val="Other|1"/>
              <w:tabs>
                <w:tab w:val="left" w:pos="1034"/>
              </w:tabs>
              <w:spacing w:line="240" w:lineRule="auto"/>
              <w:ind w:firstLine="540"/>
              <w:jc w:val="center"/>
              <w:rPr>
                <w:sz w:val="17"/>
                <w:szCs w:val="17"/>
              </w:rPr>
            </w:pPr>
            <w:r>
              <w:rPr>
                <w:sz w:val="17"/>
                <w:szCs w:val="17"/>
              </w:rPr>
              <w:t xml:space="preserve">项</w:t>
            </w:r>
            <w:r>
              <w:rPr>
                <w:sz w:val="17"/>
                <w:szCs w:val="17"/>
              </w:rPr>
              <w:tab/>
            </w:r>
            <w:r>
              <w:rPr>
                <w:sz w:val="17"/>
                <w:szCs w:val="17"/>
              </w:rPr>
              <w:t xml:space="preserve">目（按支出功能科目分类）</w:t>
            </w:r>
          </w:p>
        </w:tc>
        <w:tc>
          <w:tcPr>
            <w:tcW w:w="3845" w:type="dxa"/>
            <w:tcBorders>
              <w:top w:val="single" w:sz="4" w:space="0" w:color="auto"/>
              <w:left w:val="single" w:sz="4" w:space="0" w:color="auto"/>
              <w:right w:val="single" w:sz="4" w:space="0" w:color="auto"/>
            </w:tcBorders>
            <w:shd w:val="clear" w:color="auto" w:fill="FFFFFF"/>
            <w:vAlign w:val="center"/>
          </w:tcPr>
          <w:p>
            <w:pPr>
              <w:pStyle w:val="Other|1"/>
              <w:spacing w:line="240" w:lineRule="auto"/>
              <w:ind w:firstLine="0"/>
              <w:jc w:val="center"/>
              <w:rPr>
                <w:sz w:val="17"/>
                <w:szCs w:val="17"/>
              </w:rPr>
            </w:pPr>
            <w:r>
              <w:rPr>
                <w:sz w:val="17"/>
                <w:szCs w:val="17"/>
              </w:rPr>
              <w:t xml:space="preserve">预算数</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一、一般公共预算拨款</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746.91</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一、一般公共服务支出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691.29</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1、上级补助</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二、外交支出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2、本级</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746.91</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三、国防支出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二、政府性基金预算拨款</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四、公共安全支出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1、上级补助</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五、教育支出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2、本级</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六、科学技术支出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三、国有资本经营预算拨款</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七、文化旅游体育与传媒支出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40.51</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1、上级补助</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八、社会保障和就业支出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26.75</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2、本级</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九、卫生健康支出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十、节能环保支出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十一、城乡社区支出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19.01</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十二、农林水支出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十三、交通运输支出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十四、资源勘探工业信息等支出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十五、商业服务业等支出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十六、金融支出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十七、援助其他地区支出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十八、自然资源海洋气象等支出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十九、住房保障支出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23.17</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二十、粮油物资储备支出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二十一、国有资本经营预算支出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二十二、灾害防治及应急管理支出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二十三、其他支出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二十四、债务还本支出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二十五、债务付息支出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二十六、债务发行费用支出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本年收入合计</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746.91</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本年支出合计</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800.73</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上年结转结余</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53.82</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结转下年支出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收入总计</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800.73</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支出总计</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800.73</w:t>
            </w:r>
          </w:p>
        </w:tc>
      </w:tr>
      <w:tr>
        <w:tblPrEx>
          <w:tblW w:w="0" w:type="auto"/>
          <w:tblInd w:w="0" w:type="dxa"/>
          <w:tblLayout w:type="fixed"/>
          <w:tblCellMar>
            <w:top w:w="0" w:type="dxa"/>
            <w:left w:w="10" w:type="dxa"/>
            <w:bottom w:w="0" w:type="dxa"/>
            <w:right w:w="10" w:type="dxa"/>
          </w:tblCellMar>
        </w:tblPrEx>
        <w:trPr>
          <w:cantSplit/>
          <w:trHeight w:hRule="exact" w:val="352"/>
        </w:trPr>
        <w:tc>
          <w:tcPr>
            <w:tcW w:w="15342" w:type="dxa"/>
            <w:gridSpan w:val="6"/>
            <w:tcBorders>
              <w:top w:val="single" w:sz="4" w:space="0" w:color="auto"/>
            </w:tcBorders>
            <w:shd w:val="clear" w:color="auto" w:fill="FFFFFF"/>
          </w:tcPr>
          <w:p>
            <w:pPr>
              <w:jc w:val="left"/>
              <w:rPr>
                <w:sz w:val="10"/>
                <w:szCs w:val="10"/>
                <w:lang w:eastAsia="zh-CN"/>
              </w:rPr>
            </w:pPr>
            <w:r>
              <w:rPr>
                <w:sz w:val="17"/>
                <w:szCs w:val="17"/>
              </w:rPr>
              <w:t xml:space="preserve">注：表中功能分类科目，根据各部门实际预算编制情况编列。</w:t>
            </w:r>
          </w:p>
        </w:tc>
      </w:tr>
      <w:tr>
        <w:tblPrEx>
          <w:tblW w:w="0" w:type="auto"/>
          <w:tblInd w:w="0" w:type="dxa"/>
          <w:tblLayout w:type="fixed"/>
          <w:tblCellMar>
            <w:top w:w="0" w:type="dxa"/>
            <w:left w:w="10" w:type="dxa"/>
            <w:bottom w:w="0" w:type="dxa"/>
            <w:right w:w="10" w:type="dxa"/>
          </w:tblCellMar>
        </w:tblPrEx>
        <w:trPr>
          <w:cantSplit/>
          <w:trHeight w:hRule="exact" w:val="274"/>
        </w:trPr>
        <w:tc>
          <w:tcPr>
            <w:tcW w:w="15342" w:type="dxa"/>
            <w:gridSpan w:val="6"/>
            <w:shd w:val="clear" w:color="auto" w:fill="FFFFFF"/>
            <w:vAlign w:val="bottom"/>
          </w:tcPr>
          <w:p>
            <w:pPr>
              <w:jc w:val="left"/>
              <w:rPr>
                <w:sz w:val="10"/>
                <w:szCs w:val="10"/>
                <w:lang w:eastAsia="zh-CN"/>
              </w:rPr>
            </w:pPr>
            <w:r>
              <w:rPr>
                <w:sz w:val="17"/>
                <w:szCs w:val="17"/>
              </w:rPr>
              <w:t xml:space="preserve">报表金额单位转换时可能存在四舍五入尾数误差。</w:t>
            </w:r>
          </w:p>
        </w:tc>
      </w:tr>
    </w:tbl>
    <w:p>
      <w:pPr>
        <w:jc w:val="left"/>
        <w:rPr>
          <w:lang w:eastAsia="zh-CN"/>
        </w:rPr>
      </w:pPr>
      <w:r>
        <w:br w:type="page"/>
      </w:r>
    </w:p>
    <w:p>
      <w:pPr>
        <w:jc w:val="center"/>
        <w:rPr>
          <w:rFonts w:hint="eastAsia"/>
          <w:lang w:eastAsia="zh-CN"/>
        </w:rPr>
      </w:pPr>
      <w:r>
        <w:rPr>
          <w:rFonts w:hint="eastAsia"/>
          <w:lang w:eastAsia="zh-CN"/>
        </w:rPr>
        <w:t xml:space="preserve">一般公共预算支出情况表</w:t>
      </w:r>
    </w:p>
    <w:p>
      <w:pPr>
        <w:jc w:val="center"/>
        <w:rPr>
          <w:rFonts w:hint="eastAsia"/>
          <w:lang w:eastAsia="zh-CN"/>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1715"/>
        <w:gridCol w:w="1676"/>
        <w:gridCol w:w="1662"/>
        <w:gridCol w:w="1717"/>
        <w:gridCol w:w="1879"/>
        <w:gridCol w:w="1729"/>
        <w:gridCol w:w="1718"/>
        <w:gridCol w:w="72"/>
        <w:gridCol w:w="1694"/>
        <w:gridCol w:w="1695"/>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2096" w:type="dxa"/>
            <w:gridSpan w:val="7"/>
            <w:tcBorders>
              <w:top w:val="nil"/>
              <w:left w:val="nil"/>
              <w:right w:val="nil"/>
            </w:tcBorders>
          </w:tcPr>
          <w:p>
            <w:pPr>
              <w:jc w:val="left"/>
              <w:rPr>
                <w:rFonts w:hint="eastAsia"/>
                <w:vertAlign w:val="baseline"/>
                <w:lang w:eastAsia="zh-CN"/>
              </w:rPr>
            </w:pPr>
            <w:r>
              <w:rPr>
                <w:rFonts w:ascii="宋体" w:eastAsia="宋体" w:hAnsi="宋体" w:cs="宋体" w:hint="eastAsia"/>
                <w:sz w:val="16"/>
                <w:szCs w:val="16"/>
                <w:vertAlign w:val="baseline"/>
                <w:lang w:eastAsia="zh-CN"/>
              </w:rPr>
              <w:t xml:space="preserve">单位名称：</w:t>
            </w:r>
            <w:r>
              <w:rPr>
                <w:rFonts w:ascii="宋体" w:eastAsia="宋体" w:hAnsi="宋体" w:cs="宋体"/>
                <w:sz w:val="16"/>
                <w:u w:color="auto"/>
              </w:rPr>
              <w:t xml:space="preserve">中共环江毛南族自治县委员会宣传部</w:t>
            </w:r>
          </w:p>
        </w:tc>
        <w:tc>
          <w:tcPr>
            <w:tcW w:w="3461" w:type="dxa"/>
            <w:gridSpan w:val="3"/>
            <w:tcBorders>
              <w:top w:val="nil"/>
              <w:left w:val="nil"/>
              <w:right w:val="nil"/>
            </w:tcBorders>
          </w:tcPr>
          <w:p>
            <w:pPr>
              <w:ind w:firstLine="1760" w:firstLineChars="1100"/>
              <w:jc w:val="left"/>
              <w:rPr>
                <w:rFonts w:hint="eastAsia"/>
                <w:vertAlign w:val="baseline"/>
                <w:lang w:eastAsia="zh-CN"/>
              </w:rPr>
            </w:pPr>
            <w:r>
              <w:rPr>
                <w:rFonts w:ascii="宋体" w:eastAsia="宋体" w:hAnsi="宋体" w:cs="宋体" w:hint="eastAsia"/>
                <w:sz w:val="16"/>
                <w:szCs w:val="16"/>
                <w:vertAlign w:val="baseline"/>
                <w:lang w:eastAsia="zh-CN"/>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715" w:type="dxa"/>
            <w:vMerge w:val="restart"/>
          </w:tcPr>
          <w:p>
            <w:pPr>
              <w:jc w:val="center"/>
              <w:rPr>
                <w:rFonts w:hint="eastAsia"/>
                <w:vertAlign w:val="baseline"/>
                <w:lang w:eastAsia="zh-CN"/>
              </w:rPr>
            </w:pPr>
            <w:r>
              <w:rPr>
                <w:sz w:val="17"/>
                <w:szCs w:val="17"/>
              </w:rPr>
              <w:t xml:space="preserve">科目编码</w:t>
            </w:r>
          </w:p>
        </w:tc>
        <w:tc>
          <w:tcPr>
            <w:tcW w:w="1676" w:type="dxa"/>
            <w:vMerge w:val="restart"/>
          </w:tcPr>
          <w:p>
            <w:pPr>
              <w:jc w:val="center"/>
              <w:rPr>
                <w:rFonts w:hint="eastAsia"/>
                <w:vertAlign w:val="baseline"/>
                <w:lang w:eastAsia="zh-CN"/>
              </w:rPr>
            </w:pPr>
            <w:r>
              <w:rPr>
                <w:sz w:val="17"/>
                <w:szCs w:val="17"/>
              </w:rPr>
              <w:t xml:space="preserve">部门（单位）代码</w:t>
            </w:r>
          </w:p>
        </w:tc>
        <w:tc>
          <w:tcPr>
            <w:tcW w:w="1662" w:type="dxa"/>
            <w:vMerge w:val="restart"/>
          </w:tcPr>
          <w:p>
            <w:pPr>
              <w:pStyle w:val="Other|1"/>
              <w:spacing w:after="120" w:line="240" w:lineRule="auto"/>
              <w:ind w:firstLine="0"/>
              <w:jc w:val="center"/>
              <w:rPr>
                <w:sz w:val="17"/>
                <w:szCs w:val="17"/>
              </w:rPr>
            </w:pPr>
            <w:r>
              <w:rPr>
                <w:sz w:val="17"/>
                <w:szCs w:val="17"/>
              </w:rPr>
              <w:t xml:space="preserve">部门（单位）名称</w:t>
            </w:r>
          </w:p>
          <w:p>
            <w:pPr>
              <w:jc w:val="center"/>
              <w:rPr>
                <w:rFonts w:hint="eastAsia"/>
                <w:vertAlign w:val="baseline"/>
                <w:lang w:eastAsia="zh-CN"/>
              </w:rPr>
            </w:pPr>
            <w:r>
              <w:rPr>
                <w:sz w:val="17"/>
                <w:szCs w:val="17"/>
              </w:rPr>
              <w:t xml:space="preserve">（功能分类科目名称）</w:t>
            </w:r>
          </w:p>
        </w:tc>
        <w:tc>
          <w:tcPr>
            <w:tcW w:w="1717" w:type="dxa"/>
            <w:vMerge w:val="restart"/>
          </w:tcPr>
          <w:p>
            <w:pPr>
              <w:jc w:val="center"/>
              <w:rPr>
                <w:rFonts w:hint="eastAsia"/>
                <w:vertAlign w:val="baseline"/>
                <w:lang w:eastAsia="zh-CN"/>
              </w:rPr>
            </w:pPr>
            <w:r>
              <w:rPr>
                <w:sz w:val="17"/>
                <w:szCs w:val="17"/>
              </w:rPr>
              <w:t xml:space="preserve">合计</w:t>
            </w:r>
          </w:p>
        </w:tc>
        <w:tc>
          <w:tcPr>
            <w:tcW w:w="5398" w:type="dxa"/>
            <w:gridSpan w:val="4"/>
          </w:tcPr>
          <w:p>
            <w:pPr>
              <w:jc w:val="center"/>
              <w:rPr>
                <w:rFonts w:hint="eastAsia"/>
                <w:vertAlign w:val="baseline"/>
                <w:lang w:eastAsia="zh-CN"/>
              </w:rPr>
            </w:pPr>
            <w:r>
              <w:rPr>
                <w:sz w:val="17"/>
                <w:szCs w:val="17"/>
              </w:rPr>
              <w:t xml:space="preserve">基本支出</w:t>
            </w:r>
          </w:p>
        </w:tc>
        <w:tc>
          <w:tcPr>
            <w:tcW w:w="1694" w:type="dxa"/>
            <w:vMerge w:val="restart"/>
          </w:tcPr>
          <w:p>
            <w:pPr>
              <w:jc w:val="center"/>
              <w:rPr>
                <w:rFonts w:hint="eastAsia"/>
                <w:vertAlign w:val="baseline"/>
                <w:lang w:eastAsia="zh-CN"/>
              </w:rPr>
            </w:pPr>
            <w:r>
              <w:rPr>
                <w:sz w:val="17"/>
                <w:szCs w:val="17"/>
              </w:rPr>
              <w:t xml:space="preserve">项目支出</w:t>
            </w:r>
          </w:p>
        </w:tc>
        <w:tc>
          <w:tcPr>
            <w:tcW w:w="1695" w:type="dxa"/>
            <w:vMerge w:val="restart"/>
          </w:tcPr>
          <w:p>
            <w:pPr>
              <w:jc w:val="center"/>
              <w:rPr>
                <w:rFonts w:hint="eastAsia"/>
                <w:vertAlign w:val="baseline"/>
                <w:lang w:eastAsia="zh-CN"/>
              </w:rPr>
            </w:pPr>
            <w:r>
              <w:rPr>
                <w:sz w:val="17"/>
                <w:szCs w:val="17"/>
              </w:rPr>
              <w:t xml:space="preserve">结转下年支出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715" w:type="dxa"/>
            <w:vMerge/>
          </w:tcPr>
          <w:p>
            <w:pPr>
              <w:jc w:val="center"/>
              <w:rPr>
                <w:rFonts w:hint="eastAsia"/>
                <w:vertAlign w:val="baseline"/>
                <w:lang w:eastAsia="zh-CN"/>
              </w:rPr>
            </w:pPr>
          </w:p>
        </w:tc>
        <w:tc>
          <w:tcPr>
            <w:tcW w:w="1676" w:type="dxa"/>
            <w:vMerge/>
          </w:tcPr>
          <w:p>
            <w:pPr>
              <w:jc w:val="center"/>
              <w:rPr>
                <w:rFonts w:hint="eastAsia"/>
                <w:vertAlign w:val="baseline"/>
                <w:lang w:eastAsia="zh-CN"/>
              </w:rPr>
            </w:pPr>
          </w:p>
        </w:tc>
        <w:tc>
          <w:tcPr>
            <w:tcW w:w="1662" w:type="dxa"/>
            <w:vMerge/>
          </w:tcPr>
          <w:p>
            <w:pPr>
              <w:jc w:val="center"/>
              <w:rPr>
                <w:rFonts w:hint="eastAsia"/>
                <w:vertAlign w:val="baseline"/>
                <w:lang w:eastAsia="zh-CN"/>
              </w:rPr>
            </w:pPr>
          </w:p>
        </w:tc>
        <w:tc>
          <w:tcPr>
            <w:tcW w:w="1717" w:type="dxa"/>
            <w:vMerge/>
          </w:tcPr>
          <w:p>
            <w:pPr>
              <w:jc w:val="center"/>
              <w:rPr>
                <w:rFonts w:hint="eastAsia"/>
                <w:vertAlign w:val="baseline"/>
                <w:lang w:eastAsia="zh-CN"/>
              </w:rPr>
            </w:pPr>
          </w:p>
        </w:tc>
        <w:tc>
          <w:tcPr>
            <w:tcW w:w="1879" w:type="dxa"/>
            <w:vAlign w:val="center"/>
          </w:tcPr>
          <w:p>
            <w:pPr>
              <w:pStyle w:val="Other|1"/>
              <w:spacing w:line="240" w:lineRule="auto"/>
              <w:ind w:firstLine="0" w:firstLineChars="0"/>
              <w:jc w:val="center"/>
              <w:rPr>
                <w:rFonts w:hint="eastAsia"/>
                <w:vertAlign w:val="baseline"/>
                <w:lang w:eastAsia="zh-CN"/>
              </w:rPr>
            </w:pPr>
            <w:r>
              <w:rPr>
                <w:sz w:val="17"/>
                <w:szCs w:val="17"/>
              </w:rPr>
              <w:t xml:space="preserve">小计</w:t>
            </w:r>
          </w:p>
        </w:tc>
        <w:tc>
          <w:tcPr>
            <w:tcW w:w="1729" w:type="dxa"/>
            <w:vAlign w:val="center"/>
          </w:tcPr>
          <w:p>
            <w:pPr>
              <w:pStyle w:val="Other|1"/>
              <w:spacing w:line="240" w:lineRule="auto"/>
              <w:ind w:firstLine="0" w:firstLineChars="0"/>
              <w:jc w:val="center"/>
              <w:rPr>
                <w:rFonts w:hint="eastAsia"/>
                <w:vertAlign w:val="baseline"/>
                <w:lang w:eastAsia="zh-CN"/>
              </w:rPr>
            </w:pPr>
            <w:r>
              <w:rPr>
                <w:sz w:val="17"/>
                <w:szCs w:val="17"/>
              </w:rPr>
              <w:t xml:space="preserve">人员经费</w:t>
            </w:r>
          </w:p>
        </w:tc>
        <w:tc>
          <w:tcPr>
            <w:tcW w:w="1790" w:type="dxa"/>
            <w:gridSpan w:val="2"/>
            <w:vAlign w:val="center"/>
          </w:tcPr>
          <w:p>
            <w:pPr>
              <w:pStyle w:val="Other|1"/>
              <w:spacing w:line="240" w:lineRule="auto"/>
              <w:ind w:firstLine="440" w:firstLineChars="0"/>
              <w:jc w:val="center"/>
              <w:rPr>
                <w:rFonts w:hint="eastAsia"/>
                <w:vertAlign w:val="baseline"/>
                <w:lang w:eastAsia="zh-CN"/>
              </w:rPr>
            </w:pPr>
            <w:r>
              <w:rPr>
                <w:sz w:val="17"/>
                <w:szCs w:val="17"/>
              </w:rPr>
              <w:t xml:space="preserve">公用经费</w:t>
            </w:r>
          </w:p>
        </w:tc>
        <w:tc>
          <w:tcPr>
            <w:tcW w:w="1694" w:type="dxa"/>
            <w:vMerge/>
          </w:tcPr>
          <w:p>
            <w:pPr>
              <w:jc w:val="center"/>
              <w:rPr>
                <w:rFonts w:hint="eastAsia"/>
                <w:vertAlign w:val="baseline"/>
                <w:lang w:eastAsia="zh-CN"/>
              </w:rPr>
            </w:pPr>
          </w:p>
        </w:tc>
        <w:tc>
          <w:tcPr>
            <w:tcW w:w="1695" w:type="dxa"/>
            <w:vMerge/>
          </w:tcPr>
          <w:p>
            <w:pPr>
              <w:jc w:val="center"/>
              <w:rPr>
                <w:rFonts w:hint="eastAsia"/>
                <w:vertAlign w:val="baseline"/>
                <w:lang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715" w:type="dxa"/>
            <w:vAlign w:val="center"/>
          </w:tcPr>
          <w:p>
            <w:pPr>
              <w:jc w:val="center"/>
              <w:rPr>
                <w:rFonts w:hint="eastAsia"/>
                <w:vertAlign w:val="baseline"/>
                <w:lang w:eastAsia="zh-CN"/>
              </w:rPr>
            </w:pPr>
          </w:p>
        </w:tc>
        <w:tc>
          <w:tcPr>
            <w:tcW w:w="1676" w:type="dxa"/>
            <w:vAlign w:val="center"/>
          </w:tcPr>
          <w:p>
            <w:pPr>
              <w:jc w:val="center"/>
              <w:rPr>
                <w:rFonts w:hint="eastAsia"/>
                <w:vertAlign w:val="baseline"/>
                <w:lang w:eastAsia="zh-CN"/>
              </w:rPr>
            </w:pPr>
          </w:p>
        </w:tc>
        <w:tc>
          <w:tcPr>
            <w:tcW w:w="1662" w:type="dxa"/>
            <w:vAlign w:val="center"/>
          </w:tcPr>
          <w:p>
            <w:pPr>
              <w:jc w:val="center"/>
              <w:rPr>
                <w:rFonts w:hint="eastAsia"/>
                <w:vertAlign w:val="baseline"/>
                <w:lang w:eastAsia="zh-CN"/>
              </w:rPr>
            </w:pPr>
          </w:p>
        </w:tc>
        <w:tc>
          <w:tcPr>
            <w:tcW w:w="1717" w:type="dxa"/>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1</w:t>
            </w:r>
          </w:p>
        </w:tc>
        <w:tc>
          <w:tcPr>
            <w:tcW w:w="1879" w:type="dxa"/>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2</w:t>
            </w:r>
          </w:p>
        </w:tc>
        <w:tc>
          <w:tcPr>
            <w:tcW w:w="1729" w:type="dxa"/>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3</w:t>
            </w:r>
          </w:p>
        </w:tc>
        <w:tc>
          <w:tcPr>
            <w:tcW w:w="1790" w:type="dxa"/>
            <w:gridSpan w:val="2"/>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4</w:t>
            </w:r>
          </w:p>
        </w:tc>
        <w:tc>
          <w:tcPr>
            <w:tcW w:w="1694" w:type="dxa"/>
            <w:vAlign w:val="center"/>
          </w:tcPr>
          <w:p>
            <w:pPr>
              <w:pStyle w:val="Other|1"/>
              <w:spacing w:line="240" w:lineRule="auto"/>
              <w:ind w:firstLine="660" w:firstLineChars="0"/>
              <w:jc w:val="center"/>
              <w:rPr>
                <w:rFonts w:hint="eastAsia"/>
                <w:vertAlign w:val="baseline"/>
                <w:lang w:eastAsia="zh-CN"/>
              </w:rPr>
            </w:pPr>
            <w:r>
              <w:rPr>
                <w:rFonts w:ascii="Times New Roman" w:eastAsia="Times New Roman" w:hAnsi="Times New Roman" w:cs="Times New Roman"/>
                <w:b/>
                <w:bCs/>
                <w:sz w:val="17"/>
                <w:szCs w:val="17"/>
              </w:rPr>
              <w:t xml:space="preserve">5</w:t>
            </w:r>
          </w:p>
        </w:tc>
        <w:tc>
          <w:tcPr>
            <w:tcW w:w="1695" w:type="dxa"/>
            <w:vAlign w:val="center"/>
          </w:tcPr>
          <w:p>
            <w:pPr>
              <w:pStyle w:val="Other|1"/>
              <w:spacing w:line="240" w:lineRule="auto"/>
              <w:ind w:right="700" w:firstLine="0" w:rightChars="0" w:firstLineChars="0"/>
              <w:jc w:val="center"/>
              <w:rPr>
                <w:rFonts w:hint="eastAsia"/>
                <w:vertAlign w:val="baseline"/>
                <w:lang w:eastAsia="zh-CN"/>
              </w:rPr>
            </w:pPr>
            <w:r>
              <w:rPr>
                <w:rFonts w:ascii="Times New Roman" w:eastAsia="Times New Roman" w:hAnsi="Times New Roman" w:cs="Times New Roman"/>
                <w:b/>
                <w:bCs/>
                <w:sz w:val="17"/>
                <w:szCs w:val="17"/>
              </w:rPr>
              <w:t xml:space="preserve">6</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715" w:type="dxa"/>
            <w:vAlign w:val="center"/>
          </w:tcPr>
          <w:p>
            <w:pPr>
              <w:pStyle w:val="Other|1"/>
              <w:spacing w:line="240" w:lineRule="auto"/>
              <w:ind w:firstLine="0" w:firstLineChars="0"/>
              <w:jc w:val="center"/>
              <w:rPr>
                <w:rFonts w:hint="eastAsia"/>
                <w:vertAlign w:val="baseline"/>
                <w:lang w:eastAsia="zh-CN"/>
              </w:rPr>
            </w:pPr>
          </w:p>
        </w:tc>
        <w:tc>
          <w:tcPr>
            <w:tcW w:w="1676"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214001</w:t>
            </w:r>
          </w:p>
        </w:tc>
        <w:tc>
          <w:tcPr>
            <w:tcW w:w="1662" w:type="dxa"/>
            <w:vAlign w:val="center"/>
          </w:tcPr>
          <w:p>
            <w:pPr>
              <w:pStyle w:val="Other|1"/>
              <w:spacing w:line="240" w:lineRule="auto"/>
              <w:ind w:firstLine="0" w:firstLineChars="0"/>
              <w:jc w:val="center"/>
              <w:rPr>
                <w:rFonts w:hint="eastAsia"/>
                <w:vertAlign w:val="baseline"/>
                <w:lang w:eastAsia="zh-CN"/>
              </w:rPr>
            </w:pP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781.72</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257.91</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239.88</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18.03</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523.81</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2012999</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其他群众团体事务支出</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2.25</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2.25</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2.25</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2013301</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行政运行</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194.37</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185.87</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170.09</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15.78</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8.50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2013399</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其他宣传事务支出</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494.67</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19.87</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19.87</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474.80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2070199</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其他文化和旅游支出</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1.92</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1.92</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2070607</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电影</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5.70</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5.70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2070699</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其他新闻出版电影支出</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30.48</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30.48</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2079999</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其他文化旅游体育与传媒支出</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2.41</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2.41</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2080505</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机关事业单位基本养老保险缴费支出</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26.75</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26.75</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26.75</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2210201</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住房公积金</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23.17</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23.17</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23.17</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5557" w:type="dxa"/>
            <w:gridSpan w:val="10"/>
            <w:tcBorders>
              <w:left w:val="nil"/>
              <w:bottom w:val="nil"/>
              <w:right w:val="nil"/>
            </w:tcBorders>
          </w:tcPr>
          <w:p>
            <w:pPr>
              <w:jc w:val="left"/>
              <w:rPr>
                <w:rFonts w:hint="eastAsia"/>
                <w:vertAlign w:val="baseline"/>
                <w:lang w:eastAsia="zh-CN"/>
              </w:rPr>
            </w:pPr>
            <w:r>
              <w:rPr>
                <w:sz w:val="16"/>
                <w:szCs w:val="16"/>
              </w:rPr>
              <w:t xml:space="preserve">注：本报表金额单位转换时可能存在四舍五入尾数误差。</w:t>
            </w:r>
          </w:p>
        </w:tc>
      </w:tr>
    </w:tbl>
    <w:p>
      <w:pPr>
        <w:jc w:val="left"/>
        <w:rPr>
          <w:rFonts w:hint="eastAsia"/>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pStyle w:val="Heading#2|1"/>
        <w:keepNext/>
        <w:keepLines/>
        <w:spacing w:after="240"/>
        <w:jc w:val="center"/>
      </w:pPr>
      <w:bookmarkStart w:id="25" w:name="bookmark56"/>
      <w:bookmarkStart w:id="26" w:name="bookmark57"/>
      <w:bookmarkStart w:id="27" w:name="bookmark58"/>
      <w:r>
        <w:t xml:space="preserve">一般公共预算基本支出情况表</w:t>
      </w:r>
      <w:bookmarkEnd w:id="25"/>
      <w:bookmarkEnd w:id="26"/>
      <w:bookmarkEnd w:id="27"/>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3110"/>
        <w:gridCol w:w="3111"/>
        <w:gridCol w:w="3111"/>
        <w:gridCol w:w="3112"/>
        <w:gridCol w:w="3113"/>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blHeader/>
        </w:trPr>
        <w:tc>
          <w:tcPr>
            <w:tcW w:w="12444" w:type="dxa"/>
            <w:gridSpan w:val="4"/>
            <w:tcBorders>
              <w:top w:val="nil"/>
              <w:left w:val="nil"/>
              <w:right w:val="nil"/>
            </w:tcBorders>
          </w:tcPr>
          <w:p>
            <w:pPr>
              <w:jc w:val="left"/>
              <w:rPr>
                <w:rFonts w:ascii="宋体" w:eastAsia="宋体" w:hAnsi="宋体" w:cs="宋体" w:hint="eastAsia"/>
                <w:sz w:val="16"/>
                <w:szCs w:val="16"/>
                <w:vertAlign w:val="baseline"/>
                <w:lang w:eastAsia="zh-CN"/>
              </w:rPr>
            </w:pPr>
            <w:bookmarkStart w:id="28" w:name="_GoBack"/>
            <w:r>
              <w:rPr>
                <w:rFonts w:ascii="宋体" w:eastAsia="宋体" w:hAnsi="宋体" w:cs="宋体" w:hint="eastAsia"/>
                <w:sz w:val="16"/>
                <w:szCs w:val="16"/>
                <w:vertAlign w:val="baseline"/>
                <w:lang w:eastAsia="zh-CN"/>
              </w:rPr>
              <w:t xml:space="preserve">单位名称：</w:t>
            </w:r>
            <w:r>
              <w:rPr>
                <w:rFonts w:ascii="宋体" w:eastAsia="宋体" w:hAnsi="宋体" w:cs="宋体"/>
                <w:sz w:val="16"/>
                <w:u w:color="auto"/>
              </w:rPr>
              <w:t xml:space="preserve">中共环江毛南族自治县委员会宣传部</w:t>
            </w:r>
          </w:p>
        </w:tc>
        <w:tc>
          <w:tcPr>
            <w:tcW w:w="3113" w:type="dxa"/>
            <w:tcBorders>
              <w:top w:val="nil"/>
              <w:left w:val="nil"/>
              <w:right w:val="nil"/>
            </w:tcBorders>
          </w:tcPr>
          <w:p>
            <w:pPr>
              <w:ind w:firstLine="1760" w:firstLineChars="1100"/>
              <w:jc w:val="left"/>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435"/>
          <w:tblHeader/>
        </w:trPr>
        <w:tc>
          <w:tcPr>
            <w:tcW w:w="6221" w:type="dxa"/>
            <w:gridSpan w:val="2"/>
          </w:tcPr>
          <w:p>
            <w:pPr>
              <w:jc w:val="left"/>
              <w:rPr>
                <w:vertAlign w:val="baseline"/>
                <w:lang w:eastAsia="zh-CN"/>
              </w:rPr>
            </w:pPr>
            <w:r>
              <w:rPr>
                <w:sz w:val="17"/>
                <w:szCs w:val="17"/>
              </w:rPr>
              <w:t xml:space="preserve">部门预算支出经济分类科目</w:t>
            </w:r>
          </w:p>
        </w:tc>
        <w:tc>
          <w:tcPr>
            <w:tcW w:w="9336" w:type="dxa"/>
            <w:gridSpan w:val="3"/>
          </w:tcPr>
          <w:p>
            <w:pPr>
              <w:jc w:val="left"/>
              <w:rPr>
                <w:vertAlign w:val="baseline"/>
                <w:lang w:eastAsia="zh-CN"/>
              </w:rPr>
            </w:pPr>
            <w:r>
              <w:rPr>
                <w:sz w:val="17"/>
                <w:szCs w:val="17"/>
              </w:rPr>
              <w:t xml:space="preserve">本年一般公共预算基本支出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420"/>
          <w:tblHeader/>
        </w:trPr>
        <w:tc>
          <w:tcPr>
            <w:tcW w:w="3110" w:type="dxa"/>
            <w:vAlign w:val="center"/>
          </w:tcPr>
          <w:p>
            <w:pPr>
              <w:pStyle w:val="Other|1"/>
              <w:spacing w:line="240" w:lineRule="auto"/>
              <w:ind w:firstLine="0" w:firstLineChars="0"/>
              <w:jc w:val="center"/>
              <w:rPr>
                <w:vertAlign w:val="baseline"/>
                <w:lang w:eastAsia="zh-CN"/>
              </w:rPr>
            </w:pPr>
            <w:r>
              <w:rPr>
                <w:sz w:val="17"/>
                <w:szCs w:val="17"/>
              </w:rPr>
              <w:t xml:space="preserve">科目编码</w:t>
            </w:r>
          </w:p>
        </w:tc>
        <w:tc>
          <w:tcPr>
            <w:tcW w:w="3111" w:type="dxa"/>
            <w:vAlign w:val="center"/>
          </w:tcPr>
          <w:p>
            <w:pPr>
              <w:pStyle w:val="Other|1"/>
              <w:spacing w:line="240" w:lineRule="auto"/>
              <w:ind w:firstLine="0" w:firstLineChars="0"/>
              <w:jc w:val="center"/>
              <w:rPr>
                <w:vertAlign w:val="baseline"/>
                <w:lang w:eastAsia="zh-CN"/>
              </w:rPr>
            </w:pPr>
            <w:r>
              <w:rPr>
                <w:sz w:val="17"/>
                <w:szCs w:val="17"/>
              </w:rPr>
              <w:t xml:space="preserve">科目名称</w:t>
            </w:r>
          </w:p>
        </w:tc>
        <w:tc>
          <w:tcPr>
            <w:tcW w:w="3111" w:type="dxa"/>
            <w:vAlign w:val="center"/>
          </w:tcPr>
          <w:p>
            <w:pPr>
              <w:pStyle w:val="Other|1"/>
              <w:spacing w:line="240" w:lineRule="auto"/>
              <w:ind w:firstLine="0" w:firstLineChars="0"/>
              <w:jc w:val="center"/>
              <w:rPr>
                <w:vertAlign w:val="baseline"/>
                <w:lang w:eastAsia="zh-CN"/>
              </w:rPr>
            </w:pPr>
            <w:r>
              <w:rPr>
                <w:sz w:val="17"/>
                <w:szCs w:val="17"/>
              </w:rPr>
              <w:t xml:space="preserve">合计</w:t>
            </w:r>
          </w:p>
        </w:tc>
        <w:tc>
          <w:tcPr>
            <w:tcW w:w="3112" w:type="dxa"/>
            <w:vAlign w:val="center"/>
          </w:tcPr>
          <w:p>
            <w:pPr>
              <w:pStyle w:val="Other|1"/>
              <w:spacing w:line="240" w:lineRule="auto"/>
              <w:ind w:firstLine="0" w:firstLineChars="0"/>
              <w:jc w:val="center"/>
              <w:rPr>
                <w:vertAlign w:val="baseline"/>
                <w:lang w:eastAsia="zh-CN"/>
              </w:rPr>
            </w:pPr>
            <w:r>
              <w:rPr>
                <w:sz w:val="17"/>
                <w:szCs w:val="17"/>
              </w:rPr>
              <w:t xml:space="preserve">人员经费</w:t>
            </w:r>
          </w:p>
        </w:tc>
        <w:tc>
          <w:tcPr>
            <w:tcW w:w="3113" w:type="dxa"/>
            <w:vAlign w:val="center"/>
          </w:tcPr>
          <w:p>
            <w:pPr>
              <w:pStyle w:val="Other|1"/>
              <w:spacing w:line="240" w:lineRule="auto"/>
              <w:ind w:firstLine="0" w:firstLineChars="0"/>
              <w:jc w:val="center"/>
              <w:rPr>
                <w:vertAlign w:val="baseline"/>
                <w:lang w:eastAsia="zh-CN"/>
              </w:rPr>
            </w:pPr>
            <w:r>
              <w:rPr>
                <w:sz w:val="17"/>
                <w:szCs w:val="17"/>
              </w:rPr>
              <w:t xml:space="preserve">公用经费</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vertAlign w:val="baseline"/>
                <w:lang w:eastAsia="zh-CN"/>
              </w:rPr>
            </w:pP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合计</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257.91</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239.88</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18.03</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工资福利支出</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239.88</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239.88</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30101</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基本工资</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68.04</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68.04</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30102</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津贴补贴</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27.19</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27.19</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30103</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奖金</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49.42</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49.42</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30107</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绩效工资</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13.82</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13.82</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30108</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机关事业单位基本养老保险缴费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26.75</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26.75</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30110</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职工基本医疗保险缴费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10.70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10.70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30112</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其他社会保障缴费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0.92</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0.92</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30113</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住房公积金</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23.17</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23.17</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30199</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其他工资福利支出</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19.87</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19.87</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商品和服务支出</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18.03</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18.03</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30201</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办公费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30205</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水费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0.38</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0.38</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30206</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电费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2.10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2.10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30207</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邮电费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4.30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4.30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30211</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差旅费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30215</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会议费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30216</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培训费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30217</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公务接待费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30227</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委托业务费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30228</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工会经费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2.25</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2.25</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30239</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其他交通费用</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9.00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9.00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30299</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其他商品和服务支出</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312</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对企业补助</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31299</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其他对企业补助</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399</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其他支出</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39999</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其他支出</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432"/>
          <w:tblHeader/>
        </w:trPr>
        <w:tc>
          <w:tcPr>
            <w:tcW w:w="15557" w:type="dxa"/>
            <w:gridSpan w:val="5"/>
            <w:tcBorders>
              <w:left w:val="nil"/>
              <w:bottom w:val="nil"/>
              <w:right w:val="nil"/>
            </w:tcBorders>
          </w:tcPr>
          <w:p>
            <w:pPr>
              <w:jc w:val="left"/>
              <w:rPr>
                <w:sz w:val="16"/>
                <w:szCs w:val="16"/>
              </w:rPr>
            </w:pPr>
          </w:p>
          <w:p>
            <w:pPr>
              <w:jc w:val="left"/>
              <w:rPr>
                <w:vertAlign w:val="baseline"/>
                <w:lang w:eastAsia="zh-CN"/>
              </w:rPr>
            </w:pPr>
            <w:r>
              <w:rPr>
                <w:sz w:val="16"/>
                <w:szCs w:val="16"/>
              </w:rPr>
              <w:t xml:space="preserve">注：本报表金额单位转换时可能存在四舍五入尾数误差。</w:t>
            </w:r>
            <w:bookmarkEnd w:id="28"/>
          </w:p>
        </w:tc>
      </w:tr>
    </w:tbl>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pStyle w:val="Heading#2|1"/>
        <w:keepNext/>
        <w:keepLines/>
        <w:spacing w:after="240"/>
        <w:jc w:val="center"/>
        <w:rPr>
          <w:rFonts w:hint="default"/>
          <w:sz w:val="28"/>
          <w:szCs w:val="28"/>
          <w:lang w:val="en-US" w:eastAsia="zh-CN"/>
        </w:rPr>
      </w:pPr>
      <w:bookmarkStart w:id="29" w:name="bookmark66"/>
      <w:bookmarkStart w:id="30" w:name="bookmark67"/>
      <w:bookmarkStart w:id="31" w:name="bookmark65"/>
      <w:r>
        <w:rPr>
          <w:rFonts w:hint="default"/>
          <w:sz w:val="28"/>
          <w:szCs w:val="28"/>
          <w:lang w:val="en-US" w:eastAsia="zh-CN"/>
        </w:rPr>
        <w:t xml:space="preserve">一般公共预算“三公”经费预算表</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2296"/>
        <w:gridCol w:w="1918"/>
        <w:gridCol w:w="1884"/>
        <w:gridCol w:w="1895"/>
        <w:gridCol w:w="1888"/>
        <w:gridCol w:w="1890"/>
        <w:gridCol w:w="1895"/>
        <w:gridCol w:w="2"/>
        <w:gridCol w:w="1889"/>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3666" w:type="dxa"/>
            <w:gridSpan w:val="7"/>
            <w:tcBorders>
              <w:top w:val="nil"/>
              <w:left w:val="nil"/>
              <w:right w:val="nil"/>
            </w:tcBorders>
          </w:tcPr>
          <w:p>
            <w:pPr>
              <w:pStyle w:val="Tablecaption|1"/>
              <w:bidi w:val="0"/>
              <w:jc w:val="both"/>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单位名称：</w:t>
            </w:r>
            <w:r>
              <w:rPr>
                <w:rFonts w:ascii="宋体" w:eastAsia="宋体" w:hAnsi="宋体" w:cs="宋体"/>
                <w:sz w:val="16"/>
                <w:u w:color="auto"/>
              </w:rPr>
              <w:t xml:space="preserve">中共环江毛南族自治县委员会宣传部</w:t>
            </w:r>
          </w:p>
        </w:tc>
        <w:tc>
          <w:tcPr>
            <w:tcW w:w="1891" w:type="dxa"/>
            <w:gridSpan w:val="2"/>
            <w:tcBorders>
              <w:top w:val="nil"/>
              <w:left w:val="nil"/>
              <w:right w:val="nil"/>
            </w:tcBorders>
          </w:tcPr>
          <w:p>
            <w:pPr>
              <w:pStyle w:val="Tablecaption|1"/>
              <w:bidi w:val="0"/>
              <w:ind w:firstLine="480" w:firstLineChars="300"/>
              <w:jc w:val="both"/>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2296" w:type="dxa"/>
            <w:vMerge w:val="restart"/>
          </w:tcPr>
          <w:p>
            <w:pPr>
              <w:pStyle w:val="Tablecaption|1"/>
              <w:bidi w:val="0"/>
              <w:jc w:val="center"/>
              <w:rPr>
                <w:rFonts w:hint="eastAsia"/>
                <w:vertAlign w:val="baseline"/>
                <w:lang w:val="en-US" w:eastAsia="zh-CN"/>
              </w:rPr>
            </w:pPr>
            <w:r>
              <w:rPr>
                <w:sz w:val="17"/>
                <w:szCs w:val="17"/>
              </w:rPr>
              <w:t xml:space="preserve">门（单位）代码</w:t>
            </w:r>
          </w:p>
        </w:tc>
        <w:tc>
          <w:tcPr>
            <w:tcW w:w="1918" w:type="dxa"/>
            <w:vMerge w:val="restart"/>
          </w:tcPr>
          <w:p>
            <w:pPr>
              <w:pStyle w:val="Tablecaption|1"/>
              <w:bidi w:val="0"/>
              <w:jc w:val="center"/>
              <w:rPr>
                <w:rFonts w:hint="eastAsia"/>
                <w:vertAlign w:val="baseline"/>
                <w:lang w:val="en-US" w:eastAsia="zh-CN"/>
              </w:rPr>
            </w:pPr>
            <w:r>
              <w:rPr>
                <w:sz w:val="17"/>
                <w:szCs w:val="17"/>
              </w:rPr>
              <w:t xml:space="preserve">部门（单位）名称</w:t>
            </w:r>
          </w:p>
        </w:tc>
        <w:tc>
          <w:tcPr>
            <w:tcW w:w="11343" w:type="dxa"/>
            <w:gridSpan w:val="7"/>
          </w:tcPr>
          <w:p>
            <w:pPr>
              <w:pStyle w:val="Tablecaption|1"/>
              <w:bidi w:val="0"/>
              <w:jc w:val="center"/>
              <w:rPr>
                <w:rFonts w:hint="eastAsia"/>
                <w:vertAlign w:val="baseline"/>
                <w:lang w:val="en-US" w:eastAsia="zh-CN"/>
              </w:rPr>
            </w:pPr>
            <w:r>
              <w:rPr>
                <w:sz w:val="17"/>
                <w:szCs w:val="17"/>
                <w:lang w:val="zh-CN" w:eastAsia="zh-CN" w:bidi="zh-CN"/>
              </w:rPr>
              <w:t xml:space="preserve">“三</w:t>
            </w:r>
            <w:r>
              <w:rPr>
                <w:sz w:val="17"/>
                <w:szCs w:val="17"/>
              </w:rPr>
              <w:t xml:space="preserve">公”经费</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2296" w:type="dxa"/>
            <w:vMerge/>
          </w:tcPr>
          <w:p>
            <w:pPr>
              <w:pStyle w:val="Tablecaption|1"/>
              <w:bidi w:val="0"/>
              <w:jc w:val="center"/>
              <w:rPr>
                <w:rFonts w:hint="eastAsia"/>
                <w:vertAlign w:val="baseline"/>
                <w:lang w:val="en-US" w:eastAsia="zh-CN"/>
              </w:rPr>
            </w:pPr>
          </w:p>
        </w:tc>
        <w:tc>
          <w:tcPr>
            <w:tcW w:w="1918" w:type="dxa"/>
            <w:vMerge/>
          </w:tcPr>
          <w:p>
            <w:pPr>
              <w:pStyle w:val="Tablecaption|1"/>
              <w:bidi w:val="0"/>
              <w:jc w:val="center"/>
              <w:rPr>
                <w:rFonts w:hint="eastAsia"/>
                <w:vertAlign w:val="baseline"/>
                <w:lang w:val="en-US" w:eastAsia="zh-CN"/>
              </w:rPr>
            </w:pPr>
          </w:p>
        </w:tc>
        <w:tc>
          <w:tcPr>
            <w:tcW w:w="1884" w:type="dxa"/>
            <w:vMerge w:val="restart"/>
          </w:tcPr>
          <w:p>
            <w:pPr>
              <w:pStyle w:val="Tablecaption|1"/>
              <w:bidi w:val="0"/>
              <w:jc w:val="center"/>
              <w:rPr>
                <w:rFonts w:hint="eastAsia"/>
                <w:vertAlign w:val="baseline"/>
                <w:lang w:val="en-US" w:eastAsia="zh-CN"/>
              </w:rPr>
            </w:pPr>
            <w:r>
              <w:rPr>
                <w:sz w:val="17"/>
                <w:szCs w:val="17"/>
              </w:rPr>
              <w:t xml:space="preserve">合计</w:t>
            </w:r>
          </w:p>
        </w:tc>
        <w:tc>
          <w:tcPr>
            <w:tcW w:w="1895" w:type="dxa"/>
            <w:vMerge w:val="restart"/>
          </w:tcPr>
          <w:p>
            <w:pPr>
              <w:pStyle w:val="Tablecaption|1"/>
              <w:bidi w:val="0"/>
              <w:jc w:val="center"/>
              <w:rPr>
                <w:rFonts w:hint="eastAsia"/>
                <w:vertAlign w:val="baseline"/>
                <w:lang w:val="en-US" w:eastAsia="zh-CN"/>
              </w:rPr>
            </w:pPr>
            <w:r>
              <w:rPr>
                <w:sz w:val="17"/>
                <w:szCs w:val="17"/>
              </w:rPr>
              <w:t xml:space="preserve">因公出国（境）费</w:t>
            </w:r>
          </w:p>
        </w:tc>
        <w:tc>
          <w:tcPr>
            <w:tcW w:w="5675" w:type="dxa"/>
            <w:gridSpan w:val="4"/>
          </w:tcPr>
          <w:p>
            <w:pPr>
              <w:pStyle w:val="Tablecaption|1"/>
              <w:bidi w:val="0"/>
              <w:jc w:val="center"/>
              <w:rPr>
                <w:rFonts w:hint="eastAsia"/>
                <w:vertAlign w:val="baseline"/>
                <w:lang w:val="en-US" w:eastAsia="zh-CN"/>
              </w:rPr>
            </w:pPr>
            <w:r>
              <w:rPr>
                <w:sz w:val="17"/>
                <w:szCs w:val="17"/>
              </w:rPr>
              <w:t xml:space="preserve">公务用车购置及运行维护费</w:t>
            </w:r>
          </w:p>
        </w:tc>
        <w:tc>
          <w:tcPr>
            <w:tcW w:w="1889" w:type="dxa"/>
            <w:vMerge w:val="restart"/>
          </w:tcPr>
          <w:p>
            <w:pPr>
              <w:pStyle w:val="Tablecaption|1"/>
              <w:bidi w:val="0"/>
              <w:jc w:val="center"/>
              <w:rPr>
                <w:rFonts w:hint="eastAsia"/>
                <w:vertAlign w:val="baseline"/>
                <w:lang w:val="en-US" w:eastAsia="zh-CN"/>
              </w:rPr>
            </w:pPr>
            <w:r>
              <w:rPr>
                <w:sz w:val="17"/>
                <w:szCs w:val="17"/>
              </w:rPr>
              <w:t xml:space="preserve">公务接待费</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2296" w:type="dxa"/>
            <w:vMerge/>
          </w:tcPr>
          <w:p>
            <w:pPr>
              <w:pStyle w:val="Tablecaption|1"/>
              <w:bidi w:val="0"/>
              <w:jc w:val="center"/>
              <w:rPr>
                <w:rFonts w:hint="eastAsia"/>
                <w:vertAlign w:val="baseline"/>
                <w:lang w:val="en-US" w:eastAsia="zh-CN"/>
              </w:rPr>
            </w:pPr>
          </w:p>
        </w:tc>
        <w:tc>
          <w:tcPr>
            <w:tcW w:w="1918" w:type="dxa"/>
            <w:vMerge/>
          </w:tcPr>
          <w:p>
            <w:pPr>
              <w:pStyle w:val="Tablecaption|1"/>
              <w:bidi w:val="0"/>
              <w:jc w:val="center"/>
              <w:rPr>
                <w:rFonts w:hint="eastAsia"/>
                <w:vertAlign w:val="baseline"/>
                <w:lang w:val="en-US" w:eastAsia="zh-CN"/>
              </w:rPr>
            </w:pPr>
          </w:p>
        </w:tc>
        <w:tc>
          <w:tcPr>
            <w:tcW w:w="1884" w:type="dxa"/>
            <w:vMerge/>
          </w:tcPr>
          <w:p>
            <w:pPr>
              <w:pStyle w:val="Tablecaption|1"/>
              <w:bidi w:val="0"/>
              <w:jc w:val="center"/>
              <w:rPr>
                <w:rFonts w:hint="eastAsia"/>
                <w:vertAlign w:val="baseline"/>
                <w:lang w:val="en-US" w:eastAsia="zh-CN"/>
              </w:rPr>
            </w:pPr>
          </w:p>
        </w:tc>
        <w:tc>
          <w:tcPr>
            <w:tcW w:w="1895" w:type="dxa"/>
            <w:vMerge/>
          </w:tcPr>
          <w:p>
            <w:pPr>
              <w:pStyle w:val="Tablecaption|1"/>
              <w:bidi w:val="0"/>
              <w:jc w:val="center"/>
              <w:rPr>
                <w:rFonts w:hint="eastAsia"/>
                <w:vertAlign w:val="baseline"/>
                <w:lang w:val="en-US" w:eastAsia="zh-CN"/>
              </w:rPr>
            </w:pPr>
          </w:p>
        </w:tc>
        <w:tc>
          <w:tcPr>
            <w:tcW w:w="1888" w:type="dxa"/>
            <w:vAlign w:val="center"/>
          </w:tcPr>
          <w:p>
            <w:pPr>
              <w:pStyle w:val="Other|1"/>
              <w:spacing w:line="240" w:lineRule="auto"/>
              <w:ind w:firstLine="0" w:firstLineChars="0"/>
              <w:jc w:val="center"/>
              <w:rPr>
                <w:rFonts w:hint="eastAsia"/>
                <w:vertAlign w:val="baseline"/>
                <w:lang w:val="en-US" w:eastAsia="zh-CN"/>
              </w:rPr>
            </w:pPr>
            <w:r>
              <w:rPr>
                <w:sz w:val="17"/>
                <w:szCs w:val="17"/>
              </w:rPr>
              <w:t xml:space="preserve">小计</w:t>
            </w:r>
          </w:p>
        </w:tc>
        <w:tc>
          <w:tcPr>
            <w:tcW w:w="1890" w:type="dxa"/>
            <w:vAlign w:val="center"/>
          </w:tcPr>
          <w:p>
            <w:pPr>
              <w:pStyle w:val="Other|1"/>
              <w:spacing w:line="240" w:lineRule="auto"/>
              <w:ind w:firstLine="220" w:firstLineChars="0"/>
              <w:jc w:val="center"/>
              <w:rPr>
                <w:rFonts w:hint="eastAsia"/>
                <w:vertAlign w:val="baseline"/>
                <w:lang w:val="en-US" w:eastAsia="zh-CN"/>
              </w:rPr>
            </w:pPr>
            <w:r>
              <w:rPr>
                <w:sz w:val="17"/>
                <w:szCs w:val="17"/>
              </w:rPr>
              <w:t xml:space="preserve">公务用车运行维护费</w:t>
            </w:r>
          </w:p>
        </w:tc>
        <w:tc>
          <w:tcPr>
            <w:tcW w:w="1897" w:type="dxa"/>
            <w:gridSpan w:val="2"/>
            <w:vAlign w:val="center"/>
          </w:tcPr>
          <w:p>
            <w:pPr>
              <w:pStyle w:val="Other|1"/>
              <w:spacing w:line="240" w:lineRule="auto"/>
              <w:ind w:firstLine="400" w:firstLineChars="0"/>
              <w:jc w:val="center"/>
              <w:rPr>
                <w:rFonts w:hint="eastAsia"/>
                <w:vertAlign w:val="baseline"/>
                <w:lang w:val="en-US" w:eastAsia="zh-CN"/>
              </w:rPr>
            </w:pPr>
            <w:r>
              <w:rPr>
                <w:sz w:val="17"/>
                <w:szCs w:val="17"/>
              </w:rPr>
              <w:t xml:space="preserve">公务用车购置费</w:t>
            </w:r>
          </w:p>
        </w:tc>
        <w:tc>
          <w:tcPr>
            <w:tcW w:w="1889" w:type="dxa"/>
            <w:vMerge/>
          </w:tcPr>
          <w:p>
            <w:pPr>
              <w:pStyle w:val="Tablecaption|1"/>
              <w:bidi w:val="0"/>
              <w:jc w:val="center"/>
              <w:rPr>
                <w:rFonts w:hint="eastAsia"/>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2296" w:type="dxa"/>
            <w:vAlign w:val="center"/>
          </w:tcPr>
          <w:p>
            <w:pPr>
              <w:jc w:val="center"/>
              <w:rPr>
                <w:rFonts w:hint="eastAsia"/>
                <w:vertAlign w:val="baseline"/>
                <w:lang w:val="en-US" w:eastAsia="zh-CN"/>
              </w:rPr>
            </w:pPr>
          </w:p>
        </w:tc>
        <w:tc>
          <w:tcPr>
            <w:tcW w:w="1918" w:type="dxa"/>
            <w:vAlign w:val="center"/>
          </w:tcPr>
          <w:p>
            <w:pPr>
              <w:jc w:val="center"/>
              <w:rPr>
                <w:rFonts w:hint="eastAsia"/>
                <w:vertAlign w:val="baseline"/>
                <w:lang w:val="en-US" w:eastAsia="zh-CN"/>
              </w:rPr>
            </w:pPr>
          </w:p>
        </w:tc>
        <w:tc>
          <w:tcPr>
            <w:tcW w:w="1884"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1</w:t>
            </w:r>
          </w:p>
        </w:tc>
        <w:tc>
          <w:tcPr>
            <w:tcW w:w="1895"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2</w:t>
            </w:r>
          </w:p>
        </w:tc>
        <w:tc>
          <w:tcPr>
            <w:tcW w:w="1888"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3</w:t>
            </w:r>
          </w:p>
        </w:tc>
        <w:tc>
          <w:tcPr>
            <w:tcW w:w="1890"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4</w:t>
            </w:r>
          </w:p>
        </w:tc>
        <w:tc>
          <w:tcPr>
            <w:tcW w:w="1897" w:type="dxa"/>
            <w:gridSpan w:val="2"/>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5</w:t>
            </w:r>
          </w:p>
        </w:tc>
        <w:tc>
          <w:tcPr>
            <w:tcW w:w="1889"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6</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2296" w:type="dxa"/>
            <w:vAlign w:val="center"/>
          </w:tcPr>
          <w:p>
            <w:pPr>
              <w:pStyle w:val="Other|1"/>
              <w:spacing w:line="240" w:lineRule="auto"/>
              <w:ind w:firstLine="0" w:firstLineChars="0"/>
              <w:jc w:val="lef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214001</w:t>
            </w:r>
          </w:p>
        </w:tc>
        <w:tc>
          <w:tcPr>
            <w:tcW w:w="1918" w:type="dxa"/>
            <w:vAlign w:val="center"/>
          </w:tcPr>
          <w:p>
            <w:pPr>
              <w:pStyle w:val="Other|1"/>
              <w:spacing w:line="240" w:lineRule="auto"/>
              <w:ind w:firstLine="0" w:firstLineChars="0"/>
              <w:jc w:val="left"/>
              <w:rPr>
                <w:rFonts w:hint="eastAsia"/>
                <w:vertAlign w:val="baseline"/>
                <w:lang w:val="en-US" w:eastAsia="zh-CN"/>
              </w:rPr>
            </w:pPr>
          </w:p>
        </w:tc>
        <w:tc>
          <w:tcPr>
            <w:tcW w:w="1884"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6.30</w:t>
            </w:r>
          </w:p>
        </w:tc>
        <w:tc>
          <w:tcPr>
            <w:tcW w:w="1895"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0.00</w:t>
            </w:r>
          </w:p>
        </w:tc>
        <w:tc>
          <w:tcPr>
            <w:tcW w:w="1888"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0.00</w:t>
            </w:r>
          </w:p>
        </w:tc>
        <w:tc>
          <w:tcPr>
            <w:tcW w:w="1890"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0.00</w:t>
            </w:r>
          </w:p>
        </w:tc>
        <w:tc>
          <w:tcPr>
            <w:tcW w:w="1897" w:type="dxa"/>
            <w:gridSpan w:val="2"/>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0.00</w:t>
            </w:r>
          </w:p>
        </w:tc>
        <w:tc>
          <w:tcPr>
            <w:tcW w:w="1889"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6.30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Height w:val="312"/>
        </w:trPr>
        <w:tc>
          <w:tcPr>
            <w:tcW w:w="15557" w:type="dxa"/>
            <w:gridSpan w:val="9"/>
            <w:tcBorders>
              <w:left w:val="nil"/>
              <w:bottom w:val="nil"/>
              <w:right w:val="nil"/>
            </w:tcBorders>
          </w:tcPr>
          <w:p>
            <w:pPr>
              <w:pStyle w:val="Tablecaption|1"/>
              <w:bidi w:val="0"/>
              <w:jc w:val="both"/>
              <w:rPr>
                <w:rFonts w:hint="eastAsia"/>
                <w:vertAlign w:val="baseline"/>
                <w:lang w:val="en-US" w:eastAsia="zh-CN"/>
              </w:rPr>
            </w:pPr>
            <w:r>
              <w:rPr>
                <w:rFonts w:ascii="宋体" w:eastAsia="宋体" w:hAnsi="宋体" w:cs="宋体" w:hint="eastAsia"/>
                <w:sz w:val="16"/>
                <w:szCs w:val="16"/>
              </w:rPr>
              <w:t xml:space="preserve">注：本报表金额单位转换时可能存在四舍五入尾数误差</w:t>
            </w:r>
          </w:p>
        </w:tc>
      </w:tr>
    </w:tbl>
    <w:p>
      <w:pPr>
        <w:pStyle w:val="Tablecaption|1"/>
        <w:bidi w:val="0"/>
        <w:rPr>
          <w:rFonts w:hint="eastAsia"/>
          <w:lang w:val="en-US" w:eastAsia="zh-CN"/>
        </w:rPr>
      </w:pPr>
    </w:p>
    <w:p>
      <w:pPr>
        <w:pStyle w:val="Heading#2|1"/>
        <w:keepNext/>
        <w:keepLines/>
        <w:spacing w:after="240"/>
        <w:jc w:val="center"/>
      </w:pPr>
    </w:p>
    <w:p>
      <w:pPr>
        <w:pStyle w:val="Heading#2|1"/>
        <w:keepNext/>
        <w:keepLines/>
        <w:spacing w:after="240"/>
        <w:jc w:val="center"/>
      </w:pPr>
    </w:p>
    <w:p>
      <w:pPr>
        <w:pStyle w:val="Heading#2|1"/>
        <w:keepNext/>
        <w:keepLines/>
        <w:spacing w:after="240"/>
        <w:jc w:val="center"/>
      </w:pPr>
    </w:p>
    <w:p>
      <w:pPr>
        <w:pStyle w:val="Heading#2|1"/>
        <w:keepNext/>
        <w:keepLines/>
        <w:spacing w:after="240"/>
        <w:jc w:val="center"/>
      </w:pPr>
    </w:p>
    <w:p>
      <w:pPr>
        <w:pStyle w:val="Heading#2|1"/>
        <w:keepNext/>
        <w:keepLines/>
        <w:spacing w:after="240"/>
        <w:jc w:val="center"/>
      </w:pPr>
    </w:p>
    <w:p>
      <w:pPr>
        <w:pStyle w:val="Tablecaption|1"/>
        <w:bidi w:val="0"/>
      </w:pPr>
    </w:p>
    <w:p>
      <w:pPr>
        <w:pStyle w:val="Heading#2|1"/>
        <w:keepNext/>
        <w:keepLines/>
        <w:spacing w:after="240"/>
        <w:jc w:val="center"/>
      </w:pPr>
      <w:r>
        <w:t xml:space="preserve">政府性基金预算支出情况表</w:t>
      </w:r>
      <w:bookmarkEnd w:id="29"/>
      <w:bookmarkEnd w:id="30"/>
      <w:bookmarkEnd w:id="31"/>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2527"/>
        <w:gridCol w:w="2161"/>
        <w:gridCol w:w="2162"/>
        <w:gridCol w:w="2222"/>
        <w:gridCol w:w="2161"/>
        <w:gridCol w:w="2161"/>
        <w:gridCol w:w="2163"/>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Height w:val="285"/>
        </w:trPr>
        <w:tc>
          <w:tcPr>
            <w:tcW w:w="13394" w:type="dxa"/>
            <w:gridSpan w:val="6"/>
            <w:tcBorders>
              <w:top w:val="nil"/>
              <w:left w:val="nil"/>
              <w:right w:val="nil"/>
            </w:tcBorders>
          </w:tcPr>
          <w:p>
            <w:pPr>
              <w:pStyle w:val="Tablecaption|1"/>
              <w:tabs>
                <w:tab w:val="left" w:pos="14213"/>
              </w:tabs>
              <w:ind w:left="101"/>
              <w:jc w:val="left"/>
            </w:pPr>
            <w:r>
              <w:t xml:space="preserve">单位名称：</w:t>
            </w:r>
            <w:r>
              <w:rPr>
                <w:rFonts w:hint="eastAsia"/>
                <w:lang w:eastAsia="zh-CN"/>
              </w:rPr>
              <w:t xml:space="preserve">中共环江毛南族自治县委员会宣传部</w:t>
            </w:r>
            <w:r>
              <w:tab/>
            </w:r>
            <w:r>
              <w:t xml:space="preserve">单位：万元</w:t>
            </w:r>
          </w:p>
        </w:tc>
        <w:tc>
          <w:tcPr>
            <w:tcW w:w="2163" w:type="dxa"/>
            <w:tcBorders>
              <w:top w:val="nil"/>
              <w:left w:val="nil"/>
              <w:right w:val="nil"/>
            </w:tcBorders>
          </w:tcPr>
          <w:p>
            <w:pPr>
              <w:pStyle w:val="Tablecaption|1"/>
              <w:tabs>
                <w:tab w:val="left" w:pos="14213"/>
              </w:tabs>
              <w:ind w:left="101" w:firstLine="680" w:firstLineChars="400"/>
              <w:jc w:val="left"/>
            </w:pPr>
            <w:r>
              <w:rPr>
                <w:rFonts w:hint="eastAsia"/>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2527" w:type="dxa"/>
          </w:tcPr>
          <w:p>
            <w:pPr>
              <w:pStyle w:val="Tablecaption|1"/>
              <w:bidi w:val="0"/>
              <w:jc w:val="center"/>
              <w:rPr>
                <w:vertAlign w:val="baseline"/>
              </w:rPr>
            </w:pPr>
            <w:r>
              <w:rPr>
                <w:sz w:val="17"/>
                <w:szCs w:val="17"/>
              </w:rPr>
              <w:t xml:space="preserve">科目编码</w:t>
            </w:r>
          </w:p>
        </w:tc>
        <w:tc>
          <w:tcPr>
            <w:tcW w:w="2161" w:type="dxa"/>
          </w:tcPr>
          <w:p>
            <w:pPr>
              <w:pStyle w:val="Tablecaption|1"/>
              <w:bidi w:val="0"/>
              <w:jc w:val="center"/>
              <w:rPr>
                <w:vertAlign w:val="baseline"/>
              </w:rPr>
            </w:pPr>
            <w:r>
              <w:rPr>
                <w:sz w:val="17"/>
                <w:szCs w:val="17"/>
              </w:rPr>
              <w:t xml:space="preserve">部门（单位）代码</w:t>
            </w:r>
          </w:p>
        </w:tc>
        <w:tc>
          <w:tcPr>
            <w:tcW w:w="2162" w:type="dxa"/>
          </w:tcPr>
          <w:p>
            <w:pPr>
              <w:pStyle w:val="Tablecaption|1"/>
              <w:bidi w:val="0"/>
              <w:jc w:val="center"/>
              <w:rPr>
                <w:vertAlign w:val="baseline"/>
              </w:rPr>
            </w:pPr>
            <w:r>
              <w:rPr>
                <w:sz w:val="17"/>
                <w:szCs w:val="17"/>
              </w:rPr>
              <w:t xml:space="preserve">部门（单位）名称（功能分类科目名称）</w:t>
            </w:r>
          </w:p>
        </w:tc>
        <w:tc>
          <w:tcPr>
            <w:tcW w:w="2222" w:type="dxa"/>
            <w:vAlign w:val="center"/>
          </w:tcPr>
          <w:p>
            <w:pPr>
              <w:pStyle w:val="Other|1"/>
              <w:spacing w:line="240" w:lineRule="auto"/>
              <w:ind w:firstLine="0" w:firstLineChars="0"/>
              <w:jc w:val="center"/>
              <w:rPr>
                <w:vertAlign w:val="baseline"/>
              </w:rPr>
            </w:pPr>
            <w:r>
              <w:rPr>
                <w:sz w:val="17"/>
                <w:szCs w:val="17"/>
              </w:rPr>
              <w:t xml:space="preserve">合计</w:t>
            </w:r>
          </w:p>
        </w:tc>
        <w:tc>
          <w:tcPr>
            <w:tcW w:w="2161" w:type="dxa"/>
            <w:vAlign w:val="center"/>
          </w:tcPr>
          <w:p>
            <w:pPr>
              <w:pStyle w:val="Other|1"/>
              <w:spacing w:line="240" w:lineRule="auto"/>
              <w:ind w:firstLine="0" w:firstLineChars="0"/>
              <w:jc w:val="center"/>
              <w:rPr>
                <w:vertAlign w:val="baseline"/>
              </w:rPr>
            </w:pPr>
            <w:r>
              <w:rPr>
                <w:sz w:val="17"/>
                <w:szCs w:val="17"/>
              </w:rPr>
              <w:t xml:space="preserve">基本支出</w:t>
            </w:r>
          </w:p>
        </w:tc>
        <w:tc>
          <w:tcPr>
            <w:tcW w:w="2161" w:type="dxa"/>
            <w:vAlign w:val="center"/>
          </w:tcPr>
          <w:p>
            <w:pPr>
              <w:pStyle w:val="Other|1"/>
              <w:spacing w:line="240" w:lineRule="auto"/>
              <w:ind w:firstLine="0" w:firstLineChars="0"/>
              <w:jc w:val="center"/>
              <w:rPr>
                <w:vertAlign w:val="baseline"/>
              </w:rPr>
            </w:pPr>
            <w:r>
              <w:rPr>
                <w:sz w:val="17"/>
                <w:szCs w:val="17"/>
              </w:rPr>
              <w:t xml:space="preserve">项目支出</w:t>
            </w:r>
          </w:p>
        </w:tc>
        <w:tc>
          <w:tcPr>
            <w:tcW w:w="2163" w:type="dxa"/>
            <w:vAlign w:val="center"/>
          </w:tcPr>
          <w:p>
            <w:pPr>
              <w:pStyle w:val="Other|1"/>
              <w:spacing w:line="240" w:lineRule="auto"/>
              <w:ind w:firstLine="0" w:firstLineChars="0"/>
              <w:jc w:val="center"/>
              <w:rPr>
                <w:vertAlign w:val="baseline"/>
              </w:rPr>
            </w:pPr>
            <w:r>
              <w:rPr>
                <w:sz w:val="17"/>
                <w:szCs w:val="17"/>
              </w:rPr>
              <w:t xml:space="preserve">结转下年支出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Height w:val="135"/>
        </w:trPr>
        <w:tc>
          <w:tcPr>
            <w:tcW w:w="2527" w:type="dxa"/>
            <w:vAlign w:val="center"/>
          </w:tcPr>
          <w:p>
            <w:pPr>
              <w:pStyle w:val="Other|1"/>
              <w:spacing w:line="240" w:lineRule="auto"/>
              <w:ind w:firstLine="0" w:firstLineChars="0"/>
              <w:jc w:val="left"/>
              <w:rPr>
                <w:b w:val="0"/>
                <w:bCs w:val="0"/>
                <w:vertAlign w:val="baseline"/>
              </w:rPr>
            </w:pPr>
          </w:p>
        </w:tc>
        <w:tc>
          <w:tcPr>
            <w:tcW w:w="2161"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214001</w:t>
            </w:r>
          </w:p>
        </w:tc>
        <w:tc>
          <w:tcPr>
            <w:tcW w:w="2162" w:type="dxa"/>
            <w:vAlign w:val="center"/>
          </w:tcPr>
          <w:p>
            <w:pPr>
              <w:pStyle w:val="Other|1"/>
              <w:spacing w:line="240" w:lineRule="auto"/>
              <w:ind w:firstLine="0" w:firstLineChars="0"/>
              <w:jc w:val="left"/>
              <w:rPr>
                <w:b w:val="0"/>
                <w:bCs w:val="0"/>
                <w:vertAlign w:val="baseline"/>
              </w:rPr>
            </w:pP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19.01</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19.01</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2012999</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其他群众团体事务支出</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2013301</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行政运行</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2013399</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其他宣传事务支出</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2070199</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其他文化和旅游支出</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2070607</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电影</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2070699</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其他新闻出版电影支出</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2079999</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其他文化旅游体育与传媒支出</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2080505</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机关事业单位基本养老保险缴费支出</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2121903</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城市建设支出</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19.01</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19.01</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2210201</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住房公积金</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5557" w:type="dxa"/>
            <w:gridSpan w:val="7"/>
            <w:tcBorders>
              <w:left w:val="nil"/>
              <w:bottom w:val="nil"/>
              <w:right w:val="nil"/>
            </w:tcBorders>
          </w:tcPr>
          <w:p>
            <w:pPr>
              <w:pStyle w:val="Tablecaption|1"/>
              <w:bidi w:val="0"/>
              <w:jc w:val="both"/>
              <w:rPr>
                <w:vertAlign w:val="baseline"/>
              </w:rPr>
            </w:pPr>
            <w:r>
              <w:t xml:space="preserve">注：本报表金额单位转换时可能存在四舍五入尾数误差</w:t>
            </w:r>
          </w:p>
        </w:tc>
      </w:tr>
    </w:tbl>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jc w:val="center"/>
        <w:rPr>
          <w:sz w:val="28"/>
          <w:szCs w:val="28"/>
        </w:rPr>
      </w:pPr>
      <w:r>
        <w:rPr>
          <w:sz w:val="28"/>
          <w:szCs w:val="28"/>
        </w:rPr>
        <w:t xml:space="preserve">国有资本经营预算支出情况表</w:t>
      </w:r>
    </w:p>
    <w:p>
      <w:pPr>
        <w:pStyle w:val="Tablecaption|1"/>
        <w:bidi w:val="0"/>
        <w:jc w:val="center"/>
        <w:rPr>
          <w:sz w:val="28"/>
          <w:szCs w:val="28"/>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2527"/>
        <w:gridCol w:w="2161"/>
        <w:gridCol w:w="2162"/>
        <w:gridCol w:w="2222"/>
        <w:gridCol w:w="2161"/>
        <w:gridCol w:w="2161"/>
        <w:gridCol w:w="2163"/>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3394" w:type="dxa"/>
            <w:gridSpan w:val="6"/>
            <w:tcBorders>
              <w:top w:val="nil"/>
              <w:left w:val="nil"/>
              <w:right w:val="nil"/>
            </w:tcBorders>
          </w:tcPr>
          <w:p>
            <w:pPr>
              <w:pStyle w:val="Tablecaption|1"/>
              <w:tabs>
                <w:tab w:val="left" w:pos="14213"/>
              </w:tabs>
              <w:ind w:left="101"/>
              <w:jc w:val="left"/>
            </w:pPr>
            <w:r>
              <w:t xml:space="preserve">单位名称：</w:t>
            </w:r>
            <w:r>
              <w:rPr>
                <w:rFonts w:hint="eastAsia"/>
                <w:lang w:eastAsia="zh-CN"/>
              </w:rPr>
              <w:t xml:space="preserve">中共环江毛南族自治县委员会宣传部</w:t>
            </w:r>
            <w:r>
              <w:tab/>
            </w:r>
            <w:r>
              <w:t xml:space="preserve">单位：万元</w:t>
            </w:r>
          </w:p>
        </w:tc>
        <w:tc>
          <w:tcPr>
            <w:tcW w:w="2163" w:type="dxa"/>
            <w:tcBorders>
              <w:top w:val="nil"/>
              <w:left w:val="nil"/>
              <w:right w:val="nil"/>
            </w:tcBorders>
          </w:tcPr>
          <w:p>
            <w:pPr>
              <w:pStyle w:val="Tablecaption|1"/>
              <w:tabs>
                <w:tab w:val="left" w:pos="14213"/>
              </w:tabs>
              <w:ind w:left="101"/>
              <w:jc w:val="left"/>
            </w:pPr>
            <w:r>
              <w:rPr>
                <w:rFonts w:ascii="宋体" w:eastAsia="宋体" w:hAnsi="宋体" w:cs="宋体" w:hint="eastAsia"/>
                <w:sz w:val="17"/>
                <w:szCs w:val="17"/>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2527" w:type="dxa"/>
            <w:vMerge w:val="restart"/>
          </w:tcPr>
          <w:p>
            <w:pPr>
              <w:pStyle w:val="Tablecaption|1"/>
              <w:bidi w:val="0"/>
              <w:jc w:val="center"/>
              <w:rPr>
                <w:vertAlign w:val="baseline"/>
              </w:rPr>
            </w:pPr>
            <w:r>
              <w:rPr>
                <w:sz w:val="17"/>
                <w:szCs w:val="17"/>
              </w:rPr>
              <w:t xml:space="preserve">科目编码</w:t>
            </w:r>
          </w:p>
        </w:tc>
        <w:tc>
          <w:tcPr>
            <w:tcW w:w="2161" w:type="dxa"/>
            <w:vMerge w:val="restart"/>
          </w:tcPr>
          <w:p>
            <w:pPr>
              <w:pStyle w:val="Tablecaption|1"/>
              <w:bidi w:val="0"/>
              <w:jc w:val="center"/>
              <w:rPr>
                <w:vertAlign w:val="baseline"/>
              </w:rPr>
            </w:pPr>
            <w:r>
              <w:rPr>
                <w:sz w:val="17"/>
                <w:szCs w:val="17"/>
              </w:rPr>
              <w:t xml:space="preserve">部门（单位）代码</w:t>
            </w:r>
          </w:p>
        </w:tc>
        <w:tc>
          <w:tcPr>
            <w:tcW w:w="2162" w:type="dxa"/>
            <w:vMerge w:val="restart"/>
          </w:tcPr>
          <w:p>
            <w:pPr>
              <w:pStyle w:val="Tablecaption|1"/>
              <w:bidi w:val="0"/>
              <w:jc w:val="center"/>
              <w:rPr>
                <w:vertAlign w:val="baseline"/>
              </w:rPr>
            </w:pPr>
            <w:r>
              <w:rPr>
                <w:sz w:val="17"/>
                <w:szCs w:val="17"/>
              </w:rPr>
              <w:t xml:space="preserve">部门（单位）名称（功能分类科目名称）</w:t>
            </w:r>
          </w:p>
        </w:tc>
        <w:tc>
          <w:tcPr>
            <w:tcW w:w="2222" w:type="dxa"/>
            <w:vAlign w:val="center"/>
          </w:tcPr>
          <w:p>
            <w:pPr>
              <w:pStyle w:val="Other|1"/>
              <w:spacing w:line="240" w:lineRule="auto"/>
              <w:ind w:firstLine="0" w:firstLineChars="0"/>
              <w:jc w:val="center"/>
              <w:rPr>
                <w:vertAlign w:val="baseline"/>
              </w:rPr>
            </w:pPr>
            <w:r>
              <w:rPr>
                <w:sz w:val="17"/>
                <w:szCs w:val="17"/>
              </w:rPr>
              <w:t xml:space="preserve">合计</w:t>
            </w:r>
          </w:p>
        </w:tc>
        <w:tc>
          <w:tcPr>
            <w:tcW w:w="2161" w:type="dxa"/>
            <w:vAlign w:val="center"/>
          </w:tcPr>
          <w:p>
            <w:pPr>
              <w:pStyle w:val="Other|1"/>
              <w:spacing w:line="240" w:lineRule="auto"/>
              <w:ind w:firstLine="0" w:firstLineChars="0"/>
              <w:jc w:val="center"/>
              <w:rPr>
                <w:vertAlign w:val="baseline"/>
              </w:rPr>
            </w:pPr>
            <w:r>
              <w:rPr>
                <w:sz w:val="17"/>
                <w:szCs w:val="17"/>
              </w:rPr>
              <w:t xml:space="preserve">基本支出</w:t>
            </w:r>
          </w:p>
        </w:tc>
        <w:tc>
          <w:tcPr>
            <w:tcW w:w="2161" w:type="dxa"/>
            <w:vAlign w:val="center"/>
          </w:tcPr>
          <w:p>
            <w:pPr>
              <w:pStyle w:val="Other|1"/>
              <w:spacing w:line="240" w:lineRule="auto"/>
              <w:ind w:firstLine="0" w:firstLineChars="0"/>
              <w:jc w:val="center"/>
              <w:rPr>
                <w:vertAlign w:val="baseline"/>
              </w:rPr>
            </w:pPr>
            <w:r>
              <w:rPr>
                <w:sz w:val="17"/>
                <w:szCs w:val="17"/>
              </w:rPr>
              <w:t xml:space="preserve">项目支出</w:t>
            </w:r>
          </w:p>
        </w:tc>
        <w:tc>
          <w:tcPr>
            <w:tcW w:w="2163" w:type="dxa"/>
            <w:vAlign w:val="center"/>
          </w:tcPr>
          <w:p>
            <w:pPr>
              <w:pStyle w:val="Other|1"/>
              <w:spacing w:line="240" w:lineRule="auto"/>
              <w:ind w:firstLine="0" w:firstLineChars="0"/>
              <w:jc w:val="center"/>
              <w:rPr>
                <w:vertAlign w:val="baseline"/>
              </w:rPr>
            </w:pPr>
            <w:r>
              <w:rPr>
                <w:sz w:val="17"/>
                <w:szCs w:val="17"/>
              </w:rPr>
              <w:t xml:space="preserve">结转下年支出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2527" w:type="dxa"/>
            <w:vMerge/>
          </w:tcPr>
          <w:p>
            <w:pPr>
              <w:pStyle w:val="Tablecaption|1"/>
              <w:bidi w:val="0"/>
              <w:jc w:val="both"/>
              <w:rPr>
                <w:vertAlign w:val="baseline"/>
              </w:rPr>
            </w:pPr>
          </w:p>
        </w:tc>
        <w:tc>
          <w:tcPr>
            <w:tcW w:w="2161" w:type="dxa"/>
            <w:vMerge/>
          </w:tcPr>
          <w:p>
            <w:pPr>
              <w:pStyle w:val="Tablecaption|1"/>
              <w:bidi w:val="0"/>
              <w:jc w:val="both"/>
              <w:rPr>
                <w:vertAlign w:val="baseline"/>
              </w:rPr>
            </w:pPr>
          </w:p>
        </w:tc>
        <w:tc>
          <w:tcPr>
            <w:tcW w:w="2162" w:type="dxa"/>
            <w:vMerge/>
          </w:tcPr>
          <w:p>
            <w:pPr>
              <w:pStyle w:val="Tablecaption|1"/>
              <w:bidi w:val="0"/>
              <w:jc w:val="both"/>
              <w:rPr>
                <w:vertAlign w:val="baseline"/>
              </w:rPr>
            </w:pPr>
          </w:p>
        </w:tc>
        <w:tc>
          <w:tcPr>
            <w:tcW w:w="2222"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1</w:t>
            </w:r>
          </w:p>
        </w:tc>
        <w:tc>
          <w:tcPr>
            <w:tcW w:w="2161"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2</w:t>
            </w:r>
          </w:p>
        </w:tc>
        <w:tc>
          <w:tcPr>
            <w:tcW w:w="2161"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3</w:t>
            </w:r>
          </w:p>
        </w:tc>
        <w:tc>
          <w:tcPr>
            <w:tcW w:w="2163"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4</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2527" w:type="dxa"/>
          </w:tcPr>
          <w:p>
            <w:pPr>
              <w:jc w:val="left"/>
              <w:rPr>
                <w:vertAlign w:val="baseline"/>
              </w:rPr>
            </w:pPr>
          </w:p>
        </w:tc>
        <w:tc>
          <w:tcPr>
            <w:tcW w:w="2161" w:type="dxa"/>
          </w:tcPr>
          <w:p>
            <w:pPr>
              <w:jc w:val="left"/>
              <w:rPr>
                <w:vertAlign w:val="baseline"/>
              </w:rPr>
            </w:pPr>
          </w:p>
        </w:tc>
        <w:tc>
          <w:tcPr>
            <w:tcW w:w="2162" w:type="dxa"/>
            <w:vAlign w:val="center"/>
          </w:tcPr>
          <w:p>
            <w:pPr>
              <w:pStyle w:val="Other|1"/>
              <w:spacing w:line="240" w:lineRule="auto"/>
              <w:ind w:firstLine="0" w:firstLineChars="0"/>
              <w:jc w:val="left"/>
              <w:rPr>
                <w:vertAlign w:val="baseline"/>
              </w:rPr>
            </w:pPr>
            <w:r>
              <w:rPr>
                <w:sz w:val="17"/>
                <w:szCs w:val="17"/>
              </w:rPr>
              <w:t xml:space="preserve">合计</w:t>
            </w:r>
          </w:p>
        </w:tc>
        <w:tc>
          <w:tcPr>
            <w:tcW w:w="2222" w:type="dxa"/>
            <w:vAlign w:val="center"/>
          </w:tcPr>
          <w:p>
            <w:pPr>
              <w:pStyle w:val="Other|1"/>
              <w:spacing w:line="240" w:lineRule="auto"/>
              <w:ind w:left="1700" w:firstLine="0" w:leftChars="0" w:firstLineChars="0"/>
              <w:jc w:val="righ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2161" w:type="dxa"/>
            <w:vAlign w:val="center"/>
          </w:tcPr>
          <w:p>
            <w:pPr>
              <w:pStyle w:val="Other|1"/>
              <w:spacing w:line="240" w:lineRule="auto"/>
              <w:ind w:firstLine="0" w:firstLineChars="0"/>
              <w:jc w:val="righ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2161" w:type="dxa"/>
            <w:vAlign w:val="center"/>
          </w:tcPr>
          <w:p>
            <w:pPr>
              <w:pStyle w:val="Other|1"/>
              <w:spacing w:line="240" w:lineRule="auto"/>
              <w:ind w:firstLine="0" w:firstLineChars="0"/>
              <w:jc w:val="righ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2163" w:type="dxa"/>
            <w:vAlign w:val="center"/>
          </w:tcPr>
          <w:p>
            <w:pPr>
              <w:pStyle w:val="Other|1"/>
              <w:spacing w:line="240" w:lineRule="auto"/>
              <w:ind w:firstLine="0" w:firstLineChars="0"/>
              <w:jc w:val="righ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5557" w:type="dxa"/>
            <w:gridSpan w:val="7"/>
            <w:tcBorders>
              <w:left w:val="nil"/>
              <w:bottom w:val="nil"/>
              <w:right w:val="nil"/>
            </w:tcBorders>
          </w:tcPr>
          <w:p>
            <w:pPr>
              <w:pStyle w:val="Tablecaption|1"/>
              <w:spacing w:line="302" w:lineRule="exact"/>
              <w:ind w:left="672"/>
              <w:jc w:val="left"/>
            </w:pPr>
            <w:r>
              <w:t xml:space="preserve">注：本报表金额单位转换时可能存在四舍五入尾数误差。本部门</w:t>
            </w:r>
            <w:r>
              <w:rPr>
                <w:rFonts w:ascii="Times New Roman" w:hAnsi="Times New Roman" w:cs="Times New Roman" w:hint="eastAsia"/>
                <w:b/>
                <w:bCs/>
                <w:lang w:eastAsia="zh-CN"/>
              </w:rPr>
              <w:t xml:space="preserve">2024</w:t>
            </w:r>
            <w:r>
              <w:rPr>
                <w:rFonts w:ascii="Times New Roman" w:hAnsi="Times New Roman" w:cs="Times New Roman"/>
                <w:b/>
                <w:u w:color="auto"/>
              </w:rPr>
              <w:t xml:space="preserve">年</w:t>
            </w:r>
            <w:r>
              <w:t xml:space="preserve">度没有国有资本经营预算支出，故本表无数据</w:t>
            </w:r>
          </w:p>
          <w:p>
            <w:pPr>
              <w:pStyle w:val="Tablecaption|1"/>
              <w:bidi w:val="0"/>
              <w:jc w:val="both"/>
              <w:rPr>
                <w:vertAlign w:val="baseline"/>
              </w:rPr>
            </w:pPr>
          </w:p>
        </w:tc>
      </w:tr>
    </w:tbl>
    <w:p>
      <w:pPr>
        <w:pStyle w:val="Tablecaption|1"/>
        <w:bidi w:val="0"/>
      </w:pPr>
    </w:p>
    <w:p>
      <w:pPr/>
      <w:r>
        <w:br w:type="page"/>
      </w:r>
    </w:p>
    <w:p>
      <w:pPr>
        <w:pStyle w:val="Heading#2|1"/>
        <w:keepNext/>
        <w:keepLines/>
        <w:spacing w:after="240"/>
        <w:jc w:val="center"/>
        <w:rPr>
          <w:rFonts w:eastAsia="宋体" w:hint="default"/>
          <w:lang w:val="en-US" w:eastAsia="zh-CN"/>
        </w:rPr>
      </w:pPr>
      <w:r>
        <w:rPr>
          <w:rFonts w:hint="eastAsia"/>
          <w:lang w:val="en-US" w:eastAsia="zh-CN"/>
        </w:rPr>
        <w:t xml:space="preserve">2024年度预算项目绩效目标公开表</w:t>
      </w:r>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1843"/>
        <w:gridCol w:w="2559"/>
        <w:gridCol w:w="3350"/>
        <w:gridCol w:w="1511"/>
        <w:gridCol w:w="6076"/>
      </w:tblGrid>
      <w:tr>
        <w:tblPrEx>
          <w:tblW w:w="0" w:type="auto"/>
          <w:tblInd w:w="0" w:type="dxa"/>
          <w:tblLayout w:type="fixed"/>
          <w:tblCellMar>
            <w:top w:w="0" w:type="dxa"/>
            <w:left w:w="10" w:type="dxa"/>
            <w:bottom w:w="0" w:type="dxa"/>
            <w:right w:w="10" w:type="dxa"/>
          </w:tblCellMar>
        </w:tblPrEx>
        <w:trPr>
          <w:cantSplit/>
          <w:trHeight w:hRule="exact" w:val="346"/>
        </w:trPr>
        <w:tc>
          <w:tcPr>
            <w:tcW w:w="9263" w:type="dxa"/>
            <w:gridSpan w:val="4"/>
            <w:shd w:val="clear" w:color="auto" w:fill="FFFFFF"/>
          </w:tcPr>
          <w:p>
            <w:pPr>
              <w:pStyle w:val="Other|1"/>
              <w:spacing w:line="240" w:lineRule="auto"/>
              <w:ind w:firstLine="0"/>
              <w:jc w:val="left"/>
              <w:rPr>
                <w:rFonts w:ascii="宋体" w:eastAsia="宋体" w:hAnsi="宋体" w:cs="宋体" w:hint="default"/>
                <w:sz w:val="17"/>
                <w:szCs w:val="17"/>
                <w:lang w:val="en-US"/>
              </w:rPr>
            </w:pPr>
            <w:r>
              <w:rPr>
                <w:rFonts w:ascii="宋体" w:eastAsia="宋体" w:hAnsi="宋体" w:cs="宋体" w:hint="eastAsia"/>
                <w:sz w:val="17"/>
                <w:szCs w:val="17"/>
              </w:rPr>
              <w:t xml:space="preserve">单位名称：</w:t>
            </w:r>
            <w:r>
              <w:rPr>
                <w:rFonts w:ascii="宋体" w:eastAsia="宋体" w:hAnsi="宋体" w:cs="宋体" w:hint="eastAsia"/>
                <w:sz w:val="17"/>
                <w:szCs w:val="17"/>
                <w:lang w:eastAsia="zh-CN"/>
              </w:rPr>
              <w:t xml:space="preserve">中共环江毛南族自治县委员会宣传部</w:t>
            </w:r>
          </w:p>
        </w:tc>
        <w:tc>
          <w:tcPr>
            <w:tcW w:w="6076" w:type="dxa"/>
            <w:shd w:val="clear" w:color="auto" w:fill="FFFFFF"/>
          </w:tcPr>
          <w:p>
            <w:pPr>
              <w:pStyle w:val="Other|1"/>
              <w:spacing w:line="240" w:lineRule="auto"/>
              <w:ind w:firstLine="4760" w:firstLineChars="2800"/>
              <w:jc w:val="left"/>
              <w:rPr>
                <w:rFonts w:ascii="宋体" w:eastAsia="宋体" w:hAnsi="宋体" w:cs="宋体" w:hint="eastAsia"/>
                <w:sz w:val="17"/>
                <w:szCs w:val="17"/>
              </w:rPr>
            </w:pPr>
            <w:r>
              <w:rPr>
                <w:rFonts w:ascii="宋体" w:eastAsia="宋体" w:hAnsi="宋体" w:cs="宋体" w:hint="eastAsia"/>
                <w:sz w:val="17"/>
                <w:szCs w:val="17"/>
              </w:rPr>
              <w:t xml:space="preserve">单位：万元</w:t>
            </w:r>
          </w:p>
        </w:tc>
      </w:tr>
      <w:tr>
        <w:tblPrEx>
          <w:tblW w:w="0" w:type="auto"/>
          <w:tblInd w:w="0" w:type="dxa"/>
          <w:tblLayout w:type="fixed"/>
          <w:tblCellMar>
            <w:top w:w="0" w:type="dxa"/>
            <w:left w:w="10" w:type="dxa"/>
            <w:bottom w:w="0" w:type="dxa"/>
            <w:right w:w="10" w:type="dxa"/>
          </w:tblCellMar>
        </w:tblPrEx>
        <w:trPr>
          <w:cantSplit/>
          <w:trHeight w:hRule="exact" w:val="854"/>
        </w:trPr>
        <w:tc>
          <w:tcPr>
            <w:tcW w:w="1843"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sz w:val="17"/>
                <w:u w:color="auto"/>
              </w:rPr>
              <w:t xml:space="preserve">单位代码</w:t>
            </w:r>
          </w:p>
        </w:tc>
        <w:tc>
          <w:tcPr>
            <w:tcW w:w="2559"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4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单位名称</w:t>
            </w:r>
          </w:p>
        </w:tc>
        <w:tc>
          <w:tcPr>
            <w:tcW w:w="335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项目名称</w:t>
            </w:r>
          </w:p>
        </w:tc>
        <w:tc>
          <w:tcPr>
            <w:tcW w:w="1511"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预算金额</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年度绩效目标</w:t>
            </w:r>
          </w:p>
        </w:tc>
      </w:tr>
      <w:tr>
        <w:tblPrEx>
          <w:tblW w:w="0" w:type="auto"/>
          <w:tblInd w:w="0" w:type="dxa"/>
          <w:tblLayout w:type="fixed"/>
          <w:tblCellMar>
            <w:top w:w="0" w:type="dxa"/>
            <w:left w:w="10" w:type="dxa"/>
            <w:bottom w:w="0" w:type="dxa"/>
            <w:right w:w="10" w:type="dxa"/>
          </w:tblCellMar>
        </w:tblPrEx>
        <w:trPr>
          <w:cantSplit/>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214001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中共环江毛南族自治县委员会宣传部</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媒体合作经费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115.00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1.根据第七届第57号常委会议议定，同意将媒体合作经费162万纳入财政预算；2.新华社合作经费。</w:t>
            </w:r>
          </w:p>
        </w:tc>
      </w:tr>
      <w:tr>
        <w:tblPrEx>
          <w:tblW w:w="0" w:type="auto"/>
          <w:tblInd w:w="0" w:type="dxa"/>
          <w:tblLayout w:type="fixed"/>
          <w:tblCellMar>
            <w:top w:w="0" w:type="dxa"/>
            <w:left w:w="10" w:type="dxa"/>
            <w:bottom w:w="0" w:type="dxa"/>
            <w:right w:w="10" w:type="dxa"/>
          </w:tblCellMar>
        </w:tblPrEx>
        <w:trPr>
          <w:cantSplit/>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214001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中共环江毛南族自治县委员会宣传部</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宣传业务经费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16.80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保证宣传业务正常开展，宣传部开展日常工作经费，包含：干部职工差旅费，办公通讯费，水电费，宣传横幅展板制作费等相关工作经费</w:t>
            </w:r>
          </w:p>
        </w:tc>
      </w:tr>
      <w:tr>
        <w:tblPrEx>
          <w:tblW w:w="0" w:type="auto"/>
          <w:tblInd w:w="0" w:type="dxa"/>
          <w:tblLayout w:type="fixed"/>
          <w:tblCellMar>
            <w:top w:w="0" w:type="dxa"/>
            <w:left w:w="10" w:type="dxa"/>
            <w:bottom w:w="0" w:type="dxa"/>
            <w:right w:w="10" w:type="dxa"/>
          </w:tblCellMar>
        </w:tblPrEx>
        <w:trPr>
          <w:cantSplit/>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214001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中共环江毛南族自治县委员会宣传部</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理论骨干及通讯员培训费用</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5.00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每年举办两期全县理论骨干、通讯员培训班，参训授课、住宿、就餐费用，以及理论骨干到县外培训费用。</w:t>
            </w:r>
          </w:p>
        </w:tc>
      </w:tr>
      <w:tr>
        <w:tblPrEx>
          <w:tblW w:w="0" w:type="auto"/>
          <w:tblInd w:w="0" w:type="dxa"/>
          <w:tblLayout w:type="fixed"/>
          <w:tblCellMar>
            <w:top w:w="0" w:type="dxa"/>
            <w:left w:w="10" w:type="dxa"/>
            <w:bottom w:w="0" w:type="dxa"/>
            <w:right w:w="10" w:type="dxa"/>
          </w:tblCellMar>
        </w:tblPrEx>
        <w:trPr>
          <w:cantSplit/>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214001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中共环江毛南族自治县委员会宣传部</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农村电影公益放映配套补助资金</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5.70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用于补助电影公司到全县各乡镇放映公益电影补贴，按照每年自治区公布的放映计划实施，农村电影公益放映配套补助资金按照放映场次进行补贴，每放映一场公益电影，自治区补贴应不低于200元／场，县级配套补贴应不低于自治区补贴的20％。2024年环江县放映场次以自治区公布后为基准。</w:t>
            </w:r>
          </w:p>
        </w:tc>
      </w:tr>
      <w:tr>
        <w:tblPrEx>
          <w:tblW w:w="0" w:type="auto"/>
          <w:tblInd w:w="0" w:type="dxa"/>
          <w:tblLayout w:type="fixed"/>
          <w:tblCellMar>
            <w:top w:w="0" w:type="dxa"/>
            <w:left w:w="10" w:type="dxa"/>
            <w:bottom w:w="0" w:type="dxa"/>
            <w:right w:w="10" w:type="dxa"/>
          </w:tblCellMar>
        </w:tblPrEx>
        <w:trPr>
          <w:cantSplit/>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214001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中共环江毛南族自治县委员会宣传部</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社会氛围宣传营造工作经费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5.00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每年更换社会氛围营造展示板、横幅标语、宣传栏等费用，以及开展重大主题宣传，印发资料，制作标语等，全面贯彻落实党中央的政策方针指示，并支付相关经费。</w:t>
            </w:r>
          </w:p>
        </w:tc>
      </w:tr>
      <w:tr>
        <w:tblPrEx>
          <w:tblW w:w="0" w:type="auto"/>
          <w:tblInd w:w="0" w:type="dxa"/>
          <w:tblLayout w:type="fixed"/>
          <w:tblCellMar>
            <w:top w:w="0" w:type="dxa"/>
            <w:left w:w="10" w:type="dxa"/>
            <w:bottom w:w="0" w:type="dxa"/>
            <w:right w:w="10" w:type="dxa"/>
          </w:tblCellMar>
        </w:tblPrEx>
        <w:trPr>
          <w:cantSplit/>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214001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中共环江毛南族自治县委员会宣传部</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精神文明创建工作经费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1.98</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1.开展文明校园、文明家庭、文明乡镇、文明单位的评选，横幅、证书、牌匾制作费用，2.宣传栏制作费用。3.工作人员开展工作相关工作经费。</w:t>
            </w:r>
          </w:p>
        </w:tc>
      </w:tr>
      <w:tr>
        <w:tblPrEx>
          <w:tblW w:w="0" w:type="auto"/>
          <w:tblInd w:w="0" w:type="dxa"/>
          <w:tblLayout w:type="fixed"/>
          <w:tblCellMar>
            <w:top w:w="0" w:type="dxa"/>
            <w:left w:w="10" w:type="dxa"/>
            <w:bottom w:w="0" w:type="dxa"/>
            <w:right w:w="10" w:type="dxa"/>
          </w:tblCellMar>
        </w:tblPrEx>
        <w:trPr>
          <w:cantSplit/>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214001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中共环江毛南族自治县委员会宣传部</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全县党报党刊征订费用</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300.00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按照《中共环江毛南族自治县委员会常委会会议纪要》（八届第177号）文件第31条内容，把全县党报党刊征订经费纳入年度财政预算。根据文件要求，按时按量完成全县党报党刊征订工作。</w:t>
            </w:r>
          </w:p>
        </w:tc>
      </w:tr>
      <w:tr>
        <w:tblPrEx>
          <w:tblW w:w="0" w:type="auto"/>
          <w:tblInd w:w="0" w:type="dxa"/>
          <w:tblLayout w:type="fixed"/>
          <w:tblCellMar>
            <w:top w:w="0" w:type="dxa"/>
            <w:left w:w="10" w:type="dxa"/>
            <w:bottom w:w="0" w:type="dxa"/>
            <w:right w:w="10" w:type="dxa"/>
          </w:tblCellMar>
        </w:tblPrEx>
        <w:trPr>
          <w:cantSplit/>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214001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中共环江毛南族自治县委员会宣传部</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新时代文明实践中心建设项目</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2.41</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今年内完成我县新时代文明实践中心建设试点项目</w:t>
            </w:r>
          </w:p>
        </w:tc>
      </w:tr>
      <w:tr>
        <w:tblPrEx>
          <w:tblW w:w="0" w:type="auto"/>
          <w:tblInd w:w="0" w:type="dxa"/>
          <w:tblLayout w:type="fixed"/>
          <w:tblCellMar>
            <w:top w:w="0" w:type="dxa"/>
            <w:left w:w="10" w:type="dxa"/>
            <w:bottom w:w="0" w:type="dxa"/>
            <w:right w:w="10" w:type="dxa"/>
          </w:tblCellMar>
        </w:tblPrEx>
        <w:trPr>
          <w:cantSplit/>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214001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中共环江毛南族自治县委员会宣传部</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电影公益性放映补贴</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32.40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全年按照计划在全县各村屯放映公益电影场次1524场，每场补助200元，共计30.48万元。资金按照上下半年放映场次分批拨付。</w:t>
            </w:r>
          </w:p>
        </w:tc>
      </w:tr>
      <w:tr>
        <w:tblPrEx>
          <w:tblW w:w="0" w:type="auto"/>
          <w:tblInd w:w="0" w:type="dxa"/>
          <w:tblLayout w:type="fixed"/>
          <w:tblCellMar>
            <w:top w:w="0" w:type="dxa"/>
            <w:left w:w="10" w:type="dxa"/>
            <w:bottom w:w="0" w:type="dxa"/>
            <w:right w:w="10" w:type="dxa"/>
          </w:tblCellMar>
        </w:tblPrEx>
        <w:trPr>
          <w:cantSplit/>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214001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中共环江毛南族自治县委员会宣传部</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专项债务经费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19.01</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此项目为单位拖欠企业债务资金。按照财政要求，于本年内完成相关债务资金支付。</w:t>
            </w:r>
          </w:p>
        </w:tc>
      </w:tr>
      <w:tr>
        <w:tblPrEx>
          <w:tblW w:w="0" w:type="auto"/>
          <w:tblInd w:w="0" w:type="dxa"/>
          <w:tblLayout w:type="fixed"/>
          <w:tblCellMar>
            <w:top w:w="0" w:type="dxa"/>
            <w:left w:w="10" w:type="dxa"/>
            <w:bottom w:w="0" w:type="dxa"/>
            <w:right w:w="10" w:type="dxa"/>
          </w:tblCellMar>
        </w:tblPrEx>
        <w:trPr>
          <w:cantSplit/>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214001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中共环江毛南族自治县委员会宣传部</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新闻出版、扫黄打非业务经费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3.00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用于新闻出版、扫黄打非举办活动奖品费用；扫黄打非、新闻出版印刷制宣传资料费用；举办培训班费用、组织召开业务相关会议费用。</w:t>
            </w:r>
          </w:p>
        </w:tc>
      </w:tr>
      <w:tr>
        <w:tblPrEx>
          <w:tblW w:w="0" w:type="auto"/>
          <w:tblInd w:w="0" w:type="dxa"/>
          <w:tblLayout w:type="fixed"/>
          <w:tblCellMar>
            <w:top w:w="0" w:type="dxa"/>
            <w:left w:w="10" w:type="dxa"/>
            <w:bottom w:w="0" w:type="dxa"/>
            <w:right w:w="10" w:type="dxa"/>
          </w:tblCellMar>
        </w:tblPrEx>
        <w:trPr>
          <w:cantSplit/>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214001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中共环江毛南族自治县委员会宣传部</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党支部组织生活保障经费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0.37</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年内开展党支部组织生活，并完成相关资金支付</w:t>
            </w:r>
          </w:p>
        </w:tc>
      </w:tr>
      <w:tr>
        <w:tblPrEx>
          <w:tblW w:w="0" w:type="auto"/>
          <w:tblInd w:w="0" w:type="dxa"/>
          <w:tblLayout w:type="fixed"/>
          <w:tblCellMar>
            <w:top w:w="0" w:type="dxa"/>
            <w:left w:w="10" w:type="dxa"/>
            <w:bottom w:w="0" w:type="dxa"/>
            <w:right w:w="10" w:type="dxa"/>
          </w:tblCellMar>
        </w:tblPrEx>
        <w:trPr>
          <w:cantSplit/>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214001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中共环江毛南族自治县委员会宣传部</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国防教育工作经费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0.75</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年内完成国防教育相关工作，并支付工作经费。</w:t>
            </w:r>
          </w:p>
        </w:tc>
      </w:tr>
      <w:tr>
        <w:tblPrEx>
          <w:tblW w:w="0" w:type="auto"/>
          <w:tblInd w:w="0" w:type="dxa"/>
          <w:tblLayout w:type="fixed"/>
          <w:tblCellMar>
            <w:top w:w="0" w:type="dxa"/>
            <w:left w:w="10" w:type="dxa"/>
            <w:bottom w:w="0" w:type="dxa"/>
            <w:right w:w="10" w:type="dxa"/>
          </w:tblCellMar>
        </w:tblPrEx>
        <w:trPr>
          <w:cantSplit/>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214001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中共环江毛南族自治县委员会宣传部</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培育和践行社会主义核心价值观工作经费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5.00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年内完成：1.核心价值观氛围宣传物料更新；2.核心价值观阵地维护宣传标语更新；3.开展核心价值观演讲等文艺活动。</w:t>
            </w:r>
          </w:p>
        </w:tc>
      </w:tr>
      <w:tr>
        <w:tblPrEx>
          <w:tblW w:w="0" w:type="auto"/>
          <w:tblInd w:w="0" w:type="dxa"/>
          <w:tblLayout w:type="fixed"/>
          <w:tblCellMar>
            <w:top w:w="0" w:type="dxa"/>
            <w:left w:w="10" w:type="dxa"/>
            <w:bottom w:w="0" w:type="dxa"/>
            <w:right w:w="10" w:type="dxa"/>
          </w:tblCellMar>
        </w:tblPrEx>
        <w:trPr>
          <w:cantSplit/>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214001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中共环江毛南族自治县委员会宣传部</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（新）全县未成年人思想道德建设工作经费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3.00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经费用于以下工作1.开展乡镇少年宫素质技能比赛。2.开展“新时代好少年”评选活动。3.未成年人思想道德工作办公用品。4.宣传资料印刷品。5.召开现场会费用。</w:t>
            </w:r>
          </w:p>
        </w:tc>
      </w:tr>
      <w:tr>
        <w:tblPrEx>
          <w:tblW w:w="0" w:type="auto"/>
          <w:tblInd w:w="0" w:type="dxa"/>
          <w:tblLayout w:type="fixed"/>
          <w:tblCellMar>
            <w:top w:w="0" w:type="dxa"/>
            <w:left w:w="10" w:type="dxa"/>
            <w:bottom w:w="0" w:type="dxa"/>
            <w:right w:w="10" w:type="dxa"/>
          </w:tblCellMar>
        </w:tblPrEx>
        <w:trPr>
          <w:cantSplit/>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214001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中共环江毛南族自治县委员会宣传部</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（新）全县宣传思想工作经费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8.50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年内进乡镇、企业、社区、厂矿进行理论宣讲，购买理论资料、印刷宣传资料费用；开展相关新闻报道和对内对外宣传工作。</w:t>
            </w:r>
          </w:p>
        </w:tc>
      </w:tr>
      <w:tr>
        <w:tblPrEx>
          <w:tblW w:w="0" w:type="auto"/>
          <w:tblInd w:w="0" w:type="dxa"/>
          <w:tblLayout w:type="fixed"/>
          <w:tblCellMar>
            <w:top w:w="0" w:type="dxa"/>
            <w:left w:w="10" w:type="dxa"/>
            <w:bottom w:w="0" w:type="dxa"/>
            <w:right w:w="10" w:type="dxa"/>
          </w:tblCellMar>
        </w:tblPrEx>
        <w:trPr>
          <w:cantSplit/>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214001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中共环江毛南族自治县委员会宣传部</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网络管理服务中心经费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3.00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内由网络服务中心开展全县网络舆情监控、网络问政、跟帖、网络安全宣传等工作。自治县网信办开展宣传、培训工作。并支出相关经费</w:t>
            </w:r>
          </w:p>
        </w:tc>
      </w:tr>
      <w:tr>
        <w:tblPrEx>
          <w:tblW w:w="0" w:type="auto"/>
          <w:tblInd w:w="0" w:type="dxa"/>
          <w:tblLayout w:type="fixed"/>
          <w:tblCellMar>
            <w:top w:w="0" w:type="dxa"/>
            <w:left w:w="10" w:type="dxa"/>
            <w:bottom w:w="0" w:type="dxa"/>
            <w:right w:w="10" w:type="dxa"/>
          </w:tblCellMar>
        </w:tblPrEx>
        <w:trPr>
          <w:cantSplit/>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214001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中共环江毛南族自治县委员会宣传部</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（新）戏曲进校园、戏曲进乡村</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2.00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此项目资金用于年内开展以下活动：1.组织全县符合举办条件的学校，开展相关文艺活动。2.文艺下乡创作人员采风。3.组织文艺骨干力量外出学习培训经。并完成经费支出</w:t>
            </w:r>
          </w:p>
        </w:tc>
      </w:tr>
      <w:tr>
        <w:tblPrEx>
          <w:tblW w:w="0" w:type="auto"/>
          <w:tblInd w:w="0" w:type="dxa"/>
          <w:tblLayout w:type="fixed"/>
          <w:tblCellMar>
            <w:top w:w="0" w:type="dxa"/>
            <w:left w:w="10" w:type="dxa"/>
            <w:bottom w:w="0" w:type="dxa"/>
            <w:right w:w="10" w:type="dxa"/>
          </w:tblCellMar>
        </w:tblPrEx>
        <w:trPr>
          <w:cantSplit/>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214001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中共环江毛南族自治县委员会宣传部</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理论中心组学习工作经费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1.90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年内按照相关规定，组织开展县委领导理论中心组学习讨论，并完成相关经费支付。</w:t>
            </w:r>
          </w:p>
        </w:tc>
      </w:tr>
      <w:tr>
        <w:tblPrEx>
          <w:tblW w:w="0" w:type="auto"/>
          <w:tblInd w:w="0" w:type="dxa"/>
          <w:tblLayout w:type="fixed"/>
          <w:tblCellMar>
            <w:top w:w="0" w:type="dxa"/>
            <w:left w:w="10" w:type="dxa"/>
            <w:bottom w:w="0" w:type="dxa"/>
            <w:right w:w="10" w:type="dxa"/>
          </w:tblCellMar>
        </w:tblPrEx>
        <w:trPr>
          <w:cantSplit/>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214001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中共环江毛南族自治县委员会宣传部</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新时代文明实践工作和少年宫运转</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9.00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年内开展新时代文明实践工作，以及少年宫活动，并完成相关资金支付。</w:t>
            </w:r>
          </w:p>
        </w:tc>
      </w:tr>
      <w:tr>
        <w:tblPrEx>
          <w:tblW w:w="0" w:type="auto"/>
          <w:tblInd w:w="0" w:type="dxa"/>
          <w:tblLayout w:type="fixed"/>
          <w:tblCellMar>
            <w:top w:w="0" w:type="dxa"/>
            <w:left w:w="10" w:type="dxa"/>
            <w:bottom w:w="0" w:type="dxa"/>
            <w:right w:w="10" w:type="dxa"/>
          </w:tblCellMar>
        </w:tblPrEx>
        <w:trPr>
          <w:cantSplit/>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214001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中共环江毛南族自治县委员会宣传部</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意识形态责任制落实工作经费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3.00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根据每年意识形态责任制落实工作要求，开展相关工作，并支出工作经费。</w:t>
            </w:r>
          </w:p>
        </w:tc>
      </w:tr>
    </w:tbl>
    <w:p>
      <w:pPr>
        <w:jc w:val="left"/>
        <w:rPr>
          <w:rFonts w:hint="eastAsia"/>
        </w:rPr>
      </w:pPr>
      <w:r>
        <w:t xml:space="preserve">注：本报表金额单位转换时可能存在四舍五入尾数误差。</w:t>
      </w:r>
    </w:p>
    <w:p>
      <w:pPr>
        <w:jc w:val="left"/>
        <w:rPr>
          <w:rFonts w:hint="eastAsia"/>
          <w:lang w:eastAsia="zh-CN"/>
        </w:rPr>
        <w:sectPr>
          <w:headerReference w:type="default" r:id="rId20"/>
          <w:footerReference w:type="default" r:id="rId21"/>
          <w:pgSz w:w="16840" w:h="11900" w:orient="landscape"/>
          <w:pgMar w:top="2714" w:right="764" w:bottom="2714" w:left="735" w:header="2286" w:footer="1474" w:gutter="0"/>
          <w:pgBorders>
            <w:top w:val="none" w:sz="0" w:space="0" w:color="auto"/>
            <w:left w:val="none" w:sz="0" w:space="0" w:color="auto"/>
            <w:bottom w:val="none" w:sz="0" w:space="0" w:color="auto"/>
            <w:right w:val="none" w:sz="0" w:space="0" w:color="auto"/>
          </w:pgBorders>
          <w:pgNumType w:fmt="decimal"/>
          <w:cols w:num="1" w:space="720">
            <w:col w:w="15341" w:space="720"/>
          </w:cols>
          <w:docGrid w:linePitch="360" w:charSpace="0"/>
        </w:sectPr>
      </w:pPr>
    </w:p>
    <w:p>
      <w:pPr>
        <w:pStyle w:val="Heading#1|1"/>
        <w:keepNext/>
        <w:keepLines/>
        <w:spacing w:before="200" w:after="0"/>
        <w:jc w:val="center"/>
        <w:rPr>
          <w:sz w:val="40"/>
          <w:szCs w:val="40"/>
        </w:rPr>
      </w:pPr>
      <w:bookmarkStart w:id="32" w:name="bookmark94"/>
      <w:bookmarkStart w:id="33" w:name="bookmark95"/>
      <w:bookmarkStart w:id="34" w:name="bookmark96"/>
      <w:r>
        <w:rPr>
          <w:sz w:val="40"/>
          <w:szCs w:val="40"/>
        </w:rPr>
        <w:t xml:space="preserve">第四部</w:t>
      </w:r>
      <w:r>
        <w:rPr>
          <w:sz w:val="40"/>
          <w:szCs w:val="40"/>
        </w:rPr>
        <w:t xml:space="preserve">分名词解释</w:t>
      </w:r>
      <w:bookmarkEnd w:id="32"/>
      <w:bookmarkEnd w:id="33"/>
      <w:bookmarkEnd w:id="34"/>
    </w:p>
    <w:p>
      <w:pPr>
        <w:pStyle w:val="Bodytext|1"/>
        <w:tabs>
          <w:tab w:val="left" w:pos="1270"/>
        </w:tabs>
        <w:spacing w:line="626" w:lineRule="exact"/>
        <w:ind w:firstLine="640"/>
        <w:jc w:val="left"/>
      </w:pPr>
      <w:bookmarkStart w:id="35" w:name="bookmark97"/>
      <w:r>
        <w:t xml:space="preserve">一</w:t>
      </w:r>
      <w:bookmarkEnd w:id="35"/>
      <w:r>
        <w:t xml:space="preserve">、</w:t>
      </w:r>
      <w:r>
        <w:tab/>
      </w:r>
      <w:r>
        <w:t xml:space="preserve">财政拨款收入：指预算单位从本级财政部门取得的财政预算资金收入。</w:t>
      </w:r>
    </w:p>
    <w:p>
      <w:pPr>
        <w:pStyle w:val="Bodytext|1"/>
        <w:tabs>
          <w:tab w:val="left" w:pos="1280"/>
        </w:tabs>
        <w:spacing w:line="626" w:lineRule="exact"/>
        <w:ind w:firstLine="640"/>
        <w:jc w:val="left"/>
      </w:pPr>
      <w:bookmarkStart w:id="36" w:name="bookmark98"/>
      <w:r>
        <w:t xml:space="preserve">二</w:t>
      </w:r>
      <w:bookmarkEnd w:id="36"/>
      <w:r>
        <w:t xml:space="preserve">、</w:t>
      </w:r>
      <w:r>
        <w:tab/>
      </w:r>
      <w:r>
        <w:t xml:space="preserve">事业收入：指事业单位开展专业业务活动及辅助活动所取得的收入。</w:t>
      </w:r>
    </w:p>
    <w:p>
      <w:pPr>
        <w:pStyle w:val="Bodytext|1"/>
        <w:tabs>
          <w:tab w:val="left" w:pos="1275"/>
        </w:tabs>
        <w:spacing w:line="626" w:lineRule="exact"/>
        <w:ind w:firstLine="640"/>
        <w:jc w:val="left"/>
      </w:pPr>
      <w:bookmarkStart w:id="37" w:name="bookmark99"/>
      <w:r>
        <w:t xml:space="preserve">三</w:t>
      </w:r>
      <w:bookmarkEnd w:id="37"/>
      <w:r>
        <w:t xml:space="preserve">、</w:t>
      </w:r>
      <w:r>
        <w:tab/>
      </w:r>
      <w:r>
        <w:t xml:space="preserve">经营收入：指事业单位在专业业务活动及其辅助活动之外开展非独立核算经营活动取得的收入。</w:t>
      </w:r>
    </w:p>
    <w:p>
      <w:pPr>
        <w:pStyle w:val="Bodytext|1"/>
        <w:tabs>
          <w:tab w:val="left" w:pos="1309"/>
        </w:tabs>
        <w:spacing w:line="626" w:lineRule="exact"/>
        <w:ind w:firstLine="640"/>
        <w:jc w:val="left"/>
      </w:pPr>
      <w:bookmarkStart w:id="38" w:name="bookmark100"/>
      <w:r>
        <w:t xml:space="preserve">四</w:t>
      </w:r>
      <w:bookmarkEnd w:id="38"/>
      <w:r>
        <w:t xml:space="preserve">、</w:t>
      </w:r>
      <w:r>
        <w:tab/>
      </w:r>
      <w:r>
        <w:t xml:space="preserve">其他收入：指除上述</w:t>
      </w:r>
      <w:r>
        <w:rPr>
          <w:lang w:val="zh-CN" w:eastAsia="zh-CN" w:bidi="zh-CN"/>
        </w:rPr>
        <w:t xml:space="preserve">“财</w:t>
      </w:r>
      <w:r>
        <w:t xml:space="preserve">政拨款收入”、</w:t>
      </w:r>
      <w:r>
        <w:rPr>
          <w:lang w:val="zh-CN" w:eastAsia="zh-CN" w:bidi="zh-CN"/>
        </w:rPr>
        <w:t xml:space="preserve">“事</w:t>
      </w:r>
      <w:r>
        <w:t xml:space="preserve">业收入"、</w:t>
      </w:r>
      <w:r>
        <w:rPr>
          <w:lang w:val="zh-CN" w:eastAsia="zh-CN" w:bidi="zh-CN"/>
        </w:rPr>
        <w:t xml:space="preserve">“经营</w:t>
      </w:r>
      <w:r>
        <w:t xml:space="preserve">收入"等以外的收入。主要是非本级财政拨款、存款利息收入、事业单位固定资产出租收入等。</w:t>
      </w:r>
    </w:p>
    <w:p>
      <w:pPr>
        <w:pStyle w:val="Bodytext|1"/>
        <w:tabs>
          <w:tab w:val="left" w:pos="1275"/>
        </w:tabs>
        <w:spacing w:line="626" w:lineRule="exact"/>
        <w:ind w:firstLine="640"/>
        <w:jc w:val="left"/>
      </w:pPr>
      <w:bookmarkStart w:id="39" w:name="bookmark101"/>
      <w:r>
        <w:t xml:space="preserve">五</w:t>
      </w:r>
      <w:bookmarkEnd w:id="39"/>
      <w:r>
        <w:t xml:space="preserve">、</w:t>
      </w:r>
      <w:r>
        <w:tab/>
      </w:r>
      <w:r>
        <w:t xml:space="preserve">用事业基金弥补收支差额：指事业单位在用当年的</w:t>
      </w:r>
      <w:r>
        <w:rPr>
          <w:lang w:val="zh-CN" w:eastAsia="zh-CN" w:bidi="zh-CN"/>
        </w:rPr>
        <w:t xml:space="preserve">“财</w:t>
      </w:r>
      <w:r>
        <w:t xml:space="preserve">政拨款收入"、</w:t>
      </w:r>
      <w:r>
        <w:rPr>
          <w:lang w:val="zh-CN" w:eastAsia="zh-CN" w:bidi="zh-CN"/>
        </w:rPr>
        <w:t xml:space="preserve">“事业</w:t>
      </w:r>
      <w:r>
        <w:t xml:space="preserve">收入"、</w:t>
      </w:r>
      <w:r>
        <w:rPr>
          <w:lang w:val="zh-CN" w:eastAsia="zh-CN" w:bidi="zh-CN"/>
        </w:rPr>
        <w:t xml:space="preserve">“经营</w:t>
      </w:r>
      <w:r>
        <w:t xml:space="preserve">收入"、</w:t>
      </w:r>
      <w:r>
        <w:rPr>
          <w:lang w:val="zh-CN" w:eastAsia="zh-CN" w:bidi="zh-CN"/>
        </w:rPr>
        <w:t xml:space="preserve">“其他</w:t>
      </w:r>
      <w:r>
        <w:t xml:space="preserve">收入"不足以安排当年支出的情况下，使用以前年度积累的事业基金（事业单位当年收支相抵后按国家规定提取、用于弥补以后年度收支差额的基金）弥补本年度收支缺口的资金。</w:t>
      </w:r>
    </w:p>
    <w:p>
      <w:pPr>
        <w:pStyle w:val="Bodytext|1"/>
        <w:tabs>
          <w:tab w:val="left" w:pos="1270"/>
        </w:tabs>
        <w:spacing w:line="626" w:lineRule="exact"/>
        <w:ind w:firstLine="640"/>
        <w:jc w:val="left"/>
      </w:pPr>
      <w:bookmarkStart w:id="40" w:name="bookmark102"/>
      <w:r>
        <w:t xml:space="preserve">六</w:t>
      </w:r>
      <w:bookmarkEnd w:id="40"/>
      <w:r>
        <w:t xml:space="preserve">、</w:t>
      </w:r>
      <w:r>
        <w:tab/>
      </w:r>
      <w:r>
        <w:t xml:space="preserve">年初结转和结余：指以前年度尚未完成、结转到本年按有关规定继续使用的资金。</w:t>
      </w:r>
    </w:p>
    <w:p>
      <w:pPr>
        <w:pStyle w:val="Bodytext|1"/>
        <w:tabs>
          <w:tab w:val="left" w:pos="1275"/>
        </w:tabs>
        <w:spacing w:line="626" w:lineRule="exact"/>
        <w:ind w:firstLine="640"/>
        <w:jc w:val="left"/>
      </w:pPr>
      <w:bookmarkStart w:id="41" w:name="bookmark103"/>
      <w:r>
        <w:t xml:space="preserve">七</w:t>
      </w:r>
      <w:bookmarkEnd w:id="41"/>
      <w:r>
        <w:t xml:space="preserve">、</w:t>
      </w:r>
      <w:r>
        <w:tab/>
      </w:r>
      <w:r>
        <w:t xml:space="preserve">结余分配：指事业单位按规定提取的职工福利基金、事业基金和缴纳的所得税，以及建设单位按规定应交回的基本建设竣工项目结余资金。</w:t>
      </w:r>
    </w:p>
    <w:p>
      <w:pPr>
        <w:pStyle w:val="Bodytext|1"/>
        <w:tabs>
          <w:tab w:val="left" w:pos="632"/>
        </w:tabs>
        <w:spacing w:line="626" w:lineRule="exact"/>
        <w:ind w:firstLine="640"/>
        <w:jc w:val="left"/>
      </w:pPr>
      <w:bookmarkStart w:id="42" w:name="bookmark104"/>
      <w:r>
        <w:t xml:space="preserve">八</w:t>
      </w:r>
      <w:bookmarkEnd w:id="42"/>
      <w:r>
        <w:t xml:space="preserve">、</w:t>
      </w:r>
      <w:r>
        <w:tab/>
      </w:r>
      <w:r>
        <w:t xml:space="preserve">年末结转和结余：指本年度或以前年度预算安排、因客观条件发生变化无法按原计划实施，需要延迟到以后年度按有关规定继续使用的资金。</w:t>
      </w:r>
    </w:p>
    <w:p>
      <w:pPr>
        <w:pStyle w:val="Bodytext|1"/>
        <w:spacing w:line="628" w:lineRule="exact"/>
        <w:ind w:firstLine="640"/>
        <w:jc w:val="left"/>
      </w:pPr>
      <w:bookmarkStart w:id="43" w:name="bookmark105"/>
      <w:r>
        <w:t xml:space="preserve">九</w:t>
      </w:r>
      <w:bookmarkEnd w:id="43"/>
      <w:r>
        <w:t xml:space="preserve">、基本支出：指为保障机构正常运转、完成日常工作任务而发生的人员支出和公用支出。</w:t>
      </w:r>
    </w:p>
    <w:p>
      <w:pPr>
        <w:pStyle w:val="Bodytext|1"/>
        <w:spacing w:line="628" w:lineRule="exact"/>
        <w:ind w:firstLine="640"/>
        <w:jc w:val="left"/>
      </w:pPr>
      <w:r>
        <w:t xml:space="preserve">十、项目支出：指在基本支出之外为完成特定行政任务和事业发展目标所发生的支出。</w:t>
      </w:r>
    </w:p>
    <w:p>
      <w:pPr>
        <w:pStyle w:val="Bodytext|1"/>
        <w:spacing w:line="628" w:lineRule="exact"/>
        <w:ind w:firstLine="640"/>
        <w:jc w:val="left"/>
      </w:pPr>
      <w:r>
        <w:t xml:space="preserve">十一、经营支出：指事业单位在专业业务活动及其辅助活动之外开展非独立核算经营活动所发生的支出。</w:t>
      </w:r>
    </w:p>
    <w:p>
      <w:pPr>
        <w:pStyle w:val="Bodytext|1"/>
        <w:spacing w:line="628" w:lineRule="exact"/>
        <w:ind w:firstLine="640"/>
        <w:jc w:val="left"/>
      </w:pPr>
      <w:r>
        <w:t xml:space="preserve">十二、</w:t>
      </w:r>
      <w:r>
        <w:rPr>
          <w:lang w:val="zh-CN" w:eastAsia="zh-CN" w:bidi="zh-CN"/>
        </w:rPr>
        <w:t xml:space="preserve">“三</w:t>
      </w:r>
      <w:r>
        <w:t xml:space="preserve">公”经费：纳入财政预决算管理的</w:t>
      </w:r>
      <w:r>
        <w:rPr>
          <w:lang w:val="zh-CN" w:eastAsia="zh-CN" w:bidi="zh-CN"/>
        </w:rPr>
        <w:t xml:space="preserve">“三公</w:t>
      </w:r>
      <w:r>
        <w:t xml:space="preserve">”经费，是指市本级各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pStyle w:val="Bodytext|1"/>
        <w:spacing w:line="628" w:lineRule="exact"/>
        <w:ind w:firstLine="640"/>
        <w:jc w:val="left"/>
      </w:pPr>
      <w:r>
        <w:t xml:space="preserve">十三、机关运行经费：为保障行政单位（含参照公务员法管理的事业单位、机关服务中心）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headerReference w:type="default" r:id="rId22"/>
      <w:footerReference w:type="default" r:id="rId23"/>
      <w:type w:val="continuous"/>
      <w:pgSz w:w="11900" w:h="16840" w:orient="portrait"/>
      <w:pgMar w:top="1302" w:right="1735" w:bottom="1568" w:left="1793" w:header="874" w:footer="1077" w:gutter="0"/>
      <w:pgBorders>
        <w:top w:val="none" w:sz="0" w:space="0" w:color="auto"/>
        <w:left w:val="none" w:sz="0" w:space="0" w:color="auto"/>
        <w:bottom w:val="none" w:sz="0" w:space="0" w:color="auto"/>
        <w:right w:val="none" w:sz="0" w:space="0" w:color="auto"/>
      </w:pgBorders>
      <w:pgNumType w:fmt="decimal"/>
      <w:cols w:num="1" w:space="720">
        <w:col w:w="8372" w:space="720"/>
      </w:cols>
      <w:docGrid w:linePitch="360" w:charSpace="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Auto"/>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Auto"/>
    <w:pitch w:val="default"/>
    <w:sig w:usb0="E0002EFF" w:usb1="C0007843" w:usb2="00000009" w:usb3="00000000" w:csb0="400001FF" w:csb1="FFFF0000"/>
  </w:font>
  <w:font w:name="Symbol">
    <w:panose1 w:val="05050102010706020507"/>
    <w:charset w:val="02"/>
    <w:family w:val="Auto"/>
    <w:pitch w:val="default"/>
    <w:sig w:usb0="00000000" w:usb1="00000000" w:usb2="00000000" w:usb3="00000000" w:csb0="80000000" w:csb1="00000000"/>
  </w:font>
  <w:font w:name="Calibri">
    <w:panose1 w:val="020F0502020204030204"/>
    <w:charset w:val="00"/>
    <w:family w:val="Auto"/>
    <w:pitch w:val="default"/>
    <w:sig w:usb0="E4002EFF" w:usb1="C200247B" w:usb2="00000009" w:usb3="00000000" w:csb0="200001FF"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13" name="文本框 2"/>
              <wp:cNvGraphicFramePr>
                <a:graphicFrameLocks noChangeAspect="0"/>
              </wp:cNvGraphicFramePr>
              <a:graphic>
                <a:graphicData uri="http://schemas.microsoft.com/office/word/2010/wordprocessingShape">
                  <wps:wsp>
                    <wps:cNvSpPr/>
                    <wps:spPr>
                      <a:xfrm>
                        <a:off x="0" y="0"/>
                        <a:ext cx="1828800" cy="1828800"/>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2</w:t>
                          </w:r>
                          <w: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shape id="文本框 2" o:spid="_x0000_s2327" type="#_x0000_t202" style="height:2in;margin-left:0;margin-top:0;mso-height-relative:page;mso-position-horizontal:center;mso-position-horizontal-relative:margin;mso-width-relative:page;mso-wrap-distance-bottom:0;mso-wrap-distance-left:9pt;mso-wrap-distance-right:9pt;mso-wrap-distance-top:0;mso-wrap-style:none;position:absolute;v-text-anchor:top;width:2in;z-index:251661312" coordsize="21600,21600" filled="f" stroked="f" strokeweight="0.5pt">
              <w10:bordertop type="none" width="0"/>
              <w10:borderleft type="none" width="0"/>
              <w10:borderbottom type="none" width="0"/>
              <w10:borderright type="none" width="0"/>
              <v:textbox style="layout-flow:horizontal;mso-fit-shape-to-text:t" inset="0,0,0,0">
                <w:txbxContent>
                  <w:p>
                    <w:pPr>
                      <w:pStyle w:val="Footer"/>
                    </w:pPr>
                    <w:r>
                      <w:fldChar w:fldCharType="begin"/>
                    </w:r>
                    <w:r>
                      <w:instrText xml:space="preserve"> PAGE  \* MERGEFORMAT </w:instrText>
                    </w:r>
                    <w:r>
                      <w:fldChar w:fldCharType="separate"/>
                    </w:r>
                    <w:r>
                      <w:t xml:space="preserve">2</w:t>
                    </w:r>
                    <w:r>
                      <w:fldChar w:fldCharType="end"/>
                    </w:r>
                  </w:p>
                </w:txbxContent>
              </v:textbox>
            </v:shape>
          </w:pict>
        </mc:Fallback>
      </mc:AlternateContent>
    </w:r>
  </w:p>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2336" behindDoc="0" locked="0" layoutInCell="1" allowOverlap="1">
              <wp:simplePos x="0" y="0"/>
              <wp:positionH relativeFrom="margin">
                <wp:posOffset>2574925</wp:posOffset>
              </wp:positionH>
              <wp:positionV relativeFrom="paragraph">
                <wp:posOffset>0</wp:posOffset>
              </wp:positionV>
              <wp:extent cx="394970" cy="168910"/>
              <wp:effectExtent l="0" t="0" r="0" b="0"/>
              <wp:wrapNone/>
              <wp:docPr id="821" name="文本框 4"/>
              <wp:cNvGraphicFramePr>
                <a:graphicFrameLocks noChangeAspect="0"/>
              </wp:cNvGraphicFramePr>
              <a:graphic>
                <a:graphicData uri="http://schemas.microsoft.com/office/word/2010/wordprocessingShape">
                  <wps:wsp>
                    <wps:cNvSpPr/>
                    <wps:spPr>
                      <a:xfrm>
                        <a:off x="0" y="0"/>
                        <a:ext cx="394970" cy="168910"/>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4</w:t>
                          </w:r>
                          <w:r>
                            <w:fldChar w:fldCharType="end"/>
                          </w:r>
                        </w:p>
                      </w:txbxContent>
                    </wps:txbx>
                    <wps:bodyPr rot="0" spcFirstLastPara="0" vertOverflow="overflow" horzOverflow="overflow" vert="horz" wrap="square" lIns="0" tIns="0" rIns="0" bIns="0" numCol="1" rtlCol="0" anchor="t" upright="0">
                      <a:noAutofit/>
                    </wps:bodyPr>
                  </wps:wsp>
                </a:graphicData>
              </a:graphic>
            </wp:anchor>
          </w:drawing>
        </mc:Choice>
        <mc:Fallback>
          <w:pict>
            <v:shape id="文本框 4" o:spid="_x0000_s2329" type="#_x0000_t202" style="height:13.3pt;margin-left:202.75pt;margin-top:0;mso-height-relative:page;mso-position-horizontal-relative:margin;mso-width-relative:page;mso-wrap-distance-bottom:0;mso-wrap-distance-left:9pt;mso-wrap-distance-right:9pt;mso-wrap-distance-top:0;mso-wrap-style:square;position:absolute;v-text-anchor:top;width:31.1pt;z-index:251662336" coordsize="21600,21600" filled="f" stroked="f" strokeweight="0.5pt">
              <w10:bordertop type="none" width="0"/>
              <w10:borderleft type="none" width="0"/>
              <w10:borderbottom type="none" width="0"/>
              <w10:borderright type="none" width="0"/>
              <v:textbox style="layout-flow:horizontal" inset="0,0,0,0">
                <w:txbxContent>
                  <w:p>
                    <w:pPr>
                      <w:pStyle w:val="Footer"/>
                    </w:pPr>
                    <w:r>
                      <w:fldChar w:fldCharType="begin"/>
                    </w:r>
                    <w:r>
                      <w:instrText xml:space="preserve"> PAGE  \* MERGEFORMAT </w:instrText>
                    </w:r>
                    <w:r>
                      <w:fldChar w:fldCharType="separate"/>
                    </w:r>
                    <w:r>
                      <w:t xml:space="preserve">4</w:t>
                    </w:r>
                    <w:r>
                      <w:fldChar w:fldCharType="end"/>
                    </w:r>
                  </w:p>
                </w:txbxContent>
              </v:textbox>
            </v:shape>
          </w:pict>
        </mc:Fallback>
      </mc:AlternateContent>
    </w:r>
  </w:p>
</w:ftr>
</file>

<file path=word/footer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3360" behindDoc="0" locked="0" layoutInCell="1" allowOverlap="1">
              <wp:simplePos x="0" y="0"/>
              <wp:positionH relativeFrom="margin">
                <wp:posOffset>4810125</wp:posOffset>
              </wp:positionH>
              <wp:positionV relativeFrom="paragraph">
                <wp:posOffset>0</wp:posOffset>
              </wp:positionV>
              <wp:extent cx="440055" cy="206375"/>
              <wp:effectExtent l="0" t="0" r="0" b="0"/>
              <wp:wrapNone/>
              <wp:docPr id="823" name="文本框 7"/>
              <wp:cNvGraphicFramePr>
                <a:graphicFrameLocks noChangeAspect="0"/>
              </wp:cNvGraphicFramePr>
              <a:graphic>
                <a:graphicData uri="http://schemas.microsoft.com/office/word/2010/wordprocessingShape">
                  <wps:wsp>
                    <wps:cNvSpPr/>
                    <wps:spPr>
                      <a:xfrm>
                        <a:off x="0" y="0"/>
                        <a:ext cx="440055" cy="206375"/>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15</w:t>
                          </w:r>
                          <w:r>
                            <w:fldChar w:fldCharType="end"/>
                          </w:r>
                        </w:p>
                      </w:txbxContent>
                    </wps:txbx>
                    <wps:bodyPr rot="0" spcFirstLastPara="0" vertOverflow="overflow" horzOverflow="overflow" vert="horz" wrap="square" lIns="0" tIns="0" rIns="0" bIns="0" numCol="1" rtlCol="0" anchor="t" upright="0">
                      <a:noAutofit/>
                    </wps:bodyPr>
                  </wps:wsp>
                </a:graphicData>
              </a:graphic>
            </wp:anchor>
          </w:drawing>
        </mc:Choice>
        <mc:Fallback>
          <w:pict>
            <v:shape id="文本框 7" o:spid="_x0000_s2331" type="#_x0000_t202" style="height:16.25pt;margin-left:378.75pt;margin-top:0;mso-height-relative:page;mso-position-horizontal-relative:margin;mso-width-relative:page;mso-wrap-distance-bottom:0;mso-wrap-distance-left:9pt;mso-wrap-distance-right:9pt;mso-wrap-distance-top:0;mso-wrap-style:square;position:absolute;v-text-anchor:top;width:34.65pt;z-index:251663360" coordsize="21600,21600" filled="f" stroked="f" strokeweight="0.5pt">
              <w10:bordertop type="none" width="0"/>
              <w10:borderleft type="none" width="0"/>
              <w10:borderbottom type="none" width="0"/>
              <w10:borderright type="none" width="0"/>
              <v:textbox style="layout-flow:horizontal" inset="0,0,0,0">
                <w:txbxContent>
                  <w:p>
                    <w:pPr>
                      <w:pStyle w:val="Footer"/>
                    </w:pPr>
                    <w:r>
                      <w:fldChar w:fldCharType="begin"/>
                    </w:r>
                    <w:r>
                      <w:instrText xml:space="preserve"> PAGE  \* MERGEFORMAT </w:instrText>
                    </w:r>
                    <w:r>
                      <w:fldChar w:fldCharType="separate"/>
                    </w:r>
                    <w:r>
                      <w:t xml:space="preserve">15</w:t>
                    </w:r>
                    <w:r>
                      <w:fldChar w:fldCharType="end"/>
                    </w:r>
                  </w:p>
                </w:txbxContent>
              </v:textbox>
            </v:shape>
          </w:pict>
        </mc:Fallback>
      </mc:AlternateContent>
    </w:r>
  </w:p>
</w:ftr>
</file>

<file path=word/footer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4384" behindDoc="0" locked="0" layoutInCell="1" allowOverlap="1">
              <wp:simplePos x="0" y="0"/>
              <wp:positionH relativeFrom="margin">
                <wp:posOffset>4538345</wp:posOffset>
              </wp:positionH>
              <wp:positionV relativeFrom="paragraph">
                <wp:posOffset>-151765</wp:posOffset>
              </wp:positionV>
              <wp:extent cx="478790" cy="323215"/>
              <wp:effectExtent l="0" t="0" r="0" b="0"/>
              <wp:wrapNone/>
              <wp:docPr id="824" name="文本框 9"/>
              <wp:cNvGraphicFramePr>
                <a:graphicFrameLocks noChangeAspect="0"/>
              </wp:cNvGraphicFramePr>
              <a:graphic>
                <a:graphicData uri="http://schemas.microsoft.com/office/word/2010/wordprocessingShape">
                  <wps:wsp>
                    <wps:cNvSpPr/>
                    <wps:spPr>
                      <a:xfrm>
                        <a:off x="0" y="0"/>
                        <a:ext cx="478790" cy="323215"/>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16</w:t>
                          </w:r>
                          <w:r>
                            <w:fldChar w:fldCharType="end"/>
                          </w:r>
                        </w:p>
                      </w:txbxContent>
                    </wps:txbx>
                    <wps:bodyPr rot="0" spcFirstLastPara="0" vertOverflow="overflow" horzOverflow="overflow" vert="horz" wrap="square" lIns="0" tIns="0" rIns="0" bIns="0" numCol="1" rtlCol="0" anchor="t" upright="0">
                      <a:noAutofit/>
                    </wps:bodyPr>
                  </wps:wsp>
                </a:graphicData>
              </a:graphic>
            </wp:anchor>
          </w:drawing>
        </mc:Choice>
        <mc:Fallback>
          <w:pict>
            <v:shape id="文本框 9" o:spid="_x0000_s2332" type="#_x0000_t202" style="height:25.45pt;margin-left:357.35pt;margin-top:-11.95pt;mso-height-relative:page;mso-position-horizontal-relative:margin;mso-width-relative:page;mso-wrap-distance-bottom:0;mso-wrap-distance-left:9pt;mso-wrap-distance-right:9pt;mso-wrap-distance-top:0;mso-wrap-style:square;position:absolute;v-text-anchor:top;width:37.7pt;z-index:251664384" coordsize="21600,21600" filled="f" stroked="f" strokeweight="0.5pt">
              <w10:bordertop type="none" width="0"/>
              <w10:borderleft type="none" width="0"/>
              <w10:borderbottom type="none" width="0"/>
              <w10:borderright type="none" width="0"/>
              <v:textbox style="layout-flow:horizontal" inset="0,0,0,0">
                <w:txbxContent>
                  <w:p>
                    <w:pPr>
                      <w:pStyle w:val="Footer"/>
                    </w:pPr>
                    <w:r>
                      <w:fldChar w:fldCharType="begin"/>
                    </w:r>
                    <w:r>
                      <w:instrText xml:space="preserve"> PAGE  \* MERGEFORMAT </w:instrText>
                    </w:r>
                    <w:r>
                      <w:fldChar w:fldCharType="separate"/>
                    </w:r>
                    <w:r>
                      <w:t xml:space="preserve">16</w:t>
                    </w:r>
                    <w:r>
                      <w:fldChar w:fldCharType="end"/>
                    </w:r>
                  </w:p>
                </w:txbxContent>
              </v:textbox>
            </v:shape>
          </w:pict>
        </mc:Fallback>
      </mc:AlternateContent>
    </w:r>
  </w:p>
</w:ftr>
</file>

<file path=word/footer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5408" behindDoc="0" locked="0" layoutInCell="1" allowOverlap="1">
              <wp:simplePos x="0" y="0"/>
              <wp:positionH relativeFrom="margin">
                <wp:posOffset>4473575</wp:posOffset>
              </wp:positionH>
              <wp:positionV relativeFrom="paragraph">
                <wp:posOffset>-86360</wp:posOffset>
              </wp:positionV>
              <wp:extent cx="447040" cy="267970"/>
              <wp:effectExtent l="0" t="0" r="0" b="0"/>
              <wp:wrapNone/>
              <wp:docPr id="825" name="文本框 11"/>
              <wp:cNvGraphicFramePr>
                <a:graphicFrameLocks noChangeAspect="0"/>
              </wp:cNvGraphicFramePr>
              <a:graphic>
                <a:graphicData uri="http://schemas.microsoft.com/office/word/2010/wordprocessingShape">
                  <wps:wsp>
                    <wps:cNvSpPr/>
                    <wps:spPr>
                      <a:xfrm>
                        <a:off x="0" y="0"/>
                        <a:ext cx="447040" cy="267970"/>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17</w:t>
                          </w:r>
                          <w:r>
                            <w:fldChar w:fldCharType="end"/>
                          </w:r>
                        </w:p>
                      </w:txbxContent>
                    </wps:txbx>
                    <wps:bodyPr rot="0" spcFirstLastPara="0" vertOverflow="overflow" horzOverflow="overflow" vert="horz" wrap="square" lIns="0" tIns="0" rIns="0" bIns="0" numCol="1" rtlCol="0" anchor="t" upright="0">
                      <a:noAutofit/>
                    </wps:bodyPr>
                  </wps:wsp>
                </a:graphicData>
              </a:graphic>
            </wp:anchor>
          </w:drawing>
        </mc:Choice>
        <mc:Fallback>
          <w:pict>
            <v:shape id="文本框 11" o:spid="_x0000_s2333" type="#_x0000_t202" style="height:21.1pt;margin-left:352.25pt;margin-top:-6.8pt;mso-height-relative:page;mso-position-horizontal-relative:margin;mso-width-relative:page;mso-wrap-distance-bottom:0;mso-wrap-distance-left:9pt;mso-wrap-distance-right:9pt;mso-wrap-distance-top:0;mso-wrap-style:square;position:absolute;v-text-anchor:top;width:35.2pt;z-index:251665408" coordsize="21600,21600" filled="f" stroked="f" strokeweight="0.5pt">
              <w10:bordertop type="none" width="0"/>
              <w10:borderleft type="none" width="0"/>
              <w10:borderbottom type="none" width="0"/>
              <w10:borderright type="none" width="0"/>
              <v:textbox style="layout-flow:horizontal" inset="0,0,0,0">
                <w:txbxContent>
                  <w:p>
                    <w:pPr>
                      <w:pStyle w:val="Footer"/>
                    </w:pPr>
                    <w:r>
                      <w:fldChar w:fldCharType="begin"/>
                    </w:r>
                    <w:r>
                      <w:instrText xml:space="preserve"> PAGE  \* MERGEFORMAT </w:instrText>
                    </w:r>
                    <w:r>
                      <w:fldChar w:fldCharType="separate"/>
                    </w:r>
                    <w:r>
                      <w:t xml:space="preserve">17</w:t>
                    </w:r>
                    <w:r>
                      <w:fldChar w:fldCharType="end"/>
                    </w:r>
                  </w:p>
                </w:txbxContent>
              </v:textbox>
            </v:shape>
          </w:pict>
        </mc:Fallback>
      </mc:AlternateContent>
    </w:r>
  </w:p>
</w:ftr>
</file>

<file path=word/footer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826" name="文本框 12"/>
              <wp:cNvGraphicFramePr>
                <a:graphicFrameLocks noChangeAspect="0"/>
              </wp:cNvGraphicFramePr>
              <a:graphic>
                <a:graphicData uri="http://schemas.microsoft.com/office/word/2010/wordprocessingShape">
                  <wps:wsp>
                    <wps:cNvSpPr/>
                    <wps:spPr>
                      <a:xfrm>
                        <a:off x="0" y="0"/>
                        <a:ext cx="1828800" cy="1828800"/>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25</w:t>
                          </w:r>
                          <w: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shape id="文本框 12" o:spid="_x0000_s2334" type="#_x0000_t202" style="height:2in;margin-left:0;margin-top:0;mso-height-relative:page;mso-position-horizontal:center;mso-position-horizontal-relative:margin;mso-width-relative:page;mso-wrap-distance-bottom:0;mso-wrap-distance-left:9pt;mso-wrap-distance-right:9pt;mso-wrap-distance-top:0;mso-wrap-style:none;position:absolute;v-text-anchor:top;width:2in;z-index:251666432" coordsize="21600,21600" filled="f" stroked="f" strokeweight="0.5pt">
              <w10:bordertop type="none" width="0"/>
              <w10:borderleft type="none" width="0"/>
              <w10:borderbottom type="none" width="0"/>
              <w10:borderright type="none" width="0"/>
              <v:textbox style="layout-flow:horizontal;mso-fit-shape-to-text:t" inset="0,0,0,0">
                <w:txbxContent>
                  <w:p>
                    <w:pPr>
                      <w:pStyle w:val="Footer"/>
                    </w:pPr>
                    <w:r>
                      <w:fldChar w:fldCharType="begin"/>
                    </w:r>
                    <w:r>
                      <w:instrText xml:space="preserve"> PAGE  \* MERGEFORMAT </w:instrText>
                    </w:r>
                    <w:r>
                      <w:fldChar w:fldCharType="separate"/>
                    </w:r>
                    <w:r>
                      <w:t xml:space="preserve">25</w:t>
                    </w:r>
                    <w:r>
                      <w:fldChar w:fldCharType="end"/>
                    </w:r>
                  </w:p>
                </w:txbxContent>
              </v:textbox>
            </v:shape>
          </w:pict>
        </mc:Fallback>
      </mc:AlternateConten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Header"/>
    </w:pPr>
  </w:p>
</w:hdr>
</file>

<file path=word/header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mc:AlternateContent xmlns:mc="http://schemas.openxmlformats.org/markup-compatibility/2006">
        <mc:Choice Requires="wps">
          <w:drawing>
            <wp:anchor distT="0" distB="0" distL="0" distR="0" simplePos="0" relativeHeight="251659264" behindDoc="1" locked="0" layoutInCell="1" allowOverlap="1">
              <wp:simplePos x="0" y="0"/>
              <wp:positionH relativeFrom="page">
                <wp:posOffset>9117330</wp:posOffset>
              </wp:positionH>
              <wp:positionV relativeFrom="page">
                <wp:posOffset>1217295</wp:posOffset>
              </wp:positionV>
              <wp:extent cx="581025" cy="109855"/>
              <wp:effectExtent l="0" t="0" r="0" b="0"/>
              <wp:wrapNone/>
              <wp:docPr id="820" name="Shape 5"/>
              <wp:cNvGraphicFramePr>
                <a:graphicFrameLocks noChangeAspect="0"/>
              </wp:cNvGraphicFramePr>
              <a:graphic>
                <a:graphicData uri="http://schemas.microsoft.com/office/word/2010/wordprocessingShape">
                  <wps:wsp>
                    <wps:cNvSpPr/>
                    <wps:spPr>
                      <a:xfrm>
                        <a:off x="0" y="0"/>
                        <a:ext cx="581025" cy="109855"/>
                      </a:xfrm>
                      <a:prstGeom prst="rect">
                        <a:avLst/>
                      </a:prstGeom>
                      <a:noFill/>
                    </wps:spPr>
                    <wps:txbx>
                      <w:txbxContent>
                        <w:p>
                          <w:pPr>
                            <w:pStyle w:val="Headerorfooter|1"/>
                          </w:pPr>
                        </w:p>
                      </w:txbxContent>
                    </wps:txbx>
                    <wps:bodyPr rot="0" spcFirstLastPara="0" vertOverflow="overflow" horzOverflow="overflow" vert="horz" wrap="square" lIns="0" tIns="0" rIns="0" bIns="0" numCol="1" anchor="t" upright="0">
                      <a:spAutoFit/>
                    </wps:bodyPr>
                  </wps:wsp>
                </a:graphicData>
              </a:graphic>
            </wp:anchor>
          </w:drawing>
        </mc:Choice>
        <mc:Fallback>
          <w:pict>
            <v:shape id="Shape 5" o:spid="_x0000_s2328" type="#_x0000_t202" style="height:8.65pt;margin-left:717.9pt;margin-top:95.85pt;mso-height-relative:page;mso-position-horizontal-relative:page;mso-position-vertical-relative:page;mso-width-relative:page;mso-wrap-distance-bottom:0;mso-wrap-distance-left:0;mso-wrap-distance-right:0;mso-wrap-distance-top:0;mso-wrap-style:square;position:absolute;width:45.75pt;z-index:-4043308031" coordsize="21600,21600" filled="f" stroked="f">
              <v:textbox style="mso-fit-shape-to-text:t" inset="0,0,0,0">
                <w:txbxContent>
                  <w:p>
                    <w:pPr>
                      <w:pStyle w:val="Headerorfooter|1"/>
                    </w:pPr>
                  </w:p>
                </w:txbxContent>
              </v:textbox>
            </v:shape>
          </w:pict>
        </mc:Fallback>
      </mc:AlternateContent>
    </w:r>
  </w:p>
</w:hdr>
</file>

<file path=word/header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mc:AlternateContent xmlns:mc="http://schemas.openxmlformats.org/markup-compatibility/2006">
        <mc:Choice Requires="wps">
          <w:drawing>
            <wp:anchor distT="0" distB="0" distL="0" distR="0" simplePos="0" relativeHeight="251660288" behindDoc="1" locked="0" layoutInCell="1" allowOverlap="1">
              <wp:simplePos x="0" y="0"/>
              <wp:positionH relativeFrom="page">
                <wp:posOffset>9117330</wp:posOffset>
              </wp:positionH>
              <wp:positionV relativeFrom="page">
                <wp:posOffset>1217295</wp:posOffset>
              </wp:positionV>
              <wp:extent cx="581025" cy="109855"/>
              <wp:effectExtent l="0" t="0" r="0" b="0"/>
              <wp:wrapNone/>
              <wp:docPr id="822" name="Shape 5"/>
              <wp:cNvGraphicFramePr>
                <a:graphicFrameLocks noChangeAspect="0"/>
              </wp:cNvGraphicFramePr>
              <a:graphic>
                <a:graphicData uri="http://schemas.microsoft.com/office/word/2010/wordprocessingShape">
                  <wps:wsp>
                    <wps:cNvSpPr/>
                    <wps:spPr>
                      <a:xfrm>
                        <a:off x="0" y="0"/>
                        <a:ext cx="581025" cy="109855"/>
                      </a:xfrm>
                      <a:prstGeom prst="rect">
                        <a:avLst/>
                      </a:prstGeom>
                      <a:noFill/>
                    </wps:spPr>
                    <wps:txbx>
                      <w:txbxContent>
                        <w:p>
                          <w:pPr>
                            <w:pStyle w:val="Headerorfooter|1"/>
                          </w:pPr>
                        </w:p>
                      </w:txbxContent>
                    </wps:txbx>
                    <wps:bodyPr rot="0" spcFirstLastPara="0" vertOverflow="overflow" horzOverflow="overflow" vert="horz" wrap="square" lIns="0" tIns="0" rIns="0" bIns="0" numCol="1" anchor="t" upright="0">
                      <a:spAutoFit/>
                    </wps:bodyPr>
                  </wps:wsp>
                </a:graphicData>
              </a:graphic>
            </wp:anchor>
          </w:drawing>
        </mc:Choice>
        <mc:Fallback>
          <w:pict>
            <v:shape id="Shape 5" o:spid="_x0000_s2330" type="#_x0000_t202" style="height:8.65pt;margin-left:717.9pt;margin-top:95.85pt;mso-height-relative:page;mso-position-horizontal-relative:page;mso-position-vertical-relative:page;mso-width-relative:page;mso-wrap-distance-bottom:0;mso-wrap-distance-left:0;mso-wrap-distance-right:0;mso-wrap-distance-top:0;mso-wrap-style:square;position:absolute;width:45.75pt;z-index:-4043307007" coordsize="21600,21600" filled="f" stroked="f">
              <v:textbox style="mso-fit-shape-to-text:t" inset="0,0,0,0">
                <w:txbxContent>
                  <w:p>
                    <w:pPr>
                      <w:pStyle w:val="Headerorfooter|1"/>
                    </w:pPr>
                  </w:p>
                </w:txbxContent>
              </v:textbox>
            </v:shape>
          </w:pict>
        </mc:Fallback>
      </mc:AlternateContent>
    </w:r>
  </w:p>
</w:hdr>
</file>

<file path=word/header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
</w:hdr>
</file>

<file path=word/header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
</w:hdr>
</file>

<file path=word/header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
    <w:multiLevelType w:val="singleLevel"/>
    <w:lvl w:ilvl="0">
      <w:start w:val="1"/>
      <w:numFmt w:val="decimal"/>
      <w:suff w:val="nothing"/>
      <w:lvlText w:val="%1．"/>
      <w:lvlJc w:val="left"/>
      <w:pPr>
        <w:ind w:left="0" w:firstLine="400"/>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xmlns:w14="http://schemas.microsoft.com/office/word/2010/wordml" xmlns:w15="http://schemas.microsoft.com/office/word/2012/wordml" mc:Ignorable="w14 w15">
  <w:zoom w:percent="60"/>
  <w:bordersDoNotSurroundFooter w:val="0"/>
  <w:bordersDoNotSurroundHeader w:val="0"/>
  <w:doNotTrackMoves/>
  <w:documentProtection w:enforcement="1" w:edit="readOnly" w:salt="hkIpuHeYqih0TvdKgP58MA==" w:hash="cfBWF1Mvjv5GbBu3SVn1mBMY5kYll/RCsnl67JdsLwgVZhyAhWjz5R9jft9H0TiKGwoKtrpPNY62xQdIRmQ7Bg==" w:cryptSpinCount="100000" w:cryptAlgorithmType="typeAny" w:cryptAlgorithmClass="hash" w:cryptProviderType="rsaAES" w:cryptAlgorithmSid="14"/>
  <w:defaultTabStop w:val="420"/>
  <w:drawingGridHorizontalSpacing w:val="181"/>
  <w:drawingGridVerticalSpacing w:val="181"/>
  <w:noPunctuationKerning/>
  <w:characterSpacingControl w:val="compressPunctuation"/>
  <w:compat>
    <w:doNotExpandShiftReturn/>
    <w:doNotWrapTextWithPunct/>
    <w:doNotUseEastAsianBreakRules/>
    <w:useFELayout/>
    <w:doNotUseIndentAsNumberingTabStop/>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w:docVars>
    <w:docVar w:name="commondata" w:val="eyJoZGlkIjoiYmQ3NjQxYmZmN2ZkODIxYWNiNTEzMzQyMTZmNzQ1MmMifQ=="/>
  </w:docVars>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qFormat="1"/>
    <w:lsdException w:name="header" w:semiHidden="0" w:uiPriority="0" w:unhideWhenUsed="0" w:qFormat="1"/>
    <w:lsdException w:name="footer" w:semiHidden="0" w:uiPriority="0" w:unhideWhenUsed="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qFormat="1"/>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1"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Variable" w:semiHidden="0" w:uiPriority="0" w:unhideWhenUsed="0"/>
    <w:lsdException w:name="Normal Table" w:qFormat="1"/>
    <w:lsdException w:name="annotation subject" w:semiHidden="0" w:uiPriority="0" w:unhideWhenUsed="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semiHidden="0" w:uiPriority="0" w:unhideWhenUsed="0"/>
    <w:lsdException w:name="Table Grid" w:semiHidden="0" w:uiPriority="0" w:unhideWhenUsed="0" w:qFormat="1"/>
    <w:lsdException w:name="Table Theme"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pPr>
    <w:rPr>
      <w:rFonts w:ascii="Times New Roman" w:eastAsia="Times New Roman" w:hAnsi="Times New Roman" w:cs="Times New Roman"/>
      <w:color w:val="000000"/>
      <w:sz w:val="24"/>
      <w:szCs w:val="24"/>
      <w:lang w:val="en-US" w:eastAsia="en-US" w:bidi="en-US"/>
    </w:rPr>
  </w:style>
  <w:style w:type="character" w:default="1" w:styleId="DefaultParagraphFont">
    <w:name w:val="Default Paragraph Font"/>
    <w:autoRedefine/>
    <w:uiPriority w:val="1"/>
    <w:semiHidden/>
    <w:unhideWhenUsed/>
    <w:qFormat/>
    <w:rPr/>
  </w:style>
  <w:style w:type="table" w:default="1" w:styleId="NormalTable">
    <w:name w:val="Normal Table"/>
    <w:autoRedefine/>
    <w:uiPriority w:val="99"/>
    <w:semiHidden/>
    <w:unhideWhenUsed/>
    <w:qFormat/>
    <w:rPr/>
    <w:tblPr>
      <w:tblCellMar>
        <w:top w:w="0" w:type="dxa"/>
        <w:left w:w="108" w:type="dxa"/>
        <w:bottom w:w="0" w:type="dxa"/>
        <w:right w:w="108" w:type="dxa"/>
      </w:tblCellMar>
    </w:tblPr>
  </w:style>
  <w:style w:type="paragraph" w:styleId="CommentText">
    <w:name w:val="Comment Text"/>
    <w:basedOn w:val="Normal"/>
    <w:autoRedefine/>
    <w:qFormat/>
    <w:rPr/>
  </w:style>
  <w:style w:type="paragraph" w:styleId="Footer">
    <w:name w:val="Footer"/>
    <w:basedOn w:val="Normal"/>
    <w:autoRedefine/>
    <w:qFormat/>
    <w:pPr>
      <w:tabs>
        <w:tab w:val="center" w:pos="4153"/>
        <w:tab w:val="right" w:pos="8306"/>
      </w:tabs>
      <w:snapToGrid w:val="0"/>
    </w:pPr>
    <w:rPr>
      <w:sz w:val="18"/>
    </w:rPr>
  </w:style>
  <w:style w:type="paragraph" w:styleId="Header">
    <w:name w:val="Header"/>
    <w:basedOn w:val="Normal"/>
    <w:autoRedefine/>
    <w:qFormat/>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table" w:styleId="TableGrid">
    <w:name w:val="Table Grid"/>
    <w:basedOn w:val="NormalTable"/>
    <w:autoRedefine/>
    <w:qFormat/>
    <w:pPr>
      <w:widowControl w:val="0"/>
      <w:jc w:val="both"/>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Comment Reference"/>
    <w:basedOn w:val="DefaultParagraphFont"/>
    <w:autoRedefine/>
    <w:qFormat/>
    <w:rPr>
      <w:sz w:val="21"/>
      <w:szCs w:val="21"/>
    </w:rPr>
  </w:style>
  <w:style w:type="character" w:customStyle="1" w:styleId="Bodytext|5_">
    <w:name w:val="Body text|5_"/>
    <w:basedOn w:val="DefaultParagraphFont"/>
    <w:link w:val="Bodytext|5"/>
    <w:autoRedefine/>
    <w:qFormat/>
    <w:rPr>
      <w:rFonts w:ascii="宋体" w:eastAsia="宋体" w:hAnsi="宋体" w:cs="宋体"/>
      <w:sz w:val="54"/>
      <w:szCs w:val="54"/>
      <w:u w:val="none"/>
      <w:shd w:val="clear" w:color="auto" w:fill="auto"/>
      <w:lang w:val="zh-TW" w:eastAsia="zh-TW" w:bidi="zh-TW"/>
    </w:rPr>
  </w:style>
  <w:style w:type="paragraph" w:customStyle="1" w:styleId="Bodytext|5">
    <w:name w:val="Body text|5"/>
    <w:basedOn w:val="Normal"/>
    <w:link w:val="Bodytext|5_"/>
    <w:autoRedefine/>
    <w:qFormat/>
    <w:pPr>
      <w:jc w:val="center"/>
    </w:pPr>
    <w:rPr>
      <w:rFonts w:ascii="宋体" w:eastAsia="宋体" w:hAnsi="宋体" w:cs="宋体"/>
      <w:sz w:val="54"/>
      <w:szCs w:val="54"/>
      <w:lang w:val="zh-TW" w:eastAsia="zh-TW" w:bidi="zh-TW"/>
    </w:rPr>
  </w:style>
  <w:style w:type="character" w:customStyle="1" w:styleId="Heading#1|1_">
    <w:name w:val="Heading #1|1_"/>
    <w:basedOn w:val="DefaultParagraphFont"/>
    <w:link w:val="Heading#1|1"/>
    <w:autoRedefine/>
    <w:qFormat/>
    <w:rPr>
      <w:rFonts w:ascii="宋体" w:eastAsia="宋体" w:hAnsi="宋体" w:cs="宋体"/>
      <w:sz w:val="44"/>
      <w:szCs w:val="44"/>
      <w:u w:val="none"/>
      <w:shd w:val="clear" w:color="auto" w:fill="auto"/>
      <w:lang w:val="zh-TW" w:eastAsia="zh-TW" w:bidi="zh-TW"/>
    </w:rPr>
  </w:style>
  <w:style w:type="paragraph" w:customStyle="1" w:styleId="Heading#1|1">
    <w:name w:val="Heading #1|1"/>
    <w:basedOn w:val="Normal"/>
    <w:link w:val="Heading#1|1_"/>
    <w:autoRedefine/>
    <w:qFormat/>
    <w:pPr>
      <w:spacing w:after="400"/>
      <w:jc w:val="center"/>
      <w:outlineLvl w:val="0"/>
    </w:pPr>
    <w:rPr>
      <w:rFonts w:ascii="宋体" w:eastAsia="宋体" w:hAnsi="宋体" w:cs="宋体"/>
      <w:sz w:val="44"/>
      <w:szCs w:val="44"/>
      <w:lang w:val="zh-TW" w:eastAsia="zh-TW" w:bidi="zh-TW"/>
    </w:rPr>
  </w:style>
  <w:style w:type="character" w:customStyle="1" w:styleId="Headerorfooter|2_">
    <w:name w:val="Header or footer|2_"/>
    <w:basedOn w:val="DefaultParagraphFont"/>
    <w:link w:val="Headerorfooter|2"/>
    <w:autoRedefine/>
    <w:qFormat/>
    <w:rPr>
      <w:sz w:val="20"/>
      <w:szCs w:val="20"/>
      <w:u w:val="none"/>
      <w:shd w:val="clear" w:color="auto" w:fill="auto"/>
      <w:lang w:val="zh-TW" w:eastAsia="zh-TW" w:bidi="zh-TW"/>
    </w:rPr>
  </w:style>
  <w:style w:type="paragraph" w:customStyle="1" w:styleId="Headerorfooter|2">
    <w:name w:val="Header or footer|2"/>
    <w:basedOn w:val="Normal"/>
    <w:link w:val="Headerorfooter|2_"/>
    <w:autoRedefine/>
    <w:qFormat/>
    <w:rPr>
      <w:sz w:val="20"/>
      <w:szCs w:val="20"/>
      <w:lang w:val="zh-TW" w:eastAsia="zh-TW" w:bidi="zh-TW"/>
    </w:rPr>
  </w:style>
  <w:style w:type="character" w:customStyle="1" w:styleId="Bodytext|2_">
    <w:name w:val="Body text|2_"/>
    <w:basedOn w:val="DefaultParagraphFont"/>
    <w:link w:val="Bodytext|2"/>
    <w:autoRedefine/>
    <w:qFormat/>
    <w:rPr>
      <w:rFonts w:ascii="宋体" w:eastAsia="宋体" w:hAnsi="宋体" w:cs="宋体"/>
      <w:sz w:val="32"/>
      <w:szCs w:val="32"/>
      <w:u w:val="none"/>
      <w:shd w:val="clear" w:color="auto" w:fill="auto"/>
      <w:lang w:val="zh-TW" w:eastAsia="zh-TW" w:bidi="zh-TW"/>
    </w:rPr>
  </w:style>
  <w:style w:type="paragraph" w:customStyle="1" w:styleId="Bodytext|2">
    <w:name w:val="Body text|2"/>
    <w:basedOn w:val="Normal"/>
    <w:link w:val="Bodytext|2_"/>
    <w:autoRedefine/>
    <w:qFormat/>
    <w:pPr>
      <w:spacing w:after="240"/>
      <w:ind w:firstLine="560"/>
    </w:pPr>
    <w:rPr>
      <w:rFonts w:ascii="宋体" w:eastAsia="宋体" w:hAnsi="宋体" w:cs="宋体"/>
      <w:sz w:val="32"/>
      <w:szCs w:val="32"/>
      <w:lang w:val="zh-TW" w:eastAsia="zh-TW" w:bidi="zh-TW"/>
    </w:rPr>
  </w:style>
  <w:style w:type="character" w:customStyle="1" w:styleId="Bodytext|1_">
    <w:name w:val="Body text|1_"/>
    <w:basedOn w:val="DefaultParagraphFont"/>
    <w:link w:val="Bodytext|1"/>
    <w:autoRedefine/>
    <w:qFormat/>
    <w:rPr>
      <w:rFonts w:ascii="宋体" w:eastAsia="宋体" w:hAnsi="宋体" w:cs="宋体"/>
      <w:sz w:val="28"/>
      <w:szCs w:val="28"/>
      <w:u w:val="none"/>
      <w:shd w:val="clear" w:color="auto" w:fill="auto"/>
      <w:lang w:val="zh-TW" w:eastAsia="zh-TW" w:bidi="zh-TW"/>
    </w:rPr>
  </w:style>
  <w:style w:type="paragraph" w:customStyle="1" w:styleId="Bodytext|1">
    <w:name w:val="Body text|1"/>
    <w:basedOn w:val="Normal"/>
    <w:link w:val="Bodytext|1_"/>
    <w:autoRedefine/>
    <w:qFormat/>
    <w:pPr>
      <w:spacing w:line="468" w:lineRule="auto"/>
      <w:ind w:firstLine="400"/>
    </w:pPr>
    <w:rPr>
      <w:rFonts w:ascii="宋体" w:eastAsia="宋体" w:hAnsi="宋体" w:cs="宋体"/>
      <w:sz w:val="28"/>
      <w:szCs w:val="28"/>
      <w:lang w:val="zh-TW" w:eastAsia="zh-TW" w:bidi="zh-TW"/>
    </w:rPr>
  </w:style>
  <w:style w:type="character" w:customStyle="1" w:styleId="Headerorfooter|1_">
    <w:name w:val="Header or footer|1_"/>
    <w:basedOn w:val="DefaultParagraphFont"/>
    <w:link w:val="Headerorfooter|1"/>
    <w:autoRedefine/>
    <w:qFormat/>
    <w:rPr>
      <w:b/>
      <w:bCs/>
      <w:sz w:val="17"/>
      <w:szCs w:val="17"/>
      <w:u w:val="none"/>
      <w:shd w:val="clear" w:color="auto" w:fill="auto"/>
      <w:lang w:val="zh-TW" w:eastAsia="zh-TW" w:bidi="zh-TW"/>
    </w:rPr>
  </w:style>
  <w:style w:type="paragraph" w:customStyle="1" w:styleId="Headerorfooter|1">
    <w:name w:val="Header or footer|1"/>
    <w:basedOn w:val="Normal"/>
    <w:link w:val="Headerorfooter|1_"/>
    <w:autoRedefine/>
    <w:qFormat/>
    <w:rPr>
      <w:b/>
      <w:bCs/>
      <w:sz w:val="17"/>
      <w:szCs w:val="17"/>
      <w:lang w:val="zh-TW" w:eastAsia="zh-TW" w:bidi="zh-TW"/>
    </w:rPr>
  </w:style>
  <w:style w:type="character" w:customStyle="1" w:styleId="Heading#2|1_">
    <w:name w:val="Heading #2|1_"/>
    <w:basedOn w:val="DefaultParagraphFont"/>
    <w:link w:val="Heading#2|1"/>
    <w:autoRedefine/>
    <w:qFormat/>
    <w:rPr>
      <w:rFonts w:ascii="宋体" w:eastAsia="宋体" w:hAnsi="宋体" w:cs="宋体"/>
      <w:sz w:val="26"/>
      <w:szCs w:val="26"/>
      <w:u w:val="none"/>
      <w:shd w:val="clear" w:color="auto" w:fill="auto"/>
      <w:lang w:val="zh-TW" w:eastAsia="zh-TW" w:bidi="zh-TW"/>
    </w:rPr>
  </w:style>
  <w:style w:type="paragraph" w:customStyle="1" w:styleId="Heading#2|1">
    <w:name w:val="Heading #2|1"/>
    <w:basedOn w:val="Normal"/>
    <w:link w:val="Heading#2|1_"/>
    <w:autoRedefine/>
    <w:qFormat/>
    <w:pPr>
      <w:spacing w:after="230"/>
      <w:jc w:val="center"/>
      <w:outlineLvl w:val="1"/>
    </w:pPr>
    <w:rPr>
      <w:rFonts w:ascii="宋体" w:eastAsia="宋体" w:hAnsi="宋体" w:cs="宋体"/>
      <w:sz w:val="26"/>
      <w:szCs w:val="26"/>
      <w:lang w:val="zh-TW" w:eastAsia="zh-TW" w:bidi="zh-TW"/>
    </w:rPr>
  </w:style>
  <w:style w:type="character" w:customStyle="1" w:styleId="Other|1_">
    <w:name w:val="Other|1_"/>
    <w:basedOn w:val="DefaultParagraphFont"/>
    <w:link w:val="Other|1"/>
    <w:autoRedefine/>
    <w:qFormat/>
    <w:rPr>
      <w:rFonts w:ascii="宋体" w:eastAsia="宋体" w:hAnsi="宋体" w:cs="宋体"/>
      <w:sz w:val="28"/>
      <w:szCs w:val="28"/>
      <w:u w:val="none"/>
      <w:shd w:val="clear" w:color="auto" w:fill="auto"/>
      <w:lang w:val="zh-TW" w:eastAsia="zh-TW" w:bidi="zh-TW"/>
    </w:rPr>
  </w:style>
  <w:style w:type="paragraph" w:customStyle="1" w:styleId="Other|1">
    <w:name w:val="Other|1"/>
    <w:basedOn w:val="Normal"/>
    <w:link w:val="Other|1_"/>
    <w:autoRedefine/>
    <w:qFormat/>
    <w:pPr>
      <w:spacing w:line="468" w:lineRule="auto"/>
      <w:ind w:firstLine="400"/>
    </w:pPr>
    <w:rPr>
      <w:rFonts w:ascii="宋体" w:eastAsia="宋体" w:hAnsi="宋体" w:cs="宋体"/>
      <w:sz w:val="28"/>
      <w:szCs w:val="28"/>
      <w:lang w:val="zh-TW" w:eastAsia="zh-TW" w:bidi="zh-TW"/>
    </w:rPr>
  </w:style>
  <w:style w:type="character" w:customStyle="1" w:styleId="Tablecaption|1_">
    <w:name w:val="Table caption|1_"/>
    <w:basedOn w:val="DefaultParagraphFont"/>
    <w:link w:val="Tablecaption|1"/>
    <w:autoRedefine/>
    <w:qFormat/>
    <w:rPr>
      <w:rFonts w:ascii="宋体" w:eastAsia="宋体" w:hAnsi="宋体" w:cs="宋体"/>
      <w:sz w:val="17"/>
      <w:szCs w:val="17"/>
      <w:u w:val="none"/>
      <w:shd w:val="clear" w:color="auto" w:fill="auto"/>
      <w:lang w:val="zh-TW" w:eastAsia="zh-TW" w:bidi="zh-TW"/>
    </w:rPr>
  </w:style>
  <w:style w:type="paragraph" w:customStyle="1" w:styleId="Tablecaption|1">
    <w:name w:val="Table caption|1"/>
    <w:basedOn w:val="Normal"/>
    <w:link w:val="Tablecaption|1_"/>
    <w:autoRedefine/>
    <w:qFormat/>
    <w:rPr>
      <w:rFonts w:ascii="宋体" w:eastAsia="宋体" w:hAnsi="宋体" w:cs="宋体"/>
      <w:sz w:val="17"/>
      <w:szCs w:val="17"/>
      <w:lang w:val="zh-TW" w:eastAsia="zh-TW" w:bidi="zh-TW"/>
    </w:rPr>
  </w:style>
  <w:style w:type="character" w:customStyle="1" w:styleId="Bodytext|4_">
    <w:name w:val="Body text|4_"/>
    <w:basedOn w:val="DefaultParagraphFont"/>
    <w:link w:val="Bodytext|4"/>
    <w:autoRedefine/>
    <w:qFormat/>
    <w:rPr>
      <w:rFonts w:ascii="宋体" w:eastAsia="宋体" w:hAnsi="宋体" w:cs="宋体"/>
      <w:sz w:val="17"/>
      <w:szCs w:val="17"/>
      <w:u w:val="none"/>
      <w:shd w:val="clear" w:color="auto" w:fill="auto"/>
      <w:lang w:val="zh-TW" w:eastAsia="zh-TW" w:bidi="zh-TW"/>
    </w:rPr>
  </w:style>
  <w:style w:type="paragraph" w:customStyle="1" w:styleId="Bodytext|4">
    <w:name w:val="Body text|4"/>
    <w:basedOn w:val="Normal"/>
    <w:link w:val="Bodytext|4_"/>
    <w:autoRedefine/>
    <w:qFormat/>
    <w:pPr>
      <w:ind w:firstLine="680"/>
    </w:pPr>
    <w:rPr>
      <w:rFonts w:ascii="宋体" w:eastAsia="宋体" w:hAnsi="宋体" w:cs="宋体"/>
      <w:sz w:val="17"/>
      <w:szCs w:val="17"/>
      <w:lang w:val="zh-TW" w:eastAsia="zh-TW" w:bidi="zh-TW"/>
    </w:rPr>
  </w:style>
  <w:style w:type="character" w:customStyle="1" w:styleId="Bodytext|3_">
    <w:name w:val="Body text|3_"/>
    <w:basedOn w:val="DefaultParagraphFont"/>
    <w:link w:val="Bodytext|3"/>
    <w:autoRedefine/>
    <w:qFormat/>
    <w:rPr>
      <w:sz w:val="30"/>
      <w:szCs w:val="30"/>
      <w:u w:val="none"/>
      <w:shd w:val="clear" w:color="auto" w:fill="auto"/>
      <w:lang w:val="zh-TW" w:eastAsia="zh-TW" w:bidi="zh-TW"/>
    </w:rPr>
  </w:style>
  <w:style w:type="paragraph" w:customStyle="1" w:styleId="Bodytext|3">
    <w:name w:val="Body text|3"/>
    <w:basedOn w:val="Normal"/>
    <w:link w:val="Bodytext|3_"/>
    <w:autoRedefine/>
    <w:qFormat/>
    <w:pPr>
      <w:spacing w:after="140" w:line="336" w:lineRule="auto"/>
      <w:ind w:firstLine="370"/>
    </w:pPr>
    <w:rPr>
      <w:sz w:val="30"/>
      <w:szCs w:val="30"/>
      <w:lang w:val="zh-TW" w:eastAsia="zh-TW" w:bidi="zh-TW"/>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charts/chart3.xml" Type="http://schemas.openxmlformats.org/officeDocument/2006/relationships/chart"/><Relationship Id="rId11" Target="charts/chart4.xml" Type="http://schemas.openxmlformats.org/officeDocument/2006/relationships/chart"/><Relationship Id="rId12" Target="charts/chart5.xml" Type="http://schemas.openxmlformats.org/officeDocument/2006/relationships/chart"/><Relationship Id="rId13" Target="charts/chart6.xml" Type="http://schemas.openxmlformats.org/officeDocument/2006/relationships/chart"/><Relationship Id="rId14" Target="header2.xml" Type="http://schemas.openxmlformats.org/officeDocument/2006/relationships/header"/><Relationship Id="rId15" Target="footer3.xml" Type="http://schemas.openxmlformats.org/officeDocument/2006/relationships/footer"/><Relationship Id="rId16" Target="header3.xml" Type="http://schemas.openxmlformats.org/officeDocument/2006/relationships/header"/><Relationship Id="rId17" Target="footer4.xml" Type="http://schemas.openxmlformats.org/officeDocument/2006/relationships/footer"/><Relationship Id="rId18" Target="header4.xml" Type="http://schemas.openxmlformats.org/officeDocument/2006/relationships/header"/><Relationship Id="rId19" Target="footer5.xml" Type="http://schemas.openxmlformats.org/officeDocument/2006/relationships/footer"/><Relationship Id="rId2" Target="../customXml/item2.xml" Type="http://schemas.openxmlformats.org/officeDocument/2006/relationships/customXml"/><Relationship Id="rId20" Target="header5.xml" Type="http://schemas.openxmlformats.org/officeDocument/2006/relationships/header"/><Relationship Id="rId21" Target="footer6.xml" Type="http://schemas.openxmlformats.org/officeDocument/2006/relationships/footer"/><Relationship Id="rId22" Target="header6.xml" Type="http://schemas.openxmlformats.org/officeDocument/2006/relationships/header"/><Relationship Id="rId23" Target="footer7.xml" Type="http://schemas.openxmlformats.org/officeDocument/2006/relationships/footer"/><Relationship Id="rId24" Target="theme/theme1.xml" Type="http://schemas.openxmlformats.org/officeDocument/2006/relationships/theme"/><Relationship Id="rId25" Target="styles.xml" Type="http://schemas.openxmlformats.org/officeDocument/2006/relationships/styles"/><Relationship Id="rId26" Target="webSettings.xml" Type="http://schemas.openxmlformats.org/officeDocument/2006/relationships/webSettings"/><Relationship Id="rId27" Target="numbering.xml" Type="http://schemas.openxmlformats.org/officeDocument/2006/relationships/numbering"/><Relationship Id="rId28" Target="fontTable.xml" Type="http://schemas.openxmlformats.org/officeDocument/2006/relationships/fontTable"/><Relationship Id="rId29" Target="settings.xml" Type="http://schemas.openxmlformats.org/officeDocument/2006/relationships/settings"/><Relationship Id="rId3" Target="../customXml/item3.xml" Type="http://schemas.openxmlformats.org/officeDocument/2006/relationships/customXml"/><Relationship Id="rId4" Target="../customXml/item4.xml" Type="http://schemas.openxmlformats.org/officeDocument/2006/relationships/customXml"/><Relationship Id="rId5" Target="header1.xml" Type="http://schemas.openxmlformats.org/officeDocument/2006/relationships/header"/><Relationship Id="rId6" Target="footer1.xml" Type="http://schemas.openxmlformats.org/officeDocument/2006/relationships/footer"/><Relationship Id="rId7" Target="footer2.xml" Type="http://schemas.openxmlformats.org/officeDocument/2006/relationships/footer"/><Relationship Id="rId8" Target="charts/chart1.xml" Type="http://schemas.openxmlformats.org/officeDocument/2006/relationships/chart"/><Relationship Id="rId9" Target="charts/chart2.xml" Type="http://schemas.openxmlformats.org/officeDocument/2006/relationships/chart"/></Relationships>
</file>

<file path=word/charts/_rels/chart1.xml.rels><?xml version="1.0" encoding="UTF-8" standalone="yes"?><Relationships xmlns="http://schemas.openxmlformats.org/package/2006/relationships"><Relationship Id="rId1" Target="../embeddings/Microsoft_Office_Excel_Worksheet1.xlsx" Type="http://schemas.openxmlformats.org/officeDocument/2006/relationships/package"/></Relationships>
</file>

<file path=word/charts/_rels/chart2.xml.rels><?xml version="1.0" encoding="UTF-8" standalone="yes"?><Relationships xmlns="http://schemas.openxmlformats.org/package/2006/relationships"><Relationship Id="rId1" Target="../embeddings/Microsoft_Office_Excel_Worksheet2.xlsx" Type="http://schemas.openxmlformats.org/officeDocument/2006/relationships/package"/></Relationships>
</file>

<file path=word/charts/_rels/chart3.xml.rels><?xml version="1.0" encoding="UTF-8" standalone="yes"?><Relationships xmlns="http://schemas.openxmlformats.org/package/2006/relationships"><Relationship Id="rId1" Target="../embeddings/Microsoft_Office_Excel_Worksheet3.xlsx" Type="http://schemas.openxmlformats.org/officeDocument/2006/relationships/package"/></Relationships>
</file>

<file path=word/charts/_rels/chart4.xml.rels><?xml version="1.0" encoding="UTF-8" standalone="yes"?><Relationships xmlns="http://schemas.openxmlformats.org/package/2006/relationships"><Relationship Id="rId1" Target="../embeddings/Microsoft_Office_Excel_Worksheet4.xlsx" Type="http://schemas.openxmlformats.org/officeDocument/2006/relationships/package"/></Relationships>
</file>

<file path=word/charts/_rels/chart5.xml.rels><?xml version="1.0" encoding="UTF-8" standalone="yes"?><Relationships xmlns="http://schemas.openxmlformats.org/package/2006/relationships"><Relationship Id="rId1" Target="../embeddings/Microsoft_Office_Excel_Worksheet5.xlsx" Type="http://schemas.openxmlformats.org/officeDocument/2006/relationships/package"/></Relationships>
</file>

<file path=word/charts/_rels/chart6.xml.rels><?xml version="1.0" encoding="UTF-8" standalone="yes"?><Relationships xmlns="http://schemas.openxmlformats.org/package/2006/relationships"><Relationship Id="rId1" Target="../embeddings/Microsoft_Office_Excel_Worksheet6.xlsx" Type="http://schemas.openxmlformats.org/officeDocument/2006/relationships/package"/></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部门收入总体情况</a:t>
            </a:r>
            <a:endParaRPr lang="en-US" sz="1100"/>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explosion val="0"/>
          <c:dPt>
            <c:idx val="0"/>
            <c:bubble3D val="0"/>
            <c:spPr>
              <a:solidFill>
                <a:schemeClr val="accent1"/>
              </a:solidFill>
              <a:ln w="19050">
                <a:solidFill>
                  <a:schemeClr val="lt1"/>
                </a:solidFill>
              </a:ln>
              <a:effectLst/>
            </c:spPr>
          </c:dPt>
          <c:dLbls>
            <c:delete val="1"/>
          </c:dLbls>
          <c:cat>
            <c:strRef>
              <c:f>Sheet1!$A$2:$A$3</c:f>
              <c:strCache>
                <c:ptCount val="2"/>
                <c:pt idx="0">
                  <c:v>一般公共预算拨款</c:v>
                </c:pt>
                <c:pt idx="1">
                  <c:v>政府性基金预算拨款</c:v>
                </c:pt>
              </c:strCache>
            </c:strRef>
          </c:cat>
          <c:val>
            <c:numRef>
              <c:f>Sheet1!$B$2:$B$3</c:f>
              <c:numCache>
                <c:ptCount val="2"/>
                <c:pt idx="0">
                  <c:v>781.72</c:v>
                </c:pt>
                <c:pt idx="1">
                  <c:v>19.01</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部门支出总体情况</a:t>
            </a:r>
            <a:endParaRPr lang="en-US" sz="1100"/>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explosion val="0"/>
          <c:dPt>
            <c:idx val="0"/>
            <c:bubble3D val="0"/>
            <c:spPr>
              <a:solidFill>
                <a:schemeClr val="accent1"/>
              </a:solidFill>
              <a:ln w="19050">
                <a:solidFill>
                  <a:schemeClr val="lt1"/>
                </a:solidFill>
              </a:ln>
              <a:effectLst/>
            </c:spPr>
          </c:dPt>
          <c:dLbls>
            <c:delete val="1"/>
          </c:dLbls>
          <c:cat>
            <c:strRef>
              <c:f>Sheet1!$A$2:$A$5</c:f>
              <c:strCache>
                <c:ptCount val="4"/>
                <c:pt idx="0">
                  <c:v>一般公共服务支出</c:v>
                </c:pt>
                <c:pt idx="1">
                  <c:v>文化旅游体育与传媒支出</c:v>
                </c:pt>
                <c:pt idx="2">
                  <c:v>社会保障和就业支出</c:v>
                </c:pt>
                <c:pt idx="3">
                  <c:v>住房保障支出</c:v>
                </c:pt>
              </c:strCache>
            </c:strRef>
          </c:cat>
          <c:val>
            <c:numRef>
              <c:f>Sheet1!$B$2:$B$5</c:f>
              <c:numCache>
                <c:ptCount val="4"/>
                <c:pt idx="0">
                  <c:v>691.29</c:v>
                </c:pt>
                <c:pt idx="1">
                  <c:v>5.7</c:v>
                </c:pt>
                <c:pt idx="2">
                  <c:v>26.75</c:v>
                </c:pt>
                <c:pt idx="3">
                  <c:v>23.17</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财政拨款收支总体情况</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上年</c:v>
                </c:pt>
              </c:strCache>
            </c:strRef>
          </c:tx>
          <c:spPr>
            <a:solidFill>
              <a:schemeClr val="accent1"/>
            </a:solidFill>
            <a:ln>
              <a:noFill/>
            </a:ln>
            <a:effectLst/>
          </c:spPr>
          <c:invertIfNegative val="0"/>
          <c:dLbls>
            <c:delete val="1"/>
          </c:dLbls>
          <c:cat>
            <c:strRef>
              <c:f>Sheet1!$A$2</c:f>
              <c:strCache>
                <c:ptCount val="1"/>
                <c:pt idx="0">
                  <c:v>收入</c:v>
                </c:pt>
              </c:strCache>
            </c:strRef>
          </c:cat>
          <c:val>
            <c:numRef>
              <c:f>Sheet1!$B$2</c:f>
              <c:numCache>
                <c:formatCode>General</c:formatCode>
                <c:ptCount val="1"/>
                <c:pt idx="0">
                  <c:v>938.26</c:v>
                </c:pt>
              </c:numCache>
            </c:numRef>
          </c:val>
        </c:ser>
        <c:ser>
          <c:idx val="1"/>
          <c:order val="1"/>
          <c:tx>
            <c:strRef>
              <c:f>Sheet1!$C$1</c:f>
              <c:strCache>
                <c:ptCount val="1"/>
                <c:pt idx="0">
                  <c:v>当年</c:v>
                </c:pt>
              </c:strCache>
            </c:strRef>
          </c:tx>
          <c:spPr>
            <a:solidFill>
              <a:schemeClr val="accent2"/>
            </a:solidFill>
            <a:ln>
              <a:noFill/>
            </a:ln>
            <a:effectLst/>
          </c:spPr>
          <c:invertIfNegative val="0"/>
          <c:dLbls>
            <c:delete val="1"/>
          </c:dLbls>
          <c:cat>
            <c:strRef>
              <c:f>Sheet1!$A$2</c:f>
              <c:strCache>
                <c:ptCount val="1"/>
                <c:pt idx="0">
                  <c:v>收入</c:v>
                </c:pt>
              </c:strCache>
            </c:strRef>
          </c:cat>
          <c:val>
            <c:numRef>
              <c:f>Sheet1!$C$2</c:f>
              <c:numCache>
                <c:formatCode>General</c:formatCode>
                <c:ptCount val="1"/>
                <c:pt idx="0">
                  <c:v>800.73</c:v>
                </c:pt>
              </c:numCache>
            </c:numRef>
          </c:val>
        </c:ser>
        <c:dLbls>
          <c:showLegendKey val="0"/>
          <c:showVal val="0"/>
          <c:showCatName val="0"/>
          <c:showSerName val="0"/>
          <c:showPercent val="0"/>
          <c:showBubbleSize val="0"/>
        </c:dLbls>
        <c:gapWidth val="219"/>
        <c:overlap val="-27"/>
        <c:axId val="811850650"/>
        <c:axId val="698020238"/>
      </c:barChart>
      <c:catAx>
        <c:axId val="81185065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98020238"/>
        <c:crosses val="autoZero"/>
        <c:auto val="1"/>
        <c:lblAlgn val="ctr"/>
        <c:lblOffset val="100"/>
        <c:noMultiLvlLbl val="0"/>
      </c:catAx>
      <c:valAx>
        <c:axId val="69802023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1185065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nchor="t" rtlCol="false"/>
          <a:lstStyle/>
          <a:p>
            <a:pPr algn="l">
              <a:defRPr/>
            </a:pPr>
            <a:r>
              <a:rPr lang="en-US"/>
              <a:t>一般公共预算支出情况</a:t>
            </a:r>
            <a:endParaRPr lang="en-US" sz="1100"/>
          </a:p>
        </c:rich>
      </c:tx>
      <c:layout/>
      <c:overlay val="false"/>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barChart>
        <c:barDir val="bar"/>
        <c:grouping val="clustered"/>
        <c:varyColors val="0"/>
        <c:ser>
          <c:idx val="0"/>
          <c:order val="0"/>
          <c:tx>
            <c:strRef>
              <c:f>Sheet1!$B$1</c:f>
              <c:strCache>
                <c:ptCount val="1"/>
                <c:pt idx="0">
                  <c:v>基本支出</c:v>
                </c:pt>
              </c:strCache>
            </c:strRef>
          </c:tx>
          <c:spPr>
            <a:solidFill>
              <a:schemeClr val="accent1"/>
            </a:solidFill>
            <a:ln>
              <a:noFill/>
            </a:ln>
            <a:effectLst/>
          </c:spPr>
          <c:invertIfNegative val="0"/>
          <c:dLbls>
            <c:delete val="1"/>
          </c:dLbls>
          <c:cat>
            <c:strRef>
              <c:f>Sheet1!$A$2</c:f>
              <c:strCache>
                <c:ptCount val="1"/>
                <c:pt idx="0">
                  <c:v>当年</c:v>
                </c:pt>
              </c:strCache>
            </c:strRef>
          </c:cat>
          <c:val>
            <c:numRef>
              <c:f>Sheet1!$B$2</c:f>
              <c:numCache>
                <c:formatCode>General</c:formatCode>
                <c:ptCount val="1"/>
                <c:pt idx="0">
                  <c:v>257.91</c:v>
                </c:pt>
              </c:numCache>
            </c:numRef>
          </c:val>
        </c:ser>
        <c:ser>
          <c:idx val="1"/>
          <c:order val="1"/>
          <c:tx>
            <c:strRef>
              <c:f>Sheet1!$C$1</c:f>
              <c:strCache>
                <c:ptCount val="1"/>
                <c:pt idx="0">
                  <c:v>结转下年支出</c:v>
                </c:pt>
              </c:strCache>
            </c:strRef>
          </c:tx>
          <c:cat>
            <c:strRef>
              <c:f>Sheet1!$A$2</c:f>
              <c:strCache>
                <c:ptCount val="1"/>
                <c:pt idx="0">
                  <c:v>当年</c:v>
                </c:pt>
              </c:strCache>
            </c:strRef>
          </c:cat>
          <c:val>
            <c:numRef>
              <c:f>Sheet1!$C$2</c:f>
              <c:numCache>
                <c:ptCount val="1"/>
                <c:pt idx="0">
                  <c:v>0.0</c:v>
                </c:pt>
              </c:numCache>
            </c:numRef>
          </c:val>
        </c:ser>
        <c:ser>
          <c:idx val="2"/>
          <c:order val="2"/>
          <c:tx>
            <c:strRef>
              <c:f>Sheet1!$D$1</c:f>
              <c:strCache>
                <c:ptCount val="1"/>
                <c:pt idx="0">
                  <c:v>项目支出</c:v>
                </c:pt>
              </c:strCache>
            </c:strRef>
          </c:tx>
          <c:cat>
            <c:strRef>
              <c:f>Sheet1!$A$2</c:f>
              <c:strCache>
                <c:ptCount val="1"/>
                <c:pt idx="0">
                  <c:v>当年</c:v>
                </c:pt>
              </c:strCache>
            </c:strRef>
          </c:cat>
          <c:val>
            <c:numRef>
              <c:f>Sheet1!$D$2</c:f>
              <c:numCache>
                <c:ptCount val="1"/>
                <c:pt idx="0">
                  <c:v>489.0</c:v>
                </c:pt>
              </c:numCache>
            </c:numRef>
          </c:val>
        </c:ser>
        <c:ser>
          <c:idx val="3"/>
          <c:order val="3"/>
          <c:tx>
            <c:strRef>
              <c:f>Sheet1!$E$1</c:f>
              <c:strCache>
                <c:ptCount val="1"/>
                <c:pt idx="0">
                  <c:v>公用经费</c:v>
                </c:pt>
              </c:strCache>
            </c:strRef>
          </c:tx>
          <c:cat>
            <c:strRef>
              <c:f>Sheet1!$A$2</c:f>
              <c:strCache>
                <c:ptCount val="1"/>
                <c:pt idx="0">
                  <c:v>当年</c:v>
                </c:pt>
              </c:strCache>
            </c:strRef>
          </c:cat>
          <c:val>
            <c:numRef>
              <c:f>Sheet1!$E$2</c:f>
              <c:numCache>
                <c:ptCount val="1"/>
                <c:pt idx="0">
                  <c:v>18.03</c:v>
                </c:pt>
              </c:numCache>
            </c:numRef>
          </c:val>
        </c:ser>
        <c:ser>
          <c:idx val="4"/>
          <c:order val="4"/>
          <c:tx>
            <c:strRef>
              <c:f>Sheet1!$F$1</c:f>
              <c:strCache>
                <c:ptCount val="1"/>
                <c:pt idx="0">
                  <c:v>人员经费</c:v>
                </c:pt>
              </c:strCache>
            </c:strRef>
          </c:tx>
          <c:cat>
            <c:strRef>
              <c:f>Sheet1!$A$2</c:f>
              <c:strCache>
                <c:ptCount val="1"/>
                <c:pt idx="0">
                  <c:v>当年</c:v>
                </c:pt>
              </c:strCache>
            </c:strRef>
          </c:cat>
          <c:val>
            <c:numRef>
              <c:f>Sheet1!$F$2</c:f>
              <c:numCache>
                <c:ptCount val="1"/>
                <c:pt idx="0">
                  <c:v>239.88</c:v>
                </c:pt>
              </c:numCache>
            </c:numRef>
          </c:val>
        </c:ser>
        <c:dLbls>
          <c:showLegendKey val="0"/>
          <c:showVal val="0"/>
          <c:showCatName val="0"/>
          <c:showSerName val="0"/>
          <c:showPercent val="0"/>
          <c:showBubbleSize val="0"/>
        </c:dLbls>
        <c:gapWidth val="182"/>
        <c:overlap val="0"/>
        <c:axId val="691519273"/>
        <c:axId val="850134922"/>
      </c:barChart>
      <c:catAx>
        <c:axId val="691519273"/>
        <c:scaling>
          <c:orientation val="minMax"/>
        </c:scaling>
        <c:delete val="1"/>
        <c:axPos val="l"/>
        <c:majorTickMark val="none"/>
        <c:minorTickMark val="none"/>
        <c:tickLblPos val="nextTo"/>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50134922"/>
        <c:crosses val="autoZero"/>
        <c:auto val="1"/>
        <c:lblAlgn val="ctr"/>
        <c:lblOffset val="100"/>
        <c:noMultiLvlLbl val="0"/>
      </c:catAx>
      <c:valAx>
        <c:axId val="85013492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91519273"/>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nchor="t" rtlCol="false"/>
          <a:lstStyle/>
          <a:p>
            <a:pPr algn="l">
              <a:defRPr/>
            </a:pPr>
            <a:r>
              <a:rPr lang="en-US"/>
              <a:t>一般公共预算基本支出情况</a:t>
            </a:r>
            <a:endParaRPr lang="en-US" sz="1100"/>
          </a:p>
        </c:rich>
      </c:tx>
      <c:layout/>
      <c:overlay val="false"/>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countries</c:v>
                </c:pt>
              </c:strCache>
            </c:strRef>
          </c:tx>
          <c:spPr/>
          <c:explosion val="0"/>
          <c:dPt>
            <c:idx val="0"/>
            <c:bubble3D val="0"/>
            <c:spPr>
              <a:solidFill>
                <a:schemeClr val="accent1"/>
              </a:solidFill>
              <a:ln w="19050">
                <a:solidFill>
                  <a:schemeClr val="lt1"/>
                </a:solidFill>
              </a:ln>
              <a:effectLst/>
            </c:spPr>
          </c:dPt>
          <c:dLbls>
            <c:delete val="1"/>
          </c:dLbls>
          <c:cat>
            <c:strRef>
              <c:f>Sheet1!$A$2:$A$3</c:f>
              <c:strCache>
                <c:ptCount val="2"/>
                <c:pt idx="0">
                  <c:v>人员经费</c:v>
                </c:pt>
                <c:pt idx="1">
                  <c:v>公用经费</c:v>
                </c:pt>
              </c:strCache>
            </c:strRef>
          </c:cat>
          <c:val>
            <c:numRef>
              <c:f>Sheet1!$B$2:$B$3</c:f>
              <c:numCache>
                <c:ptCount val="2"/>
                <c:pt idx="0">
                  <c:v>239.88</c:v>
                </c:pt>
                <c:pt idx="1">
                  <c:v>18.03</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一般公共预算“三公”经费安排情况</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上年</c:v>
                </c:pt>
              </c:strCache>
            </c:strRef>
          </c:tx>
          <c:spPr>
            <a:solidFill>
              <a:schemeClr val="accent1"/>
            </a:solidFill>
            <a:ln>
              <a:noFill/>
            </a:ln>
            <a:effectLst/>
          </c:spPr>
          <c:invertIfNegative val="0"/>
          <c:dLbls>
            <c:delete val="1"/>
          </c:dLbls>
          <c:cat>
            <c:strRef>
              <c:f>Sheet1!$A$2:$A$4</c:f>
              <c:strCache>
                <c:ptCount val="3"/>
                <c:pt idx="0">
                  <c:v>因公出国（境）经费预算</c:v>
                </c:pt>
                <c:pt idx="1">
                  <c:v>公务接待费预算</c:v>
                </c:pt>
                <c:pt idx="2">
                  <c:v>公务用车购置及运行费预算</c:v>
                </c:pt>
              </c:strCache>
            </c:strRef>
          </c:cat>
          <c:val>
            <c:numRef>
              <c:f>Sheet1!$B$2:$B$4</c:f>
              <c:numCache>
                <c:formatCode>General</c:formatCode>
                <c:ptCount val="3"/>
                <c:pt idx="0">
                  <c:v>0.0</c:v>
                </c:pt>
                <c:pt idx="1">
                  <c:v>7.9</c:v>
                </c:pt>
                <c:pt idx="2">
                  <c:v>0.0</c:v>
                </c:pt>
              </c:numCache>
            </c:numRef>
          </c:val>
        </c:ser>
        <c:ser>
          <c:idx val="1"/>
          <c:order val="1"/>
          <c:tx>
            <c:strRef>
              <c:f>Sheet1!$C$1</c:f>
              <c:strCache>
                <c:ptCount val="1"/>
                <c:pt idx="0">
                  <c:v>当年</c:v>
                </c:pt>
              </c:strCache>
            </c:strRef>
          </c:tx>
          <c:invertIfNegative val="0"/>
          <c:dLbls>
            <c:delete val="1"/>
          </c:dLbls>
          <c:cat>
            <c:strRef>
              <c:f>Sheet1!$A$2:$A$4</c:f>
              <c:strCache>
                <c:ptCount val="3"/>
                <c:pt idx="0">
                  <c:v>因公出国（境）经费预算</c:v>
                </c:pt>
                <c:pt idx="1">
                  <c:v>公务接待费预算</c:v>
                </c:pt>
                <c:pt idx="2">
                  <c:v>公务用车购置及运行费预算</c:v>
                </c:pt>
              </c:strCache>
            </c:strRef>
          </c:cat>
          <c:val>
            <c:numRef>
              <c:f>Sheet1!$C$2:$C$4</c:f>
              <c:numCache>
                <c:formatCode>General</c:formatCode>
                <c:ptCount val="3"/>
                <c:pt idx="0">
                  <c:v>0.0</c:v>
                </c:pt>
                <c:pt idx="1">
                  <c:v>6.3</c:v>
                </c:pt>
                <c:pt idx="2">
                  <c:v>0.0</c:v>
                </c:pt>
              </c:numCache>
            </c:numRef>
          </c:val>
        </c:ser>
        <c:dLbls>
          <c:showLegendKey val="0"/>
          <c:showVal val="0"/>
          <c:showCatName val="0"/>
          <c:showSerName val="0"/>
          <c:showPercent val="0"/>
          <c:showBubbleSize val="0"/>
        </c:dLbls>
        <c:gapWidth val="182"/>
        <c:overlap val="0"/>
        <c:axId val="587647791"/>
        <c:axId val="468612210"/>
      </c:barChart>
      <c:catAx>
        <c:axId val="587647791"/>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68612210"/>
        <c:crosses val="autoZero"/>
        <c:auto val="1"/>
        <c:lblAlgn val="ctr"/>
        <c:lblOffset val="100"/>
        <c:noMultiLvlLbl val="0"/>
      </c:catAx>
      <c:valAx>
        <c:axId val="468612210"/>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87647791"/>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cp:coreProperties xmlns:cp="http://schemas.openxmlformats.org/package/2006/metadata/core-properties" xmlns:dc="http://purl.org/dc/elements/1.1/" xmlns:dcterms="http://purl.org/dc/terms/" xmlns:xsi="http://www.w3.org/2001/XMLSchema-instance">
  <dcterms:created xsi:type="dcterms:W3CDTF">2023-02-07T06:11:00Z</dcterms:created>
  <dc:creator>蔡冬冬</dc:creator>
  <cp:lastModifiedBy>A sentiment</cp:lastModifiedBy>
  <dcterms:modified xsi:type="dcterms:W3CDTF">2024-03-01T03:59:02Z</dcterms:modified>
  <cp:revision>3</cp:revision>
</cp:coreProperties>
</file>

<file path=customXml/item2.xml><?xml version="1.0" encoding="utf-8"?>
<Properties xmlns="http://schemas.openxmlformats.org/officeDocument/2006/extended-properties" xmlns:vt="http://schemas.openxmlformats.org/officeDocument/2006/docPropsVTypes">
  <Template>Normal.dotm</Template>
  <Pages>35</Pages>
  <Words>8576</Words>
  <Characters>11046</Characters>
  <Lines>105</Lines>
  <Paragraphs>29</Paragraphs>
  <TotalTime>13</TotalTime>
  <ScaleCrop>false</ScaleCrop>
  <LinksUpToDate>false</LinksUpToDate>
  <CharactersWithSpaces>11333</CharactersWithSpaces>
  <Application>WPS Office_12.1.0.16388_F1E327BC-269C-435d-A152-05C5408002CA</Application>
  <DocSecurity>0</DocSecurity>
</Properties>
</file>

<file path=customXml/item3.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E8731993985A4C8C9EC310D21024A9FA_13</vt:lpwstr>
  </property>
</Properties>
</file>

<file path=customXml/item4.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vt="http://schemas.openxmlformats.org/officeDocument/2006/docPropsVTypes" xmlns="http://schemas.openxmlformats.org/officeDocument/2006/extended-properties">
  <Template>Normal.dotm</Template>
  <TotalTime>13</TotalTime>
  <Pages>35</Pages>
  <Words>8576</Words>
  <Characters>11046</Characters>
  <Application>WPS Office_12.1.0.16388_F1E327BC-269C-435d-A152-05C5408002CA</Application>
  <DocSecurity>0</DocSecurity>
  <Lines>105</Lines>
  <Paragraphs>29</Paragraphs>
  <CharactersWithSpaces>11333</CharactersWithSpaces>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2023-02-07T06:11:00Z</dcterms:created>
  <dc:creator>蔡冬冬</dc:creator>
  <cp:lastModifiedBy>A sentiment</cp:lastModifiedBy>
  <dcterms:modified xsi:type="dcterms:W3CDTF">2024-03-04T02:20:17Z</dcterms:modified>
  <cp:revision>3</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str>2052-12.1.0.16388</vt:lpstr>
  </property>
  <property fmtid="{D5CDD505-2E9C-101B-9397-08002B2CF9AE}" pid="3" name="ICV">
    <vt:lpstr>E8731993985A4C8C9EC310D21024A9FA_13</vt:lpstr>
  </property>
</Properties>
</file>