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环江毛南族自治县公务接待服务中心</w:t>
      </w:r>
    </w:p>
    <w:p>
      <w:pPr>
        <w:pStyle w:val="10"/>
        <w:jc w:val="center"/>
        <w:rPr>
          <w:rFonts w:hint="eastAsia" w:eastAsiaTheme="majorEastAsia"/>
          <w:sz w:val="56"/>
          <w:szCs w:val="56"/>
          <w:lang w:val="en-US" w:eastAsia="zh-CN"/>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val="en-US"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r>
        <w:rPr>
          <w:rFonts w:hint="eastAsia" w:asciiTheme="majorEastAsia" w:hAnsiTheme="majorEastAsia" w:eastAsiaTheme="majorEastAsia" w:cstheme="majorEastAsia"/>
          <w:sz w:val="56"/>
          <w:szCs w:val="56"/>
          <w:lang w:val="en-US" w:eastAsia="zh-CN"/>
        </w:rPr>
        <w:t>公开</w:t>
      </w:r>
    </w:p>
    <w:p>
      <w:pPr>
        <w:pStyle w:val="12"/>
        <w:keepNext/>
        <w:keepLines/>
        <w:spacing w:after="240"/>
        <w:jc w:val="center"/>
      </w:pPr>
      <w:bookmarkStart w:id="0" w:name="bookmark0"/>
      <w:bookmarkStart w:id="1" w:name="bookmark1"/>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环江毛南族自治县公务接待服务中心单位</w:t>
      </w:r>
      <w:r>
        <w:t>概况</w:t>
      </w:r>
    </w:p>
    <w:p>
      <w:pPr>
        <w:pStyle w:val="16"/>
        <w:jc w:val="left"/>
        <w:rPr>
          <w:rFonts w:hint="eastAsia"/>
          <w:b w:val="0"/>
          <w:bCs w:val="0"/>
          <w:lang w:val="en-US" w:eastAsia="zh-CN"/>
        </w:rPr>
      </w:pPr>
      <w:r>
        <w:rPr>
          <w:rFonts w:hint="eastAsia"/>
          <w:b w:val="0"/>
          <w:bCs w:val="0"/>
          <w:lang w:val="en-US" w:eastAsia="zh-CN"/>
        </w:rPr>
        <w:t>一、主要职责</w:t>
      </w:r>
    </w:p>
    <w:p>
      <w:pPr>
        <w:pStyle w:val="16"/>
        <w:jc w:val="left"/>
        <w:rPr>
          <w:rFonts w:hint="eastAsia"/>
          <w:b w:val="0"/>
          <w:bCs w:val="0"/>
        </w:rPr>
      </w:pPr>
      <w:r>
        <w:rPr>
          <w:rFonts w:hint="eastAsia"/>
          <w:b w:val="0"/>
          <w:bCs w:val="0"/>
          <w:lang w:val="en-US" w:eastAsia="zh-CN"/>
        </w:rPr>
        <w:t>二、</w:t>
      </w:r>
      <w:r>
        <w:rPr>
          <w:rFonts w:hint="eastAsia"/>
          <w:b w:val="0"/>
          <w:bCs w:val="0"/>
        </w:rPr>
        <w:t>机构设置情况</w:t>
      </w:r>
    </w:p>
    <w:p>
      <w:pPr>
        <w:pStyle w:val="16"/>
        <w:ind w:left="0" w:leftChars="0" w:firstLine="320" w:firstLineChars="100"/>
        <w:jc w:val="left"/>
      </w:pPr>
      <w:r>
        <w:t>第二部分</w:t>
      </w:r>
      <w:r>
        <w:rPr>
          <w:rFonts w:hint="eastAsia"/>
          <w:lang w:eastAsia="zh-CN"/>
        </w:rPr>
        <w:t>：</w:t>
      </w:r>
      <w:r>
        <w:rPr>
          <w:u w:color="auto"/>
        </w:rPr>
        <w:t>环江毛南族自治县公务接待服务中心2024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环江毛南族自治县公务接待服务中心2024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七、一般公共预算“三公”经费支出情况表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环江毛南族自治县公务接待服务中心</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为县级四家班子负责对外事务及接待事宜。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eastAsia"/>
          <w:highlight w:val="none"/>
          <w:lang w:val="en-US" w:eastAsia="zh-CN"/>
        </w:rPr>
      </w:pPr>
      <w:r>
        <w:rPr>
          <w:rFonts w:hint="eastAsia"/>
          <w:highlight w:val="none"/>
          <w:lang w:val="en-US" w:eastAsia="zh-CN"/>
        </w:rPr>
        <w:t>县级预算单位（外事服务中心、公务接待服务中心）。具体情况如下：外事服务中心人员编制总数为2人，其中行政编制1人，参公事业编制2人，机关后勤服务中心聘用人员控制数0人。实有财政供养人数2人，其中行政在职0人，参公事业在职2人，离退休人员1人（其中离休0人）。编外在职实有人数1人。公务接待服务中心人员编制总数为3人，其中行政编制1人，参公事业编制2人，机关后勤服务中心聘用人员控制数0人。实有财政供养人数3人，其中行政在职0人，参公事业在职2人，离退休人员1人（其中离休0人）。编外在职实有人数0人。</w:t>
      </w: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环江毛南族自治县公务接待服务中心</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243.30</w:t>
      </w:r>
      <w:r>
        <w:rPr>
          <w:rFonts w:hint="eastAsia"/>
          <w:b w:val="0"/>
          <w:bCs w:val="0"/>
          <w:sz w:val="28"/>
          <w:szCs w:val="28"/>
        </w:rPr>
        <w:t>万元，总支出</w:t>
      </w:r>
      <w:r>
        <w:rPr>
          <w:rFonts w:hint="eastAsia"/>
          <w:sz w:val="28"/>
          <w:szCs w:val="28"/>
          <w:lang w:val="en-US" w:eastAsia="zh-CN"/>
        </w:rPr>
        <w:t>243.30</w:t>
      </w:r>
      <w:r>
        <w:rPr>
          <w:rFonts w:hint="eastAsia"/>
          <w:b w:val="0"/>
          <w:bCs w:val="0"/>
          <w:sz w:val="28"/>
          <w:szCs w:val="28"/>
        </w:rPr>
        <w:t>万元。总收入较2023年度预算数</w:t>
      </w:r>
      <w:r>
        <w:rPr>
          <w:rFonts w:hint="eastAsia"/>
          <w:sz w:val="28"/>
          <w:szCs w:val="28"/>
          <w:lang w:val="en-US" w:eastAsia="zh-CN"/>
        </w:rPr>
        <w:t>223.50</w:t>
      </w:r>
      <w:r>
        <w:rPr>
          <w:rFonts w:hint="eastAsia"/>
          <w:b w:val="0"/>
          <w:bCs w:val="0"/>
          <w:sz w:val="28"/>
          <w:szCs w:val="28"/>
        </w:rPr>
        <w:t>万元，</w:t>
      </w:r>
      <w:r>
        <w:rPr>
          <w:rFonts w:hint="eastAsia"/>
          <w:sz w:val="28"/>
          <w:szCs w:val="28"/>
        </w:rPr>
        <w:t>增加19.80</w:t>
      </w:r>
      <w:r>
        <w:rPr>
          <w:rFonts w:hint="eastAsia"/>
          <w:b w:val="0"/>
          <w:bCs w:val="0"/>
          <w:sz w:val="28"/>
          <w:szCs w:val="28"/>
        </w:rPr>
        <w:t>万元，</w:t>
      </w:r>
      <w:r>
        <w:rPr>
          <w:rFonts w:hint="eastAsia"/>
          <w:sz w:val="28"/>
          <w:szCs w:val="28"/>
        </w:rPr>
        <w:t>增长8.86%</w:t>
      </w:r>
      <w:r>
        <w:rPr>
          <w:rFonts w:hint="eastAsia"/>
          <w:b w:val="0"/>
          <w:bCs w:val="0"/>
          <w:sz w:val="28"/>
          <w:szCs w:val="28"/>
        </w:rPr>
        <w:t>，主要原因是</w:t>
      </w:r>
      <w:r>
        <w:rPr>
          <w:rFonts w:hint="eastAsia"/>
          <w:highlight w:val="none"/>
          <w:lang w:val="en-US" w:eastAsia="zh-CN"/>
        </w:rPr>
        <w:t>主要原因是人员变动，各项经费预算增加。</w:t>
      </w:r>
      <w:r>
        <w:rPr>
          <w:rFonts w:hint="eastAsia"/>
          <w:b w:val="0"/>
          <w:bCs w:val="0"/>
          <w:sz w:val="28"/>
          <w:szCs w:val="28"/>
        </w:rPr>
        <w:t>。总支出较2023年度预算数</w:t>
      </w:r>
      <w:r>
        <w:rPr>
          <w:rFonts w:hint="eastAsia"/>
          <w:sz w:val="28"/>
          <w:szCs w:val="28"/>
          <w:lang w:val="en-US" w:eastAsia="zh-CN"/>
        </w:rPr>
        <w:t>223.50</w:t>
      </w:r>
      <w:r>
        <w:rPr>
          <w:rFonts w:hint="eastAsia"/>
          <w:b w:val="0"/>
          <w:bCs w:val="0"/>
          <w:sz w:val="28"/>
          <w:szCs w:val="28"/>
        </w:rPr>
        <w:t>万元，</w:t>
      </w:r>
      <w:r>
        <w:rPr>
          <w:rFonts w:hint="eastAsia"/>
          <w:sz w:val="28"/>
          <w:szCs w:val="28"/>
        </w:rPr>
        <w:t>增加19.80</w:t>
      </w:r>
      <w:r>
        <w:rPr>
          <w:rFonts w:hint="eastAsia"/>
          <w:b w:val="0"/>
          <w:bCs w:val="0"/>
          <w:sz w:val="28"/>
          <w:szCs w:val="28"/>
        </w:rPr>
        <w:t>万元，</w:t>
      </w:r>
      <w:r>
        <w:rPr>
          <w:rFonts w:hint="eastAsia"/>
          <w:sz w:val="28"/>
          <w:szCs w:val="28"/>
        </w:rPr>
        <w:t>增长8.86%</w:t>
      </w:r>
      <w:r>
        <w:rPr>
          <w:rFonts w:hint="eastAsia"/>
          <w:b w:val="0"/>
          <w:bCs w:val="0"/>
          <w:sz w:val="28"/>
          <w:szCs w:val="28"/>
        </w:rPr>
        <w:t>，主要原因是</w:t>
      </w:r>
      <w:r>
        <w:rPr>
          <w:rFonts w:hint="eastAsia"/>
          <w:highlight w:val="none"/>
          <w:lang w:val="en-US" w:eastAsia="zh-CN"/>
        </w:rPr>
        <w:t>主要原因是人员变动，各项经费预算增加。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65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243.30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223.50</w:t>
      </w:r>
      <w:r>
        <w:rPr>
          <w:rFonts w:hint="eastAsia" w:ascii="宋体" w:hAnsi="宋体" w:eastAsia="宋体" w:cs="宋体"/>
          <w:sz w:val="28"/>
          <w:szCs w:val="28"/>
          <w:u w:color="auto"/>
        </w:rPr>
        <w:t>万元，</w:t>
      </w:r>
      <w:r>
        <w:rPr>
          <w:rFonts w:hint="eastAsia" w:ascii="宋体" w:hAnsi="宋体" w:eastAsia="宋体" w:cs="宋体"/>
          <w:sz w:val="28"/>
          <w:szCs w:val="28"/>
        </w:rPr>
        <w:t>增加19.80</w:t>
      </w:r>
      <w:r>
        <w:rPr>
          <w:rFonts w:hint="eastAsia" w:ascii="宋体" w:hAnsi="宋体" w:eastAsia="宋体" w:cs="宋体"/>
          <w:sz w:val="28"/>
          <w:szCs w:val="28"/>
          <w:u w:color="auto"/>
        </w:rPr>
        <w:t>万元，</w:t>
      </w:r>
      <w:r>
        <w:rPr>
          <w:rFonts w:hint="eastAsia" w:ascii="宋体" w:hAnsi="宋体" w:eastAsia="宋体" w:cs="宋体"/>
          <w:sz w:val="28"/>
          <w:szCs w:val="28"/>
        </w:rPr>
        <w:t>增长8.86%</w:t>
      </w:r>
      <w:r>
        <w:rPr>
          <w:rFonts w:hint="eastAsia" w:ascii="宋体" w:hAnsi="宋体" w:eastAsia="宋体" w:cs="宋体"/>
          <w:sz w:val="28"/>
          <w:szCs w:val="28"/>
          <w:u w:color="auto"/>
        </w:rPr>
        <w:t>，主要原因是</w:t>
      </w:r>
      <w:r>
        <w:rPr>
          <w:rFonts w:hint="eastAsia"/>
          <w:highlight w:val="none"/>
          <w:lang w:val="en-US" w:eastAsia="zh-CN"/>
        </w:rPr>
        <w:t>主要原因是人员变动，各项经费预算增加。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65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243.30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223.50</w:t>
      </w:r>
      <w:r>
        <w:rPr>
          <w:rFonts w:hint="eastAsia" w:ascii="宋体" w:hAnsi="宋体" w:eastAsia="宋体" w:cs="宋体"/>
          <w:sz w:val="28"/>
          <w:szCs w:val="28"/>
          <w:lang w:eastAsia="zh-CN"/>
        </w:rPr>
        <w:t>万元，</w:t>
      </w:r>
      <w:r>
        <w:rPr>
          <w:rFonts w:hint="eastAsia" w:ascii="宋体" w:hAnsi="宋体" w:eastAsia="宋体" w:cs="宋体"/>
          <w:sz w:val="28"/>
          <w:szCs w:val="28"/>
        </w:rPr>
        <w:t>增加19.80</w:t>
      </w:r>
      <w:r>
        <w:rPr>
          <w:rFonts w:hint="eastAsia" w:ascii="宋体" w:hAnsi="宋体" w:eastAsia="宋体" w:cs="宋体"/>
          <w:sz w:val="28"/>
          <w:szCs w:val="28"/>
          <w:lang w:eastAsia="zh-CN"/>
        </w:rPr>
        <w:t>万元，</w:t>
      </w:r>
      <w:r>
        <w:rPr>
          <w:rFonts w:hint="eastAsia" w:ascii="宋体" w:hAnsi="宋体" w:eastAsia="宋体" w:cs="宋体"/>
          <w:sz w:val="28"/>
          <w:szCs w:val="28"/>
        </w:rPr>
        <w:t>增长8.86%</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主要原因是人员变动，各项经费预算增加。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具体部门支出预算如下（按具体科目分类）：1.行政运行72.46万元，其中：基本支出65.44万元，项目支出7.03万元。主要用于机关为保证日常运转发生的基本支出和按规定预留的绩效工资。如根据国家规定的基本工资和津补贴标准等安排的人员经费支出，确保机关正常运转的办公费、印刷费、水电费、培训费、差旅费、会议费等日常公用经费支出。2.其他群众团体事务支出0.63万元，主要用于主要用于工会公用经费支出。3.其他一般公共服务支出160万元，主要用于四家班子领导公务接待事务等方面支出。4．机关事业单位基本养老保险缴费支出7.44万元，主要用于职工养老保险。5．住房公积金支出46.44万元，主要用于职工住房公积金。</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3</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1)住房保障支出</w:t>
      </w:r>
      <w:r>
        <w:rPr>
          <w:rFonts w:hint="eastAsia" w:ascii="宋体" w:hAnsi="宋体" w:eastAsia="宋体" w:cs="宋体"/>
          <w:sz w:val="28"/>
          <w:szCs w:val="28"/>
          <w:lang w:val="en-US" w:eastAsia="zh-CN"/>
        </w:rPr>
        <w:t>6.44</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2.65%</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增长1.81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增长39.09%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主要原因是人员变动，各项经费预算增加。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2)一般公共服务支出</w:t>
      </w:r>
      <w:r>
        <w:rPr>
          <w:rFonts w:hint="eastAsia" w:ascii="宋体" w:hAnsi="宋体" w:eastAsia="宋体" w:cs="宋体"/>
          <w:sz w:val="28"/>
          <w:szCs w:val="28"/>
          <w:lang w:val="en-US" w:eastAsia="zh-CN"/>
        </w:rPr>
        <w:t>229.42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94.30%</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增长16.71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增长7.86%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主要原因是人员变动，各项经费预算增加。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7.44</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3.06%</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增长1.27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增长20.58%</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主要原因是人员变动，各项经费预算增加。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72.46</w:t>
      </w:r>
      <w:r>
        <w:rPr>
          <w:rFonts w:hint="eastAsia" w:ascii="宋体" w:hAnsi="宋体" w:eastAsia="宋体" w:cs="宋体"/>
          <w:sz w:val="28"/>
          <w:szCs w:val="28"/>
        </w:rPr>
        <w:t>万元，占支出预算</w:t>
      </w:r>
      <w:r>
        <w:rPr>
          <w:rFonts w:ascii="宋体" w:hAnsi="宋体" w:eastAsia="宋体" w:cs="宋体"/>
          <w:sz w:val="28"/>
          <w:u w:color="auto"/>
        </w:rPr>
        <w:t>29.78%,比上年增长17.80万元，增长32.56%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63.44</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87.55%</w:t>
      </w:r>
      <w:r>
        <w:rPr>
          <w:rFonts w:hint="eastAsia" w:ascii="宋体" w:hAnsi="宋体" w:eastAsia="宋体" w:cs="宋体"/>
          <w:sz w:val="28"/>
          <w:szCs w:val="28"/>
        </w:rPr>
        <w:t>,比上年</w:t>
      </w:r>
      <w:r>
        <w:rPr>
          <w:rFonts w:ascii="宋体" w:hAnsi="宋体" w:eastAsia="宋体" w:cs="宋体"/>
          <w:sz w:val="28"/>
          <w:u w:color="auto"/>
        </w:rPr>
        <w:t>增长15.77万元，增长33.08%,主要原因是：主要原因是人员变动，各项经费预算增加。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7.03</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9.70%</w:t>
      </w:r>
      <w:r>
        <w:rPr>
          <w:rFonts w:hint="eastAsia" w:ascii="宋体" w:hAnsi="宋体" w:eastAsia="宋体" w:cs="宋体"/>
          <w:sz w:val="28"/>
          <w:szCs w:val="28"/>
        </w:rPr>
        <w:t>,比上年</w:t>
      </w:r>
      <w:r>
        <w:rPr>
          <w:rFonts w:ascii="宋体" w:hAnsi="宋体" w:eastAsia="宋体" w:cs="宋体"/>
          <w:sz w:val="28"/>
          <w:u w:color="auto"/>
        </w:rPr>
        <w:t>增长1.23万元，增长21.21%,主要原因是：主要原因是人员变动，各项经费预算增加。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2.00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2.76%</w:t>
      </w:r>
      <w:r>
        <w:rPr>
          <w:rFonts w:hint="eastAsia" w:ascii="宋体" w:hAnsi="宋体" w:eastAsia="宋体" w:cs="宋体"/>
          <w:sz w:val="28"/>
          <w:szCs w:val="28"/>
        </w:rPr>
        <w:t>,比上年</w:t>
      </w:r>
      <w:r>
        <w:rPr>
          <w:rFonts w:ascii="宋体" w:hAnsi="宋体" w:eastAsia="宋体" w:cs="宋体"/>
          <w:sz w:val="28"/>
          <w:u w:color="auto"/>
        </w:rPr>
        <w:t>增长0.80万元，增长66.67%,主要原因是：主要原因是补助标准提高，经费预算增加。</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170.84</w:t>
      </w:r>
      <w:r>
        <w:rPr>
          <w:rFonts w:hint="eastAsia" w:ascii="宋体" w:hAnsi="宋体" w:eastAsia="宋体" w:cs="宋体"/>
          <w:sz w:val="28"/>
          <w:szCs w:val="28"/>
        </w:rPr>
        <w:t>万元，占支出预算</w:t>
      </w:r>
      <w:r>
        <w:rPr>
          <w:rFonts w:ascii="宋体" w:hAnsi="宋体" w:eastAsia="宋体" w:cs="宋体"/>
          <w:sz w:val="28"/>
          <w:u w:color="auto"/>
        </w:rPr>
        <w:t>70.22%</w:t>
      </w:r>
      <w:r>
        <w:rPr>
          <w:rFonts w:hint="eastAsia" w:ascii="宋体" w:hAnsi="宋体" w:eastAsia="宋体" w:cs="宋体"/>
          <w:sz w:val="28"/>
          <w:szCs w:val="28"/>
        </w:rPr>
        <w:t>,比上年</w:t>
      </w:r>
      <w:r>
        <w:rPr>
          <w:rFonts w:ascii="宋体" w:hAnsi="宋体" w:eastAsia="宋体" w:cs="宋体"/>
          <w:sz w:val="28"/>
          <w:u w:color="auto"/>
        </w:rPr>
        <w:t>增长2.00</w:t>
      </w:r>
      <w:r>
        <w:rPr>
          <w:rFonts w:hint="eastAsia" w:ascii="宋体" w:hAnsi="宋体" w:eastAsia="宋体" w:cs="宋体"/>
          <w:sz w:val="28"/>
          <w:szCs w:val="28"/>
        </w:rPr>
        <w:t>万元，</w:t>
      </w:r>
      <w:r>
        <w:rPr>
          <w:rFonts w:ascii="宋体" w:hAnsi="宋体" w:eastAsia="宋体" w:cs="宋体"/>
          <w:sz w:val="28"/>
          <w:u w:color="auto"/>
        </w:rPr>
        <w:t>增长1.18%</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170.84</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100.00%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增长2.00万元，增长1.18%,主要原因是</w:t>
      </w:r>
      <w:r>
        <w:rPr>
          <w:rFonts w:hint="eastAsia" w:ascii="宋体" w:hAnsi="宋体" w:eastAsia="宋体" w:cs="宋体"/>
          <w:color w:val="000000"/>
          <w:sz w:val="28"/>
          <w:szCs w:val="28"/>
          <w:lang w:val="zh-TW" w:eastAsia="zh-CN" w:bidi="zh-TW"/>
        </w:rPr>
        <w:t>：</w:t>
      </w:r>
      <w:r>
        <w:rPr>
          <w:rFonts w:hint="eastAsia" w:ascii="宋体" w:hAnsi="宋体" w:eastAsia="宋体" w:cs="宋体"/>
          <w:color w:val="000000"/>
          <w:sz w:val="28"/>
          <w:szCs w:val="28"/>
          <w:lang w:val="zh-TW" w:eastAsia="zh-TW" w:bidi="zh-TW"/>
        </w:rPr>
        <w:t>主要原因是人员变动，各项经费预算增加。</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65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243.30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243.30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223.50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增加19.80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增长8.86%</w:t>
      </w:r>
      <w:r>
        <w:rPr>
          <w:rFonts w:hint="eastAsia" w:ascii="宋体" w:hAnsi="宋体" w:eastAsia="宋体" w:cs="宋体"/>
          <w:sz w:val="28"/>
          <w:szCs w:val="28"/>
        </w:rPr>
        <w:t>，主要原因是</w:t>
      </w:r>
      <w:r>
        <w:rPr>
          <w:rFonts w:hint="eastAsia"/>
          <w:highlight w:val="none"/>
          <w:lang w:val="en-US" w:eastAsia="zh-CN"/>
        </w:rPr>
        <w:t>主要原因是人员变动，各项经费预算增加。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223.50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增加19.80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增长8.86%</w:t>
      </w:r>
      <w:r>
        <w:rPr>
          <w:rFonts w:hint="eastAsia" w:ascii="宋体" w:hAnsi="宋体" w:eastAsia="宋体" w:cs="宋体"/>
          <w:sz w:val="28"/>
          <w:szCs w:val="28"/>
        </w:rPr>
        <w:t>，主要原因是</w:t>
      </w:r>
      <w:r>
        <w:rPr>
          <w:rFonts w:hint="eastAsia"/>
          <w:highlight w:val="none"/>
          <w:lang w:val="en-US" w:eastAsia="zh-CN"/>
        </w:rPr>
        <w:t>主要原因是人员变动，各项经费预算增加。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265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243.30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223.50</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增加19.80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增长8.86%</w:t>
      </w:r>
      <w:r>
        <w:rPr>
          <w:rFonts w:hint="eastAsia" w:ascii="宋体" w:hAnsi="宋体" w:eastAsia="宋体" w:cs="宋体"/>
          <w:sz w:val="28"/>
          <w:szCs w:val="28"/>
        </w:rPr>
        <w:t>，主要原因是</w:t>
      </w:r>
      <w:r>
        <w:rPr>
          <w:rFonts w:hint="eastAsia"/>
          <w:highlight w:val="none"/>
          <w:lang w:val="en-US" w:eastAsia="zh-CN"/>
        </w:rPr>
        <w:t>主要原因是人员变动，各项经费预算增加。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229.42</w:t>
      </w:r>
      <w:r>
        <w:rPr>
          <w:rFonts w:hint="eastAsia" w:ascii="宋体" w:hAnsi="宋体" w:eastAsia="宋体" w:cs="宋体"/>
          <w:sz w:val="28"/>
          <w:szCs w:val="28"/>
        </w:rPr>
        <w:t>万元，占支出总预算的</w:t>
      </w:r>
      <w:r>
        <w:rPr>
          <w:rFonts w:ascii="宋体" w:hAnsi="宋体" w:eastAsia="宋体" w:cs="宋体"/>
          <w:sz w:val="28"/>
          <w:u w:color="auto"/>
        </w:rPr>
        <w:t>94.30%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212.71</w:t>
      </w:r>
      <w:r>
        <w:rPr>
          <w:rFonts w:hint="eastAsia" w:ascii="宋体" w:hAnsi="宋体" w:eastAsia="宋体" w:cs="宋体"/>
          <w:sz w:val="28"/>
          <w:szCs w:val="28"/>
        </w:rPr>
        <w:t>万元，</w:t>
      </w:r>
      <w:r>
        <w:rPr>
          <w:rFonts w:ascii="宋体" w:hAnsi="宋体" w:eastAsia="宋体" w:cs="宋体"/>
          <w:sz w:val="28"/>
          <w:u w:color="auto"/>
        </w:rPr>
        <w:t>增长16.71</w:t>
      </w:r>
      <w:r>
        <w:rPr>
          <w:rFonts w:hint="eastAsia" w:ascii="宋体" w:hAnsi="宋体" w:eastAsia="宋体" w:cs="宋体"/>
          <w:sz w:val="28"/>
          <w:szCs w:val="28"/>
        </w:rPr>
        <w:t>万元，</w:t>
      </w:r>
      <w:r>
        <w:rPr>
          <w:rFonts w:ascii="宋体" w:hAnsi="宋体" w:eastAsia="宋体" w:cs="宋体"/>
          <w:sz w:val="28"/>
          <w:u w:color="auto"/>
        </w:rPr>
        <w:t>增长7.86%</w:t>
      </w:r>
      <w:r>
        <w:rPr>
          <w:rFonts w:hint="eastAsia" w:ascii="宋体" w:hAnsi="宋体" w:eastAsia="宋体" w:cs="宋体"/>
          <w:sz w:val="28"/>
          <w:szCs w:val="28"/>
        </w:rPr>
        <w:t>，主要原因是：</w:t>
      </w:r>
      <w:r>
        <w:rPr>
          <w:rFonts w:hint="eastAsia"/>
          <w:highlight w:val="none"/>
        </w:rPr>
        <w:t>主要原因是人员变动，各项经费预算增加。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6.44</w:t>
      </w:r>
      <w:r>
        <w:rPr>
          <w:rFonts w:hint="eastAsia" w:ascii="宋体" w:hAnsi="宋体" w:eastAsia="宋体" w:cs="宋体"/>
          <w:sz w:val="28"/>
          <w:szCs w:val="28"/>
        </w:rPr>
        <w:t>万元，占支出总预算的</w:t>
      </w:r>
      <w:r>
        <w:rPr>
          <w:rFonts w:ascii="宋体" w:hAnsi="宋体" w:eastAsia="宋体" w:cs="宋体"/>
          <w:sz w:val="28"/>
          <w:u w:color="auto"/>
        </w:rPr>
        <w:t>2.65%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4.63</w:t>
      </w:r>
      <w:r>
        <w:rPr>
          <w:rFonts w:hint="eastAsia" w:ascii="宋体" w:hAnsi="宋体" w:eastAsia="宋体" w:cs="宋体"/>
          <w:sz w:val="28"/>
          <w:szCs w:val="28"/>
        </w:rPr>
        <w:t>万元，</w:t>
      </w:r>
      <w:r>
        <w:rPr>
          <w:rFonts w:ascii="宋体" w:hAnsi="宋体" w:eastAsia="宋体" w:cs="宋体"/>
          <w:sz w:val="28"/>
          <w:u w:color="auto"/>
        </w:rPr>
        <w:t>增长1.81</w:t>
      </w:r>
      <w:r>
        <w:rPr>
          <w:rFonts w:hint="eastAsia" w:ascii="宋体" w:hAnsi="宋体" w:eastAsia="宋体" w:cs="宋体"/>
          <w:sz w:val="28"/>
          <w:szCs w:val="28"/>
        </w:rPr>
        <w:t>万元，</w:t>
      </w:r>
      <w:r>
        <w:rPr>
          <w:rFonts w:ascii="宋体" w:hAnsi="宋体" w:eastAsia="宋体" w:cs="宋体"/>
          <w:sz w:val="28"/>
          <w:u w:color="auto"/>
        </w:rPr>
        <w:t>增长39.09%</w:t>
      </w:r>
      <w:r>
        <w:rPr>
          <w:rFonts w:hint="eastAsia" w:ascii="宋体" w:hAnsi="宋体" w:eastAsia="宋体" w:cs="宋体"/>
          <w:sz w:val="28"/>
          <w:szCs w:val="28"/>
        </w:rPr>
        <w:t>，主要原因是：</w:t>
      </w:r>
      <w:r>
        <w:rPr>
          <w:rFonts w:hint="eastAsia"/>
          <w:highlight w:val="none"/>
        </w:rPr>
        <w:t>主要原因是人员变动，各项经费预算增加。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7.44</w:t>
      </w:r>
      <w:r>
        <w:rPr>
          <w:rFonts w:hint="eastAsia" w:ascii="宋体" w:hAnsi="宋体" w:eastAsia="宋体" w:cs="宋体"/>
          <w:sz w:val="28"/>
          <w:szCs w:val="28"/>
        </w:rPr>
        <w:t>万元，占支出总预算的</w:t>
      </w:r>
      <w:r>
        <w:rPr>
          <w:rFonts w:ascii="宋体" w:hAnsi="宋体" w:eastAsia="宋体" w:cs="宋体"/>
          <w:sz w:val="28"/>
          <w:u w:color="auto"/>
        </w:rPr>
        <w:t>3.06%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6.17</w:t>
      </w:r>
      <w:r>
        <w:rPr>
          <w:rFonts w:hint="eastAsia" w:ascii="宋体" w:hAnsi="宋体" w:eastAsia="宋体" w:cs="宋体"/>
          <w:sz w:val="28"/>
          <w:szCs w:val="28"/>
        </w:rPr>
        <w:t>万元，</w:t>
      </w:r>
      <w:r>
        <w:rPr>
          <w:rFonts w:ascii="宋体" w:hAnsi="宋体" w:eastAsia="宋体" w:cs="宋体"/>
          <w:sz w:val="28"/>
          <w:u w:color="auto"/>
        </w:rPr>
        <w:t>增长1.27</w:t>
      </w:r>
      <w:r>
        <w:rPr>
          <w:rFonts w:hint="eastAsia" w:ascii="宋体" w:hAnsi="宋体" w:eastAsia="宋体" w:cs="宋体"/>
          <w:sz w:val="28"/>
          <w:szCs w:val="28"/>
        </w:rPr>
        <w:t>万元，</w:t>
      </w:r>
      <w:r>
        <w:rPr>
          <w:rFonts w:ascii="宋体" w:hAnsi="宋体" w:eastAsia="宋体" w:cs="宋体"/>
          <w:sz w:val="28"/>
          <w:u w:color="auto"/>
        </w:rPr>
        <w:t>增长20.58%</w:t>
      </w:r>
      <w:r>
        <w:rPr>
          <w:rFonts w:hint="eastAsia" w:ascii="宋体" w:hAnsi="宋体" w:eastAsia="宋体" w:cs="宋体"/>
          <w:sz w:val="28"/>
          <w:szCs w:val="28"/>
        </w:rPr>
        <w:t>，主要原因是：</w:t>
      </w:r>
      <w:r>
        <w:rPr>
          <w:rFonts w:hint="eastAsia"/>
          <w:highlight w:val="none"/>
        </w:rPr>
        <w:t>主要原因是人员变动，各项经费预算增加。</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65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72.46</w:t>
      </w:r>
      <w:r>
        <w:rPr>
          <w:rFonts w:hint="eastAsia"/>
        </w:rPr>
        <w:t>万元，较2023年度预算数</w:t>
      </w:r>
      <w:r>
        <w:rPr>
          <w:rFonts w:hint="eastAsia"/>
          <w:lang w:val="en-US" w:eastAsia="zh-CN"/>
        </w:rPr>
        <w:t>54.66</w:t>
      </w:r>
      <w:r>
        <w:rPr>
          <w:rFonts w:hint="eastAsia"/>
        </w:rPr>
        <w:t>万元</w:t>
      </w:r>
      <w:r>
        <w:rPr>
          <w:rFonts w:hint="eastAsia"/>
          <w:lang w:val="en-US" w:eastAsia="zh-CN"/>
        </w:rPr>
        <w:t>,</w:t>
      </w:r>
      <w:r>
        <w:rPr>
          <w:u w:color="auto"/>
        </w:rPr>
        <w:t>增加17.80</w:t>
      </w:r>
      <w:r>
        <w:rPr>
          <w:rFonts w:hint="eastAsia"/>
        </w:rPr>
        <w:t>万元，</w:t>
      </w:r>
      <w:r>
        <w:rPr>
          <w:rFonts w:hint="eastAsia"/>
          <w:lang w:val="en-US" w:eastAsia="zh-CN"/>
        </w:rPr>
        <w:t>增长32.56%</w:t>
      </w:r>
      <w:r>
        <w:rPr>
          <w:rFonts w:hint="eastAsia"/>
        </w:rPr>
        <w:t>，主要原因是</w:t>
      </w:r>
      <w:r>
        <w:rPr>
          <w:rFonts w:hint="eastAsia"/>
          <w:highlight w:val="none"/>
          <w:lang w:val="en-US" w:eastAsia="zh-CN"/>
        </w:rPr>
        <w:t>主要原因是人员变动，各项经费预算增加。</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63.44</w:t>
      </w:r>
      <w:r>
        <w:t>万元</w:t>
      </w:r>
      <w:r>
        <w:rPr>
          <w:rFonts w:hint="eastAsia"/>
          <w:lang w:eastAsia="zh-CN"/>
        </w:rPr>
        <w:t>，</w:t>
      </w:r>
      <w:r>
        <w:rPr>
          <w:rFonts w:hint="eastAsia"/>
        </w:rPr>
        <w:t>占基本支出预算的</w:t>
      </w:r>
      <w:r>
        <w:rPr>
          <w:rFonts w:hint="eastAsia"/>
          <w:lang w:val="en-US" w:eastAsia="zh-CN"/>
        </w:rPr>
        <w:t>87.55%</w:t>
      </w:r>
      <w:r>
        <w:rPr>
          <w:rFonts w:hint="eastAsia"/>
        </w:rPr>
        <w:t>，较2023年度预算数</w:t>
      </w:r>
      <w:r>
        <w:rPr>
          <w:rFonts w:hint="eastAsia"/>
          <w:lang w:val="en-US" w:eastAsia="zh-CN"/>
        </w:rPr>
        <w:t>47.67</w:t>
      </w:r>
      <w:r>
        <w:rPr>
          <w:rFonts w:hint="eastAsia"/>
        </w:rPr>
        <w:t>万元，</w:t>
      </w:r>
      <w:r>
        <w:rPr>
          <w:rFonts w:hint="eastAsia"/>
          <w:lang w:val="en-US" w:eastAsia="zh-CN"/>
        </w:rPr>
        <w:t>增长15.77</w:t>
      </w:r>
      <w:r>
        <w:rPr>
          <w:rFonts w:hint="eastAsia"/>
        </w:rPr>
        <w:t>万元，</w:t>
      </w:r>
      <w:r>
        <w:rPr>
          <w:rFonts w:hint="eastAsia"/>
          <w:lang w:val="en-US" w:eastAsia="zh-CN"/>
        </w:rPr>
        <w:t>增长33.08%</w:t>
      </w:r>
      <w:r>
        <w:rPr>
          <w:rFonts w:hint="eastAsia"/>
        </w:rPr>
        <w:t>，主要原因是：</w:t>
      </w:r>
      <w:r>
        <w:rPr>
          <w:rFonts w:hint="eastAsia"/>
          <w:highlight w:val="none"/>
        </w:rPr>
        <w:t>主要原因是人员变动，各项经费预算增加。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7.03</w:t>
      </w:r>
      <w:r>
        <w:t>万元</w:t>
      </w:r>
      <w:r>
        <w:rPr>
          <w:rFonts w:hint="eastAsia"/>
          <w:lang w:eastAsia="zh-CN"/>
        </w:rPr>
        <w:t>，</w:t>
      </w:r>
      <w:r>
        <w:rPr>
          <w:rFonts w:hint="eastAsia"/>
        </w:rPr>
        <w:t>占基本支出预算的</w:t>
      </w:r>
      <w:r>
        <w:rPr>
          <w:rFonts w:hint="eastAsia"/>
          <w:lang w:val="en-US" w:eastAsia="zh-CN"/>
        </w:rPr>
        <w:t>9.70%</w:t>
      </w:r>
      <w:r>
        <w:rPr>
          <w:rFonts w:hint="eastAsia"/>
        </w:rPr>
        <w:t>，较2023年度预算数</w:t>
      </w:r>
      <w:r>
        <w:rPr>
          <w:rFonts w:hint="eastAsia"/>
          <w:lang w:val="en-US" w:eastAsia="zh-CN"/>
        </w:rPr>
        <w:t>5.80</w:t>
      </w:r>
      <w:r>
        <w:rPr>
          <w:rFonts w:hint="eastAsia"/>
        </w:rPr>
        <w:t>万元，</w:t>
      </w:r>
      <w:r>
        <w:rPr>
          <w:rFonts w:hint="eastAsia"/>
          <w:lang w:val="en-US" w:eastAsia="zh-CN"/>
        </w:rPr>
        <w:t>增长1.23</w:t>
      </w:r>
      <w:r>
        <w:rPr>
          <w:rFonts w:hint="eastAsia"/>
        </w:rPr>
        <w:t>万元，</w:t>
      </w:r>
      <w:r>
        <w:rPr>
          <w:rFonts w:hint="eastAsia"/>
          <w:lang w:val="en-US" w:eastAsia="zh-CN"/>
        </w:rPr>
        <w:t>增长21.21%</w:t>
      </w:r>
      <w:r>
        <w:rPr>
          <w:rFonts w:hint="eastAsia"/>
        </w:rPr>
        <w:t>，主要原因是：</w:t>
      </w:r>
      <w:r>
        <w:rPr>
          <w:rFonts w:hint="eastAsia"/>
          <w:highlight w:val="none"/>
        </w:rPr>
        <w:t>主要原因是人员变动，各项经费预算增加。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2.00</w:t>
      </w:r>
      <w:r>
        <w:t>万元</w:t>
      </w:r>
      <w:r>
        <w:rPr>
          <w:rFonts w:hint="eastAsia"/>
          <w:lang w:eastAsia="zh-CN"/>
        </w:rPr>
        <w:t>，</w:t>
      </w:r>
      <w:r>
        <w:rPr>
          <w:rFonts w:hint="eastAsia"/>
        </w:rPr>
        <w:t>占基本支出预算的</w:t>
      </w:r>
      <w:r>
        <w:rPr>
          <w:rFonts w:hint="eastAsia"/>
          <w:lang w:val="en-US" w:eastAsia="zh-CN"/>
        </w:rPr>
        <w:t>2.76%</w:t>
      </w:r>
      <w:r>
        <w:rPr>
          <w:rFonts w:hint="eastAsia"/>
        </w:rPr>
        <w:t>，较2023年度预算数</w:t>
      </w:r>
      <w:r>
        <w:rPr>
          <w:rFonts w:hint="eastAsia"/>
          <w:lang w:val="en-US" w:eastAsia="zh-CN"/>
        </w:rPr>
        <w:t>1.20</w:t>
      </w:r>
      <w:r>
        <w:rPr>
          <w:rFonts w:hint="eastAsia"/>
        </w:rPr>
        <w:t>万元，</w:t>
      </w:r>
      <w:r>
        <w:rPr>
          <w:rFonts w:hint="eastAsia"/>
          <w:lang w:val="en-US" w:eastAsia="zh-CN"/>
        </w:rPr>
        <w:t>增长0.80</w:t>
      </w:r>
      <w:r>
        <w:rPr>
          <w:rFonts w:hint="eastAsia"/>
        </w:rPr>
        <w:t>万元，</w:t>
      </w:r>
      <w:r>
        <w:rPr>
          <w:rFonts w:hint="eastAsia"/>
          <w:lang w:val="en-US" w:eastAsia="zh-CN"/>
        </w:rPr>
        <w:t>增长66.67%</w:t>
      </w:r>
      <w:r>
        <w:rPr>
          <w:rFonts w:hint="eastAsia"/>
        </w:rPr>
        <w:t>，主要原因是：</w:t>
      </w:r>
      <w:r>
        <w:rPr>
          <w:rFonts w:hint="eastAsia"/>
          <w:highlight w:val="none"/>
        </w:rPr>
        <w:t>主要原因是人员变动，各项经费预算增加。</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66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160.00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160.00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160.00</w:t>
      </w:r>
      <w:r>
        <w:rPr>
          <w:rFonts w:hint="eastAsia"/>
          <w:b w:val="0"/>
          <w:bCs w:val="0"/>
          <w:sz w:val="28"/>
          <w:szCs w:val="28"/>
        </w:rPr>
        <w:t>万元，同口径较2023年度预算数</w:t>
      </w:r>
      <w:r>
        <w:rPr>
          <w:rFonts w:hint="eastAsia"/>
          <w:b w:val="0"/>
          <w:bCs w:val="0"/>
          <w:sz w:val="28"/>
          <w:szCs w:val="28"/>
          <w:lang w:val="en-US" w:eastAsia="zh-CN"/>
        </w:rPr>
        <w:t>150.00</w:t>
      </w:r>
      <w:r>
        <w:rPr>
          <w:rFonts w:hint="eastAsia"/>
          <w:b w:val="0"/>
          <w:bCs w:val="0"/>
          <w:sz w:val="28"/>
          <w:szCs w:val="28"/>
        </w:rPr>
        <w:t>万元，</w:t>
      </w:r>
      <w:r>
        <w:rPr>
          <w:rFonts w:hint="eastAsia"/>
          <w:b w:val="0"/>
          <w:bCs w:val="0"/>
          <w:sz w:val="28"/>
          <w:szCs w:val="28"/>
          <w:lang w:val="en-US" w:eastAsia="zh-CN"/>
        </w:rPr>
        <w:t>增长10.00</w:t>
      </w:r>
      <w:r>
        <w:rPr>
          <w:rFonts w:hint="eastAsia"/>
          <w:b w:val="0"/>
          <w:bCs w:val="0"/>
          <w:sz w:val="28"/>
          <w:szCs w:val="28"/>
        </w:rPr>
        <w:t>万元，</w:t>
      </w:r>
      <w:r>
        <w:rPr>
          <w:rFonts w:hint="eastAsia"/>
          <w:b w:val="0"/>
          <w:bCs w:val="0"/>
          <w:sz w:val="28"/>
          <w:szCs w:val="28"/>
          <w:lang w:val="en-US" w:eastAsia="zh-CN"/>
        </w:rPr>
        <w:t>增长6.67%</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该年度无因公出国（境）事项，故无此项经费预算。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160.00</w:t>
      </w:r>
      <w:r>
        <w:rPr>
          <w:rFonts w:hint="eastAsia"/>
          <w:b w:val="0"/>
          <w:bCs w:val="0"/>
          <w:sz w:val="28"/>
          <w:szCs w:val="28"/>
        </w:rPr>
        <w:t>万元，较2023年度预算数</w:t>
      </w:r>
      <w:r>
        <w:rPr>
          <w:sz w:val="28"/>
          <w:u w:color="auto"/>
        </w:rPr>
        <w:t>150.00</w:t>
      </w:r>
      <w:r>
        <w:rPr>
          <w:rFonts w:hint="eastAsia"/>
          <w:b w:val="0"/>
          <w:bCs w:val="0"/>
          <w:sz w:val="28"/>
          <w:szCs w:val="28"/>
        </w:rPr>
        <w:t>万元，</w:t>
      </w:r>
      <w:r>
        <w:rPr>
          <w:sz w:val="28"/>
          <w:u w:color="auto"/>
        </w:rPr>
        <w:t>增长10.00</w:t>
      </w:r>
      <w:r>
        <w:rPr>
          <w:rFonts w:hint="eastAsia"/>
          <w:b w:val="0"/>
          <w:bCs w:val="0"/>
          <w:sz w:val="28"/>
          <w:szCs w:val="28"/>
        </w:rPr>
        <w:t>万元，</w:t>
      </w:r>
      <w:r>
        <w:rPr>
          <w:sz w:val="28"/>
          <w:u w:color="auto"/>
        </w:rPr>
        <w:t>增长6.67%</w:t>
      </w:r>
      <w:r>
        <w:rPr>
          <w:rFonts w:hint="eastAsia"/>
          <w:b w:val="0"/>
          <w:bCs w:val="0"/>
          <w:sz w:val="28"/>
          <w:szCs w:val="28"/>
        </w:rPr>
        <w:t>，主要原因是</w:t>
      </w:r>
      <w:r>
        <w:rPr>
          <w:rFonts w:hint="eastAsia"/>
          <w:sz w:val="28"/>
          <w:szCs w:val="28"/>
          <w:highlight w:val="none"/>
          <w:lang w:val="en-US" w:eastAsia="zh-CN"/>
        </w:rPr>
        <w:t>接待事项多元化，故预算增加。</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我部门因公车改革，无公务用车，故无此项经费预算。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单位因公车改革，无公务用车，故无此项经费预算。</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我部门2024年部门预算无国有资产经营预算。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7.03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5.80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增加1.23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增长21.21%</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机关运行经费安排7.03万元，全部是基本支出预算。主要用于单位为保证日常运转发生的基本支出。按自治区统一规定的开支标准安排的办公费、印刷费、水电费、培训费、差旅费、会议费等日常公用经费支出。</w:t>
      </w:r>
      <w:r>
        <w:rPr>
          <w:rFonts w:hint="eastAsia" w:cs="宋体"/>
          <w:sz w:val="28"/>
          <w:szCs w:val="28"/>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主要用于：我部门2024年部门预算无此项预算。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3个</w:t>
      </w:r>
      <w:r>
        <w:rPr>
          <w:rFonts w:hint="eastAsia" w:ascii="宋体" w:hAnsi="宋体" w:eastAsia="宋体" w:cs="宋体"/>
          <w:sz w:val="28"/>
          <w:szCs w:val="28"/>
          <w:lang w:eastAsia="zh-CN"/>
        </w:rPr>
        <w:t>个，预算资金</w:t>
      </w:r>
      <w:r>
        <w:rPr>
          <w:rFonts w:hint="eastAsia"/>
          <w:sz w:val="28"/>
          <w:szCs w:val="28"/>
          <w:highlight w:val="none"/>
          <w:lang w:val="en-US" w:eastAsia="zh-CN"/>
        </w:rPr>
        <w:t>170.84万元</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2023年部门预算项目支出170.84万元，全部编制了项目绩效目标。项目名称四家班子公务接待费，预算资金170.84万元，2024年度绩效目标为：圆满完成四家班子各项公务接待服务工作，进一步优化提升公务接待服务质量。设1条数量指标：接待人次批次≥100人；设1条质量指标：经费支出合规性，定性合理合规；设1条时效指标：资金发放效率，定性按资金需求进度发放；设1条成本指标：项目金额≤160万元；设1条满意度指标：接待服务对象满意度≥95%。</w:t>
      </w:r>
    </w:p>
    <w:p>
      <w:pPr>
        <w:pStyle w:val="18"/>
        <w:spacing w:line="624" w:lineRule="exact"/>
        <w:ind w:left="0" w:leftChars="0" w:firstLine="0" w:firstLineChars="0"/>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环江毛南族自治县公务接待服务中心</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环江毛南族自治县公务接待服务中心</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243.30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229.42</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243.30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7.44</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6.44</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243.30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243.30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243.30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243.30</w:t>
            </w:r>
          </w:p>
        </w:tc>
      </w:tr>
    </w:tbl>
    <w:p>
      <w:pPr>
        <w:pStyle w:val="26"/>
        <w:ind w:left="101"/>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r>
        <w:t>注：报表金额单位转换时可能存在四舍五入尾数误差。</w:t>
      </w: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环江毛南族自治县公务接待服务中心</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141001</w:t>
            </w:r>
          </w:p>
        </w:tc>
        <w:tc>
          <w:tcPr>
            <w:tcW w:w="1279" w:type="dxa"/>
          </w:tcPr>
          <w:p>
            <w:pPr>
              <w:pStyle w:val="24"/>
              <w:spacing w:line="326" w:lineRule="exact"/>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环江毛南族自治县公务接待服务中心</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243.30</w:t>
            </w:r>
          </w:p>
        </w:tc>
        <w:tc>
          <w:tcPr>
            <w:tcW w:w="926"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243.30</w:t>
            </w:r>
          </w:p>
        </w:tc>
        <w:tc>
          <w:tcPr>
            <w:tcW w:w="909"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243.30</w:t>
            </w:r>
          </w:p>
        </w:tc>
        <w:tc>
          <w:tcPr>
            <w:tcW w:w="968"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78"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72"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1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11"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859"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94" w:type="dxa"/>
            <w:gridSpan w:val="2"/>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37"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8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sz w:val="17"/>
                <w:szCs w:val="17"/>
                <w:vertAlign w:val="baseline"/>
                <w:lang w:val="en-US" w:eastAsia="zh-CN"/>
              </w:rPr>
            </w:pPr>
            <w:r>
              <w:rPr>
                <w:sz w:val="17"/>
                <w:szCs w:val="17"/>
              </w:rPr>
              <w:t>注：本报表金额单位转换时可能存在四舍五入尾数误差。</w:t>
            </w:r>
          </w:p>
        </w:tc>
      </w:tr>
    </w:tbl>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环江毛南族自治县公务接待服务中心</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243.30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72.46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170.84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141001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243.30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72.46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170.84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0.63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0.63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2013501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228.79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57.95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170.84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7.44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7.44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6.44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6.44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bl>
    <w:p>
      <w:pPr>
        <w:pStyle w:val="26"/>
        <w:ind w:left="672"/>
        <w:jc w:val="left"/>
      </w:pPr>
      <w:r>
        <w:rPr>
          <w:b w:val="0"/>
          <w:bCs w:val="0"/>
        </w:rPr>
        <w:t>注：本报表金额单位转换时可能存在四舍五入尾数误差。</w:t>
      </w:r>
      <w:r>
        <w:br w:type="page"/>
      </w:r>
    </w:p>
    <w:p>
      <w:pPr>
        <w:pStyle w:val="22"/>
        <w:keepNext/>
        <w:keepLines/>
        <w:spacing w:after="240"/>
        <w:jc w:val="center"/>
      </w:pPr>
      <w:bookmarkStart w:id="22" w:name="bookmark44"/>
      <w:bookmarkStart w:id="23" w:name="bookmark45"/>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环江毛南族自治县公务接待服务中心</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243.30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229.42</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243.30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7.44</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6.44</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243.30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243.30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243.30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243.30</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rFonts w:hint="eastAsia" w:ascii="宋体" w:hAnsi="宋体" w:eastAsia="宋体" w:cs="宋体"/>
                <w:sz w:val="17"/>
                <w:szCs w:val="17"/>
                <w:lang w:eastAsia="zh-CN"/>
              </w:rPr>
            </w:pPr>
            <w:r>
              <w:rPr>
                <w:rFonts w:hint="eastAsia" w:ascii="宋体" w:hAnsi="宋体" w:eastAsia="宋体" w:cs="宋体"/>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rFonts w:hint="eastAsia" w:ascii="宋体" w:hAnsi="宋体" w:eastAsia="宋体" w:cs="宋体"/>
                <w:sz w:val="17"/>
                <w:szCs w:val="17"/>
                <w:lang w:eastAsia="zh-CN"/>
              </w:rPr>
            </w:pPr>
            <w:r>
              <w:rPr>
                <w:rFonts w:hint="eastAsia" w:ascii="宋体" w:hAnsi="宋体" w:eastAsia="宋体" w:cs="宋体"/>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676"/>
        <w:gridCol w:w="1662"/>
        <w:gridCol w:w="1717"/>
        <w:gridCol w:w="1879"/>
        <w:gridCol w:w="1729"/>
        <w:gridCol w:w="1718"/>
        <w:gridCol w:w="72"/>
        <w:gridCol w:w="1694"/>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环江毛南族自治县公务接待服务中心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141001</w:t>
            </w: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717"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243.30</w:t>
            </w:r>
          </w:p>
        </w:tc>
        <w:tc>
          <w:tcPr>
            <w:tcW w:w="187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72.47</w:t>
            </w:r>
          </w:p>
        </w:tc>
        <w:tc>
          <w:tcPr>
            <w:tcW w:w="172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65.44</w:t>
            </w:r>
          </w:p>
        </w:tc>
        <w:tc>
          <w:tcPr>
            <w:tcW w:w="1790" w:type="dxa"/>
            <w:gridSpan w:val="2"/>
            <w:vAlign w:val="center"/>
          </w:tcPr>
          <w:p>
            <w:pPr>
              <w:pStyle w:val="24"/>
              <w:spacing w:line="240" w:lineRule="auto"/>
              <w:ind w:left="0" w:leftChars="0" w:firstLine="340" w:firstLineChars="2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7.03</w:t>
            </w:r>
          </w:p>
        </w:tc>
        <w:tc>
          <w:tcPr>
            <w:tcW w:w="1694"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170.84</w:t>
            </w:r>
          </w:p>
        </w:tc>
        <w:tc>
          <w:tcPr>
            <w:tcW w:w="1695"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2012999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其他群众团体事务支出</w:t>
            </w:r>
          </w:p>
        </w:tc>
        <w:tc>
          <w:tcPr>
            <w:tcW w:w="1717"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0.63</w:t>
            </w:r>
          </w:p>
        </w:tc>
        <w:tc>
          <w:tcPr>
            <w:tcW w:w="187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0.63</w:t>
            </w:r>
          </w:p>
        </w:tc>
        <w:tc>
          <w:tcPr>
            <w:tcW w:w="172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790" w:type="dxa"/>
            <w:gridSpan w:val="2"/>
            <w:vAlign w:val="center"/>
          </w:tcPr>
          <w:p>
            <w:pPr>
              <w:pStyle w:val="24"/>
              <w:spacing w:line="240" w:lineRule="auto"/>
              <w:ind w:left="0" w:leftChars="0" w:firstLine="340" w:firstLineChars="2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0.63</w:t>
            </w:r>
          </w:p>
        </w:tc>
        <w:tc>
          <w:tcPr>
            <w:tcW w:w="1694"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2013501</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行政运行</w:t>
            </w:r>
          </w:p>
        </w:tc>
        <w:tc>
          <w:tcPr>
            <w:tcW w:w="1717"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228.79</w:t>
            </w:r>
          </w:p>
        </w:tc>
        <w:tc>
          <w:tcPr>
            <w:tcW w:w="187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57.95</w:t>
            </w:r>
          </w:p>
        </w:tc>
        <w:tc>
          <w:tcPr>
            <w:tcW w:w="172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51.55</w:t>
            </w:r>
          </w:p>
        </w:tc>
        <w:tc>
          <w:tcPr>
            <w:tcW w:w="1790" w:type="dxa"/>
            <w:gridSpan w:val="2"/>
            <w:vAlign w:val="center"/>
          </w:tcPr>
          <w:p>
            <w:pPr>
              <w:pStyle w:val="24"/>
              <w:spacing w:line="240" w:lineRule="auto"/>
              <w:ind w:left="0" w:leftChars="0" w:firstLine="340" w:firstLineChars="2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6.40</w:t>
            </w:r>
          </w:p>
        </w:tc>
        <w:tc>
          <w:tcPr>
            <w:tcW w:w="1694"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170.84</w:t>
            </w:r>
          </w:p>
        </w:tc>
        <w:tc>
          <w:tcPr>
            <w:tcW w:w="1695"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2080505</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机关事业单位基本养老保险缴费支出</w:t>
            </w:r>
          </w:p>
        </w:tc>
        <w:tc>
          <w:tcPr>
            <w:tcW w:w="1717"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7.44</w:t>
            </w:r>
          </w:p>
        </w:tc>
        <w:tc>
          <w:tcPr>
            <w:tcW w:w="187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7.44</w:t>
            </w:r>
          </w:p>
        </w:tc>
        <w:tc>
          <w:tcPr>
            <w:tcW w:w="172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7.44</w:t>
            </w:r>
          </w:p>
        </w:tc>
        <w:tc>
          <w:tcPr>
            <w:tcW w:w="1790" w:type="dxa"/>
            <w:gridSpan w:val="2"/>
            <w:vAlign w:val="center"/>
          </w:tcPr>
          <w:p>
            <w:pPr>
              <w:pStyle w:val="24"/>
              <w:spacing w:line="240" w:lineRule="auto"/>
              <w:ind w:left="0" w:leftChars="0" w:firstLine="340" w:firstLineChars="2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2210201</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1717"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6.44</w:t>
            </w:r>
          </w:p>
        </w:tc>
        <w:tc>
          <w:tcPr>
            <w:tcW w:w="187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6.44</w:t>
            </w:r>
          </w:p>
        </w:tc>
        <w:tc>
          <w:tcPr>
            <w:tcW w:w="1729" w:type="dxa"/>
            <w:vAlign w:val="center"/>
          </w:tcPr>
          <w:p>
            <w:pPr>
              <w:pStyle w:val="24"/>
              <w:spacing w:line="240" w:lineRule="auto"/>
              <w:ind w:left="0" w:leftChars="0" w:firstLine="510" w:firstLineChars="3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6.44</w:t>
            </w:r>
          </w:p>
        </w:tc>
        <w:tc>
          <w:tcPr>
            <w:tcW w:w="1790" w:type="dxa"/>
            <w:gridSpan w:val="2"/>
            <w:vAlign w:val="center"/>
          </w:tcPr>
          <w:p>
            <w:pPr>
              <w:pStyle w:val="24"/>
              <w:spacing w:line="240" w:lineRule="auto"/>
              <w:ind w:left="0" w:leftChars="0" w:firstLine="340" w:firstLineChars="20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both"/>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hint="eastAsia" w:ascii="宋体" w:hAnsi="宋体" w:eastAsia="宋体" w:cs="宋体"/>
                <w:sz w:val="17"/>
                <w:szCs w:val="17"/>
              </w:rPr>
              <w:t>注：本报表金额单位转换时可能存在四舍五入尾数误差。</w:t>
            </w:r>
          </w:p>
        </w:tc>
      </w:tr>
    </w:tbl>
    <w:p>
      <w:pPr>
        <w:rPr>
          <w:lang w:eastAsia="zh-CN"/>
        </w:rPr>
      </w:pPr>
      <w:r>
        <w:br w:type="page"/>
      </w:r>
    </w:p>
    <w:p>
      <w:pPr>
        <w:jc w:val="left"/>
        <w:rPr>
          <w:lang w:eastAsia="zh-CN"/>
        </w:rPr>
      </w:pPr>
    </w:p>
    <w:p>
      <w:pPr>
        <w:pStyle w:val="22"/>
        <w:keepNext/>
        <w:keepLines/>
        <w:spacing w:after="240"/>
        <w:jc w:val="center"/>
      </w:pPr>
      <w:bookmarkStart w:id="25" w:name="bookmark58"/>
      <w:bookmarkStart w:id="26" w:name="bookmark57"/>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环江毛南族自治县公务接待服务中心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 xml:space="preserve"> </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合计</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72.47</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65.44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工资福利支出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63.44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63.44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基本工资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18.26</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18.26</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津贴补贴</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11.51</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11.51</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奖金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16.60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16.60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7.44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7.44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30110</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职工基本医疗保险缴费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其他社会保障缴费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0.20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0.20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6.44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6.44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7.03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办公费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0.30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印刷费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30205</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0.50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30206</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电费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0.50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30207</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邮电费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0.72</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30211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差旅费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30217</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公务接待费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30228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工会经费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0.63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30239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其他交通费用</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4.38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退休费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bl>
    <w:p>
      <w:pPr>
        <w:jc w:val="left"/>
        <w:rPr>
          <w:lang w:eastAsia="zh-CN"/>
        </w:rPr>
      </w:pPr>
      <w:r>
        <w:rPr>
          <w:rFonts w:hint="eastAsia" w:ascii="宋体" w:hAnsi="宋体" w:eastAsia="宋体" w:cs="宋体"/>
          <w:sz w:val="17"/>
          <w:szCs w:val="17"/>
        </w:rPr>
        <w:t>注：本报表金额单位转换时可能存在四舍五入尾数误差。</w:t>
      </w:r>
      <w:r>
        <w:br w:type="page"/>
      </w: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环江毛南族自治县公务接待服务中心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rFonts w:hint="eastAsia"/>
                <w:sz w:val="17"/>
                <w:szCs w:val="17"/>
                <w:lang w:val="en-US" w:eastAsia="zh-CN"/>
              </w:rPr>
              <w:t>部</w:t>
            </w: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141001</w:t>
            </w:r>
          </w:p>
        </w:tc>
        <w:tc>
          <w:tcPr>
            <w:tcW w:w="1918"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p>
        </w:tc>
        <w:tc>
          <w:tcPr>
            <w:tcW w:w="1884"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160.00</w:t>
            </w:r>
          </w:p>
        </w:tc>
        <w:tc>
          <w:tcPr>
            <w:tcW w:w="1895"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8"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90"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9"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7"/>
                <w:szCs w:val="17"/>
              </w:rPr>
              <w:t>注：本报表金额单位转换时可能存在四舍五入尾数误差</w:t>
            </w:r>
          </w:p>
        </w:tc>
      </w:tr>
    </w:tbl>
    <w:p>
      <w:r>
        <w:br w:type="page"/>
      </w: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2"/>
        <w:gridCol w:w="2149"/>
        <w:gridCol w:w="2150"/>
        <w:gridCol w:w="2210"/>
        <w:gridCol w:w="2149"/>
        <w:gridCol w:w="215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328"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环江毛南族自治县公务接待服务中心</w:t>
            </w:r>
            <w:r>
              <w:tab/>
            </w:r>
            <w:r>
              <w:t>单位：万元</w:t>
            </w:r>
          </w:p>
        </w:tc>
        <w:tc>
          <w:tcPr>
            <w:tcW w:w="2151"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512" w:type="dxa"/>
          </w:tcPr>
          <w:p>
            <w:pPr>
              <w:pStyle w:val="26"/>
              <w:bidi w:val="0"/>
              <w:jc w:val="center"/>
              <w:rPr>
                <w:vertAlign w:val="baseline"/>
              </w:rPr>
            </w:pPr>
            <w:r>
              <w:rPr>
                <w:sz w:val="17"/>
                <w:szCs w:val="17"/>
              </w:rPr>
              <w:t>科目编码</w:t>
            </w:r>
          </w:p>
        </w:tc>
        <w:tc>
          <w:tcPr>
            <w:tcW w:w="2149" w:type="dxa"/>
          </w:tcPr>
          <w:p>
            <w:pPr>
              <w:pStyle w:val="26"/>
              <w:bidi w:val="0"/>
              <w:jc w:val="center"/>
              <w:rPr>
                <w:vertAlign w:val="baseline"/>
              </w:rPr>
            </w:pPr>
            <w:r>
              <w:rPr>
                <w:sz w:val="17"/>
                <w:szCs w:val="17"/>
              </w:rPr>
              <w:t>部门（单位）代码</w:t>
            </w:r>
          </w:p>
        </w:tc>
        <w:tc>
          <w:tcPr>
            <w:tcW w:w="2150" w:type="dxa"/>
          </w:tcPr>
          <w:p>
            <w:pPr>
              <w:pStyle w:val="26"/>
              <w:bidi w:val="0"/>
              <w:jc w:val="center"/>
              <w:rPr>
                <w:vertAlign w:val="baseline"/>
              </w:rPr>
            </w:pPr>
            <w:r>
              <w:rPr>
                <w:sz w:val="17"/>
                <w:szCs w:val="17"/>
              </w:rPr>
              <w:t>部门（单位）名称（功能分类科目名称）</w:t>
            </w:r>
          </w:p>
        </w:tc>
        <w:tc>
          <w:tcPr>
            <w:tcW w:w="2210" w:type="dxa"/>
            <w:vAlign w:val="center"/>
          </w:tcPr>
          <w:p>
            <w:pPr>
              <w:pStyle w:val="24"/>
              <w:spacing w:line="240" w:lineRule="auto"/>
              <w:ind w:firstLine="0" w:firstLineChars="0"/>
              <w:jc w:val="center"/>
              <w:rPr>
                <w:vertAlign w:val="baseline"/>
              </w:rPr>
            </w:pPr>
            <w:r>
              <w:rPr>
                <w:sz w:val="17"/>
                <w:szCs w:val="17"/>
              </w:rPr>
              <w:t>合计</w:t>
            </w:r>
          </w:p>
        </w:tc>
        <w:tc>
          <w:tcPr>
            <w:tcW w:w="2149" w:type="dxa"/>
            <w:vAlign w:val="center"/>
          </w:tcPr>
          <w:p>
            <w:pPr>
              <w:pStyle w:val="24"/>
              <w:spacing w:line="240" w:lineRule="auto"/>
              <w:ind w:firstLine="0" w:firstLineChars="0"/>
              <w:jc w:val="center"/>
              <w:rPr>
                <w:vertAlign w:val="baseline"/>
              </w:rPr>
            </w:pPr>
            <w:r>
              <w:rPr>
                <w:sz w:val="17"/>
                <w:szCs w:val="17"/>
              </w:rPr>
              <w:t>基本支出</w:t>
            </w:r>
          </w:p>
        </w:tc>
        <w:tc>
          <w:tcPr>
            <w:tcW w:w="2158" w:type="dxa"/>
            <w:vAlign w:val="center"/>
          </w:tcPr>
          <w:p>
            <w:pPr>
              <w:pStyle w:val="24"/>
              <w:spacing w:line="240" w:lineRule="auto"/>
              <w:ind w:firstLine="0" w:firstLineChars="0"/>
              <w:jc w:val="center"/>
              <w:rPr>
                <w:vertAlign w:val="baseline"/>
              </w:rPr>
            </w:pPr>
            <w:r>
              <w:rPr>
                <w:sz w:val="17"/>
                <w:szCs w:val="17"/>
              </w:rPr>
              <w:t>项目支出</w:t>
            </w:r>
          </w:p>
        </w:tc>
        <w:tc>
          <w:tcPr>
            <w:tcW w:w="2151"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512"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rPr>
            </w:pPr>
          </w:p>
        </w:tc>
        <w:tc>
          <w:tcPr>
            <w:tcW w:w="2149"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rPr>
            </w:pPr>
          </w:p>
        </w:tc>
        <w:tc>
          <w:tcPr>
            <w:tcW w:w="2150"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rPr>
            </w:pPr>
          </w:p>
        </w:tc>
        <w:tc>
          <w:tcPr>
            <w:tcW w:w="2210" w:type="dxa"/>
            <w:vAlign w:val="center"/>
          </w:tcPr>
          <w:p>
            <w:pPr>
              <w:pStyle w:val="24"/>
              <w:spacing w:line="240" w:lineRule="auto"/>
              <w:ind w:left="1060" w:leftChars="0" w:firstLine="0" w:firstLineChars="0"/>
              <w:jc w:val="right"/>
              <w:rPr>
                <w:rFonts w:hint="eastAsia" w:ascii="宋体" w:hAnsi="宋体" w:eastAsia="宋体" w:cs="宋体"/>
                <w:b w:val="0"/>
                <w:bCs w:val="0"/>
                <w:sz w:val="17"/>
                <w:szCs w:val="17"/>
                <w:vertAlign w:val="baseline"/>
              </w:rPr>
            </w:pPr>
            <w:r>
              <w:rPr>
                <w:rFonts w:hint="eastAsia" w:ascii="宋体" w:hAnsi="宋体" w:eastAsia="宋体" w:cs="宋体"/>
                <w:b w:val="0"/>
                <w:bCs w:val="0"/>
                <w:sz w:val="17"/>
                <w:szCs w:val="17"/>
                <w:lang w:val="en-US" w:eastAsia="zh-CN" w:bidi="en-US"/>
              </w:rPr>
              <w:t>0.00</w:t>
            </w:r>
          </w:p>
        </w:tc>
        <w:tc>
          <w:tcPr>
            <w:tcW w:w="2149"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rPr>
            </w:pPr>
            <w:r>
              <w:rPr>
                <w:rFonts w:hint="eastAsia" w:ascii="宋体" w:hAnsi="宋体" w:eastAsia="宋体" w:cs="宋体"/>
                <w:b w:val="0"/>
                <w:bCs w:val="0"/>
                <w:sz w:val="17"/>
                <w:szCs w:val="17"/>
                <w:lang w:val="en-US" w:eastAsia="zh-CN"/>
              </w:rPr>
              <w:t>0.00</w:t>
            </w:r>
          </w:p>
        </w:tc>
        <w:tc>
          <w:tcPr>
            <w:tcW w:w="2158"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rPr>
            </w:pPr>
            <w:r>
              <w:rPr>
                <w:rFonts w:hint="eastAsia" w:ascii="宋体" w:hAnsi="宋体" w:eastAsia="宋体" w:cs="宋体"/>
                <w:b w:val="0"/>
                <w:bCs w:val="0"/>
                <w:sz w:val="17"/>
                <w:szCs w:val="17"/>
                <w:lang w:val="en-US" w:eastAsia="zh-CN" w:bidi="en-US"/>
              </w:rPr>
              <w:t>0.00</w:t>
            </w:r>
          </w:p>
        </w:tc>
        <w:tc>
          <w:tcPr>
            <w:tcW w:w="2151"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rPr>
            </w:pPr>
            <w:r>
              <w:rPr>
                <w:rFonts w:hint="eastAsia" w:ascii="宋体" w:hAnsi="宋体" w:eastAsia="宋体" w:cs="宋体"/>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5479" w:type="dxa"/>
            <w:gridSpan w:val="7"/>
            <w:tcBorders>
              <w:left w:val="nil"/>
              <w:bottom w:val="nil"/>
              <w:right w:val="nil"/>
            </w:tcBorders>
          </w:tcPr>
          <w:p>
            <w:pPr>
              <w:pStyle w:val="26"/>
              <w:bidi w:val="0"/>
              <w:jc w:val="both"/>
              <w:rPr>
                <w:vertAlign w:val="baseline"/>
              </w:rPr>
            </w:pPr>
            <w:r>
              <w:rPr>
                <w:b w:val="0"/>
                <w:bCs w:val="0"/>
              </w:rPr>
              <w:t>注：本报表金额单位转换时可能存在四舍五入尾数误差</w:t>
            </w:r>
          </w:p>
        </w:tc>
      </w:tr>
    </w:tbl>
    <w:p>
      <w:r>
        <w:br w:type="page"/>
      </w:r>
    </w:p>
    <w:p>
      <w:pPr>
        <w:pStyle w:val="26"/>
        <w:bidi w:val="0"/>
        <w:jc w:val="center"/>
        <w:rPr>
          <w:sz w:val="28"/>
          <w:szCs w:val="28"/>
        </w:rPr>
      </w:pPr>
      <w:r>
        <w:rPr>
          <w:sz w:val="28"/>
          <w:szCs w:val="28"/>
        </w:rPr>
        <w:t>国有资本经营预算支出情况表</w:t>
      </w:r>
    </w:p>
    <w:tbl>
      <w:tblPr>
        <w:tblStyle w:val="5"/>
        <w:tblpPr w:leftFromText="180" w:rightFromText="180" w:vertAnchor="text" w:horzAnchor="page" w:tblpX="707"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2155"/>
        <w:gridCol w:w="2156"/>
        <w:gridCol w:w="2259"/>
        <w:gridCol w:w="2155"/>
        <w:gridCol w:w="2155"/>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lang w:eastAsia="zh-CN"/>
              </w:rPr>
              <w:t>环江毛南族自治县公务接待服务中心</w:t>
            </w:r>
            <w:r>
              <w:rPr>
                <w:rFonts w:hint="eastAsia" w:ascii="宋体" w:hAnsi="宋体" w:eastAsia="宋体" w:cs="宋体"/>
              </w:rPr>
              <w:tab/>
            </w:r>
            <w:r>
              <w:rPr>
                <w:rFonts w:hint="eastAsia" w:ascii="宋体" w:hAnsi="宋体" w:eastAsia="宋体" w:cs="宋体"/>
              </w:rPr>
              <w:t>单位：万元</w:t>
            </w:r>
          </w:p>
        </w:tc>
        <w:tc>
          <w:tcPr>
            <w:tcW w:w="2163" w:type="dxa"/>
            <w:tcBorders>
              <w:top w:val="nil"/>
              <w:left w:val="nil"/>
              <w:right w:val="nil"/>
            </w:tcBorders>
          </w:tcPr>
          <w:p>
            <w:pPr>
              <w:pStyle w:val="26"/>
              <w:tabs>
                <w:tab w:val="left" w:pos="14213"/>
              </w:tabs>
              <w:ind w:left="101"/>
              <w:jc w:val="left"/>
              <w:rPr>
                <w:rFonts w:hint="eastAsia" w:ascii="宋体" w:hAnsi="宋体" w:eastAsia="宋体" w:cs="宋体"/>
              </w:rPr>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rFonts w:hint="eastAsia" w:ascii="宋体" w:hAnsi="宋体" w:eastAsia="宋体" w:cs="宋体"/>
                <w:vertAlign w:val="baseline"/>
              </w:rPr>
            </w:pPr>
            <w:r>
              <w:rPr>
                <w:rFonts w:hint="eastAsia" w:ascii="宋体" w:hAnsi="宋体" w:eastAsia="宋体" w:cs="宋体"/>
                <w:sz w:val="17"/>
                <w:szCs w:val="17"/>
              </w:rPr>
              <w:t>科目编码</w:t>
            </w:r>
          </w:p>
        </w:tc>
        <w:tc>
          <w:tcPr>
            <w:tcW w:w="2161" w:type="dxa"/>
            <w:vMerge w:val="restart"/>
          </w:tcPr>
          <w:p>
            <w:pPr>
              <w:pStyle w:val="26"/>
              <w:bidi w:val="0"/>
              <w:jc w:val="center"/>
              <w:rPr>
                <w:rFonts w:hint="eastAsia" w:ascii="宋体" w:hAnsi="宋体" w:eastAsia="宋体" w:cs="宋体"/>
                <w:vertAlign w:val="baseline"/>
              </w:rPr>
            </w:pPr>
            <w:r>
              <w:rPr>
                <w:rFonts w:hint="eastAsia" w:ascii="宋体" w:hAnsi="宋体" w:eastAsia="宋体" w:cs="宋体"/>
                <w:sz w:val="17"/>
                <w:szCs w:val="17"/>
              </w:rPr>
              <w:t>部门（单位）代码</w:t>
            </w:r>
          </w:p>
        </w:tc>
        <w:tc>
          <w:tcPr>
            <w:tcW w:w="2162" w:type="dxa"/>
            <w:vMerge w:val="restart"/>
          </w:tcPr>
          <w:p>
            <w:pPr>
              <w:pStyle w:val="26"/>
              <w:bidi w:val="0"/>
              <w:jc w:val="center"/>
              <w:rPr>
                <w:rFonts w:hint="eastAsia" w:ascii="宋体" w:hAnsi="宋体" w:eastAsia="宋体" w:cs="宋体"/>
                <w:vertAlign w:val="baseline"/>
              </w:rPr>
            </w:pPr>
            <w:r>
              <w:rPr>
                <w:rFonts w:hint="eastAsia" w:ascii="宋体" w:hAnsi="宋体" w:eastAsia="宋体" w:cs="宋体"/>
                <w:sz w:val="17"/>
                <w:szCs w:val="17"/>
              </w:rPr>
              <w:t>部门（单位）名称（功能分类科目名称）</w:t>
            </w:r>
          </w:p>
        </w:tc>
        <w:tc>
          <w:tcPr>
            <w:tcW w:w="2222"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sz w:val="17"/>
                <w:szCs w:val="17"/>
              </w:rPr>
              <w:t>合计</w:t>
            </w:r>
          </w:p>
        </w:tc>
        <w:tc>
          <w:tcPr>
            <w:tcW w:w="2161"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sz w:val="17"/>
                <w:szCs w:val="17"/>
              </w:rPr>
              <w:t>基本支出</w:t>
            </w:r>
          </w:p>
        </w:tc>
        <w:tc>
          <w:tcPr>
            <w:tcW w:w="2161"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sz w:val="17"/>
                <w:szCs w:val="17"/>
              </w:rPr>
              <w:t>项目支出</w:t>
            </w:r>
          </w:p>
        </w:tc>
        <w:tc>
          <w:tcPr>
            <w:tcW w:w="2163"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rFonts w:hint="eastAsia" w:ascii="宋体" w:hAnsi="宋体" w:eastAsia="宋体" w:cs="宋体"/>
                <w:vertAlign w:val="baseline"/>
              </w:rPr>
            </w:pPr>
          </w:p>
        </w:tc>
        <w:tc>
          <w:tcPr>
            <w:tcW w:w="2161" w:type="dxa"/>
            <w:vMerge w:val="continue"/>
          </w:tcPr>
          <w:p>
            <w:pPr>
              <w:pStyle w:val="26"/>
              <w:bidi w:val="0"/>
              <w:jc w:val="both"/>
              <w:rPr>
                <w:rFonts w:hint="eastAsia" w:ascii="宋体" w:hAnsi="宋体" w:eastAsia="宋体" w:cs="宋体"/>
                <w:vertAlign w:val="baseline"/>
              </w:rPr>
            </w:pPr>
          </w:p>
        </w:tc>
        <w:tc>
          <w:tcPr>
            <w:tcW w:w="2162" w:type="dxa"/>
            <w:vMerge w:val="continue"/>
          </w:tcPr>
          <w:p>
            <w:pPr>
              <w:pStyle w:val="26"/>
              <w:bidi w:val="0"/>
              <w:jc w:val="both"/>
              <w:rPr>
                <w:rFonts w:hint="eastAsia" w:ascii="宋体" w:hAnsi="宋体" w:eastAsia="宋体" w:cs="宋体"/>
                <w:vertAlign w:val="baseline"/>
              </w:rPr>
            </w:pPr>
          </w:p>
        </w:tc>
        <w:tc>
          <w:tcPr>
            <w:tcW w:w="2222"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b/>
                <w:bCs/>
                <w:sz w:val="17"/>
                <w:szCs w:val="17"/>
              </w:rPr>
              <w:t>1</w:t>
            </w:r>
          </w:p>
        </w:tc>
        <w:tc>
          <w:tcPr>
            <w:tcW w:w="2161"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b/>
                <w:bCs/>
                <w:sz w:val="17"/>
                <w:szCs w:val="17"/>
              </w:rPr>
              <w:t>2</w:t>
            </w:r>
          </w:p>
        </w:tc>
        <w:tc>
          <w:tcPr>
            <w:tcW w:w="2161"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b/>
                <w:bCs/>
                <w:sz w:val="17"/>
                <w:szCs w:val="17"/>
              </w:rPr>
              <w:t>3</w:t>
            </w:r>
          </w:p>
        </w:tc>
        <w:tc>
          <w:tcPr>
            <w:tcW w:w="2163" w:type="dxa"/>
            <w:vAlign w:val="center"/>
          </w:tcPr>
          <w:p>
            <w:pPr>
              <w:pStyle w:val="24"/>
              <w:spacing w:line="240" w:lineRule="auto"/>
              <w:ind w:firstLine="0" w:firstLineChars="0"/>
              <w:jc w:val="center"/>
              <w:rPr>
                <w:rFonts w:hint="eastAsia" w:ascii="宋体" w:hAnsi="宋体" w:eastAsia="宋体" w:cs="宋体"/>
                <w:vertAlign w:val="baseline"/>
              </w:rPr>
            </w:pPr>
            <w:r>
              <w:rPr>
                <w:rFonts w:hint="eastAsia" w:ascii="宋体" w:hAnsi="宋体" w:eastAsia="宋体" w:cs="宋体"/>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rFonts w:hint="eastAsia" w:ascii="宋体" w:hAnsi="宋体" w:eastAsia="宋体" w:cs="宋体"/>
                <w:vertAlign w:val="baseline"/>
              </w:rPr>
            </w:pPr>
          </w:p>
        </w:tc>
        <w:tc>
          <w:tcPr>
            <w:tcW w:w="2161" w:type="dxa"/>
          </w:tcPr>
          <w:p>
            <w:pPr>
              <w:jc w:val="left"/>
              <w:rPr>
                <w:rFonts w:hint="eastAsia" w:ascii="宋体" w:hAnsi="宋体" w:eastAsia="宋体" w:cs="宋体"/>
                <w:vertAlign w:val="baseline"/>
              </w:rPr>
            </w:pPr>
          </w:p>
        </w:tc>
        <w:tc>
          <w:tcPr>
            <w:tcW w:w="2162" w:type="dxa"/>
            <w:vAlign w:val="center"/>
          </w:tcPr>
          <w:p>
            <w:pPr>
              <w:pStyle w:val="24"/>
              <w:spacing w:line="240" w:lineRule="auto"/>
              <w:ind w:firstLine="0" w:firstLineChars="0"/>
              <w:jc w:val="left"/>
              <w:rPr>
                <w:rFonts w:hint="eastAsia" w:ascii="宋体" w:hAnsi="宋体" w:eastAsia="宋体" w:cs="宋体"/>
                <w:vertAlign w:val="baseline"/>
              </w:rPr>
            </w:pPr>
            <w:r>
              <w:rPr>
                <w:rFonts w:hint="eastAsia" w:ascii="宋体" w:hAnsi="宋体" w:eastAsia="宋体" w:cs="宋体"/>
                <w:sz w:val="17"/>
                <w:szCs w:val="17"/>
              </w:rPr>
              <w:t>合计</w:t>
            </w:r>
          </w:p>
        </w:tc>
        <w:tc>
          <w:tcPr>
            <w:tcW w:w="2222" w:type="dxa"/>
            <w:vAlign w:val="center"/>
          </w:tcPr>
          <w:p>
            <w:pPr>
              <w:pStyle w:val="24"/>
              <w:spacing w:line="240" w:lineRule="auto"/>
              <w:ind w:left="1700" w:leftChars="0" w:firstLine="0" w:firstLineChars="0"/>
              <w:jc w:val="right"/>
              <w:rPr>
                <w:rFonts w:hint="eastAsia" w:ascii="宋体" w:hAnsi="宋体" w:eastAsia="宋体" w:cs="宋体"/>
                <w:vertAlign w:val="baseline"/>
              </w:rPr>
            </w:pPr>
            <w:r>
              <w:rPr>
                <w:rFonts w:hint="eastAsia" w:ascii="宋体" w:hAnsi="宋体" w:eastAsia="宋体" w:cs="宋体"/>
                <w:b/>
                <w:bCs/>
                <w:sz w:val="17"/>
                <w:szCs w:val="17"/>
                <w:lang w:val="en-US" w:eastAsia="en-US" w:bidi="en-US"/>
              </w:rPr>
              <w:t>0.</w:t>
            </w:r>
            <w:r>
              <w:rPr>
                <w:rFonts w:hint="eastAsia" w:ascii="宋体" w:hAnsi="宋体" w:eastAsia="宋体" w:cs="宋体"/>
                <w:b/>
                <w:bCs/>
                <w:sz w:val="17"/>
                <w:szCs w:val="17"/>
              </w:rPr>
              <w:t>00</w:t>
            </w:r>
          </w:p>
        </w:tc>
        <w:tc>
          <w:tcPr>
            <w:tcW w:w="2161" w:type="dxa"/>
            <w:vAlign w:val="center"/>
          </w:tcPr>
          <w:p>
            <w:pPr>
              <w:pStyle w:val="24"/>
              <w:spacing w:line="240" w:lineRule="auto"/>
              <w:ind w:firstLine="0" w:firstLineChars="0"/>
              <w:jc w:val="right"/>
              <w:rPr>
                <w:rFonts w:hint="eastAsia" w:ascii="宋体" w:hAnsi="宋体" w:eastAsia="宋体" w:cs="宋体"/>
                <w:vertAlign w:val="baseline"/>
              </w:rPr>
            </w:pPr>
            <w:r>
              <w:rPr>
                <w:rFonts w:hint="eastAsia" w:ascii="宋体" w:hAnsi="宋体" w:eastAsia="宋体" w:cs="宋体"/>
                <w:b/>
                <w:bCs/>
                <w:sz w:val="17"/>
                <w:szCs w:val="17"/>
                <w:lang w:val="en-US" w:eastAsia="en-US" w:bidi="en-US"/>
              </w:rPr>
              <w:t>0.</w:t>
            </w:r>
            <w:r>
              <w:rPr>
                <w:rFonts w:hint="eastAsia" w:ascii="宋体" w:hAnsi="宋体" w:eastAsia="宋体" w:cs="宋体"/>
                <w:b/>
                <w:bCs/>
                <w:sz w:val="17"/>
                <w:szCs w:val="17"/>
              </w:rPr>
              <w:t>00</w:t>
            </w:r>
          </w:p>
        </w:tc>
        <w:tc>
          <w:tcPr>
            <w:tcW w:w="2161" w:type="dxa"/>
            <w:vAlign w:val="center"/>
          </w:tcPr>
          <w:p>
            <w:pPr>
              <w:pStyle w:val="24"/>
              <w:spacing w:line="240" w:lineRule="auto"/>
              <w:ind w:firstLine="0" w:firstLineChars="0"/>
              <w:jc w:val="right"/>
              <w:rPr>
                <w:rFonts w:hint="eastAsia" w:ascii="宋体" w:hAnsi="宋体" w:eastAsia="宋体" w:cs="宋体"/>
                <w:vertAlign w:val="baseline"/>
              </w:rPr>
            </w:pPr>
            <w:r>
              <w:rPr>
                <w:rFonts w:hint="eastAsia" w:ascii="宋体" w:hAnsi="宋体" w:eastAsia="宋体" w:cs="宋体"/>
                <w:b/>
                <w:bCs/>
                <w:sz w:val="17"/>
                <w:szCs w:val="17"/>
                <w:lang w:val="en-US" w:eastAsia="en-US" w:bidi="en-US"/>
              </w:rPr>
              <w:t>0.</w:t>
            </w:r>
            <w:r>
              <w:rPr>
                <w:rFonts w:hint="eastAsia" w:ascii="宋体" w:hAnsi="宋体" w:eastAsia="宋体" w:cs="宋体"/>
                <w:b/>
                <w:bCs/>
                <w:sz w:val="17"/>
                <w:szCs w:val="17"/>
              </w:rPr>
              <w:t>00</w:t>
            </w:r>
          </w:p>
        </w:tc>
        <w:tc>
          <w:tcPr>
            <w:tcW w:w="2163" w:type="dxa"/>
            <w:vAlign w:val="center"/>
          </w:tcPr>
          <w:p>
            <w:pPr>
              <w:pStyle w:val="24"/>
              <w:spacing w:line="240" w:lineRule="auto"/>
              <w:ind w:firstLine="0" w:firstLineChars="0"/>
              <w:jc w:val="right"/>
              <w:rPr>
                <w:rFonts w:hint="eastAsia" w:ascii="宋体" w:hAnsi="宋体" w:eastAsia="宋体" w:cs="宋体"/>
                <w:vertAlign w:val="baseline"/>
              </w:rPr>
            </w:pPr>
            <w:r>
              <w:rPr>
                <w:rFonts w:hint="eastAsia" w:ascii="宋体" w:hAnsi="宋体" w:eastAsia="宋体" w:cs="宋体"/>
                <w:b/>
                <w:bCs/>
                <w:sz w:val="17"/>
                <w:szCs w:val="17"/>
                <w:lang w:val="en-US" w:eastAsia="en-US" w:bidi="en-US"/>
              </w:rPr>
              <w:t>0.</w:t>
            </w:r>
            <w:r>
              <w:rPr>
                <w:rFonts w:hint="eastAsia" w:ascii="宋体" w:hAnsi="宋体" w:eastAsia="宋体" w:cs="宋体"/>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rPr>
                <w:rFonts w:hint="eastAsia" w:ascii="宋体" w:hAnsi="宋体" w:eastAsia="宋体" w:cs="宋体"/>
                <w:b w:val="0"/>
                <w:bCs w:val="0"/>
              </w:rPr>
            </w:pPr>
            <w:r>
              <w:rPr>
                <w:rFonts w:hint="eastAsia" w:ascii="宋体" w:hAnsi="宋体" w:eastAsia="宋体" w:cs="宋体"/>
                <w:b w:val="0"/>
                <w:bCs w:val="0"/>
              </w:rPr>
              <w:t>注：本报表金额单位转换时可能存在四舍五入尾数误差。本部门</w:t>
            </w:r>
            <w:r>
              <w:rPr>
                <w:rFonts w:hint="eastAsia" w:ascii="宋体" w:hAnsi="宋体" w:eastAsia="宋体" w:cs="宋体"/>
                <w:b w:val="0"/>
                <w:bCs w:val="0"/>
                <w:lang w:eastAsia="zh-CN"/>
              </w:rPr>
              <w:t>2024</w:t>
            </w:r>
            <w:r>
              <w:rPr>
                <w:rFonts w:ascii="宋体" w:hAnsi="宋体" w:eastAsia="宋体" w:cs="宋体"/>
                <w:u w:color="auto"/>
              </w:rPr>
              <w:t>年</w:t>
            </w:r>
            <w:r>
              <w:rPr>
                <w:rFonts w:hint="eastAsia" w:ascii="宋体" w:hAnsi="宋体" w:eastAsia="宋体" w:cs="宋体"/>
                <w:b w:val="0"/>
                <w:bCs w:val="0"/>
              </w:rPr>
              <w:t>度没有国有资本经营预算支出，故本表无数据</w:t>
            </w:r>
          </w:p>
          <w:p>
            <w:pPr>
              <w:pStyle w:val="26"/>
              <w:bidi w:val="0"/>
              <w:jc w:val="both"/>
              <w:rPr>
                <w:rFonts w:hint="eastAsia" w:ascii="宋体" w:hAnsi="宋体" w:eastAsia="宋体" w:cs="宋体"/>
                <w:vertAlign w:val="baseline"/>
              </w:rPr>
            </w:pPr>
          </w:p>
        </w:tc>
      </w:tr>
    </w:tbl>
    <w:p>
      <w:pPr>
        <w:pStyle w:val="26"/>
        <w:bidi w:val="0"/>
        <w:jc w:val="center"/>
        <w:rPr>
          <w:sz w:val="28"/>
          <w:szCs w:val="28"/>
        </w:rPr>
      </w:pPr>
    </w:p>
    <w:p>
      <w:r>
        <w:br w:type="page"/>
      </w:r>
    </w:p>
    <w:p>
      <w:pPr>
        <w:pStyle w:val="26"/>
        <w:bidi w:val="0"/>
        <w:jc w:val="center"/>
        <w:rPr>
          <w:rFonts w:hint="default"/>
          <w:sz w:val="28"/>
          <w:szCs w:val="28"/>
          <w:lang w:val="en-US" w:eastAsia="zh-CN"/>
        </w:rPr>
      </w:pPr>
      <w:r>
        <w:rPr>
          <w:rFonts w:hint="eastAsia"/>
          <w:sz w:val="28"/>
          <w:szCs w:val="28"/>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0" w:hRule="atLeas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环江毛南族自治县公务接待服务中心</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cantSplit/>
          <w:trHeight w:val="0" w:hRule="atLeas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cantSplit/>
          <w:trHeight w:val="0" w:hRule="atLeas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环江毛南族自治县公务接待服务中心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接待工作经费1</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2024年度内订制毛南服装、礼仪服装，制作桌卡、菜卡及接待服务指南，协同各接待基地开展酒店服务员技能、礼仪培训。</w:t>
            </w:r>
          </w:p>
        </w:tc>
      </w:tr>
      <w:tr>
        <w:tblPrEx>
          <w:tblCellMar>
            <w:top w:w="0" w:type="dxa"/>
            <w:left w:w="10" w:type="dxa"/>
            <w:bottom w:w="0" w:type="dxa"/>
            <w:right w:w="10" w:type="dxa"/>
          </w:tblCellMar>
        </w:tblPrEx>
        <w:trPr>
          <w:cantSplit/>
          <w:trHeight w:val="0" w:hRule="atLeas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环江毛南族自治县公务接待服务中心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外事办工作经费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5.84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指导、协调、管理我县社会组织对外交往事宜，会同有关部门协调处理重要涉外事件和案件，协调我县境外机构、公民安全与合法权益保护工作等。</w:t>
            </w:r>
          </w:p>
        </w:tc>
      </w:tr>
      <w:tr>
        <w:tblPrEx>
          <w:tblCellMar>
            <w:top w:w="0" w:type="dxa"/>
            <w:left w:w="10" w:type="dxa"/>
            <w:bottom w:w="0" w:type="dxa"/>
            <w:right w:w="10" w:type="dxa"/>
          </w:tblCellMar>
        </w:tblPrEx>
        <w:trPr>
          <w:cantSplit/>
          <w:trHeight w:val="0" w:hRule="atLeas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环江毛南族自治县公务接待服务中心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四家班子公务接待费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160.00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2024年度内在县委、县政府的正确领导下，严格按照中央八项规定要求，结合本县实际开源节流，高质量高标准的完成权限外事接待工作。</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6"/>
      <w:bookmarkStart w:id="32" w:name="bookmark95"/>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H41NcEAgAADAQAAA4AAABkcnMvZTJvRG9jLnhtbK1TwY7TMBC9I/EP&#10;lu80bQWr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z6/evObMCUs9f/j29eH7&#10;z4cfX9g8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B+NTX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662"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Gs+qFE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664"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oTSgpQ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665"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MS3JdsAAAAKAQAADwAAAAAAAAABACAA&#10;AAAiAAAAZHJzL2Rvd25yZXYueG1sUEsBAhQAFAAAAAgAh07iQAzGxX0KAgAADAQAAA4AAAAAAAAA&#10;AQAgAAAAKgEAAGRycy9lMm9Eb2MueG1sUEsFBgAAAAAGAAYAWQEAAKY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666"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2/RhzQkCAAAN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6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COE5D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6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F52xCD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6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InXMt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HczCpw3ulTnYzoT7gKrOWBXDKuGhRSAxL7xdVuV2GaWFC3gUXeCApZtALTM6SC5LqPjIyjzwpvILJYqCBmZ58g==" w:salt="9uGHJIBOciGEEZbLBZHUv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YjVmMGIyNmVkYzNjNTFhYjFhZmM1YzFmN2U3YmYifQ=="/>
  </w:docVars>
  <w:rsids>
    <w:rsidRoot w:val="00000000"/>
    <w:rsid w:val="581B32B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243.3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229.42</c:v>
                </c:pt>
                <c:pt idx="1">
                  <c:v>7.44</c:v>
                </c:pt>
                <c:pt idx="2">
                  <c:v>6.44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223.5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243.3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72.46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170.84</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7.03</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65.44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65.44</c:v>
                </c:pt>
                <c:pt idx="1">
                  <c:v>7.03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150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160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Office_12.1.0.16364_F1E327BC-269C-435d-A152-05C5408002CA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2024-03-07T01:17:36Z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b57a4-e636-40a5-a2c4-b738b79750fb}">
  <ds:schemaRefs/>
</ds:datastoreItem>
</file>

<file path=customXml/itemProps3.xml><?xml version="1.0" encoding="utf-8"?>
<ds:datastoreItem xmlns:ds="http://schemas.openxmlformats.org/officeDocument/2006/customXml" ds:itemID="{dd1370dc-b457-48f7-a0e8-42142c9f9ac9}">
  <ds:schemaRefs/>
</ds:datastoreItem>
</file>

<file path=customXml/itemProps4.xml><?xml version="1.0" encoding="utf-8"?>
<ds:datastoreItem xmlns:ds="http://schemas.openxmlformats.org/officeDocument/2006/customXml" ds:itemID="{5a5509e1-e521-4cf9-adab-ee9fd1405c3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罗洛洛。</cp:lastModifiedBy>
  <dcterms:modified xsi:type="dcterms:W3CDTF">2024-03-08T03:03:27Z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ADB7B9458F3345C78E3D163A55A42875_13</vt:lpwstr>
  </property>
</Properties>
</file>