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方正小标宋简体" w:hAnsi="黑体" w:eastAsia="方正小标宋简体"/>
          <w:bCs/>
          <w:color w:val="000000"/>
          <w:sz w:val="52"/>
          <w:szCs w:val="52"/>
          <w:lang w:val="en-US"/>
        </w:rPr>
      </w:pPr>
      <w:r>
        <w:rPr>
          <w:rFonts w:hint="eastAsia" w:ascii="黑体" w:hAnsi="黑体" w:eastAsia="黑体" w:cs="黑体"/>
          <w:b/>
          <w:bCs/>
          <w:sz w:val="52"/>
          <w:szCs w:val="52"/>
          <w:highlight w:val="none"/>
          <w:lang w:eastAsia="zh-CN"/>
        </w:rPr>
        <w:t>环江毛南族自治县大才乡</w:t>
      </w:r>
      <w:r>
        <w:rPr>
          <w:rFonts w:hint="eastAsia" w:ascii="方正小标宋简体" w:hAnsi="Times New Roman" w:eastAsia="方正小标宋简体" w:cs="Times New Roman"/>
          <w:kern w:val="0"/>
          <w:sz w:val="52"/>
          <w:szCs w:val="52"/>
          <w:lang w:val="en-US" w:eastAsia="zh-CN"/>
        </w:rPr>
        <w:t>国土规建环保安监站</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91" w:firstLineChars="8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w:t>
      </w:r>
      <w:r>
        <w:rPr>
          <w:rFonts w:hint="default" w:ascii="黑体" w:hAnsi="黑体" w:eastAsia="黑体" w:cs="黑体"/>
          <w:sz w:val="32"/>
          <w:u w:color="auto"/>
          <w:lang w:eastAsia="zh-CN"/>
        </w:rPr>
        <w:t>国土所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w:t>
      </w:r>
      <w:r>
        <w:rPr>
          <w:rFonts w:hint="default" w:ascii="黑体" w:hAnsi="黑体" w:eastAsia="黑体" w:cs="黑体"/>
          <w:sz w:val="32"/>
          <w:u w:color="auto"/>
          <w:lang w:eastAsia="zh-CN"/>
        </w:rPr>
        <w:t>国土所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w:t>
      </w:r>
      <w:r>
        <w:rPr>
          <w:rFonts w:hint="default" w:ascii="黑体" w:hAnsi="黑体" w:eastAsia="黑体" w:cs="黑体"/>
          <w:sz w:val="32"/>
          <w:u w:color="auto"/>
          <w:lang w:eastAsia="zh-CN"/>
        </w:rPr>
        <w:t>国土所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w:t>
      </w:r>
      <w:r>
        <w:rPr>
          <w:rFonts w:hint="default" w:ascii="黑体" w:hAnsi="黑体" w:eastAsia="黑体" w:cs="黑体"/>
          <w:b/>
          <w:sz w:val="32"/>
          <w:szCs w:val="32"/>
          <w:u w:color="auto"/>
          <w:lang w:eastAsia="zh-CN"/>
        </w:rPr>
        <w:t>国土所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1.宣传、贯彻执行国家和自治区、河池市和环江毛南族自治县的有关村镇(乡)规划建设管理的法律、法规、规章和政策,拟定本行政区域村镇规划建设具体管理措施。</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2.组织编制、实施本行政区域村镇建设的长远规划和年度建设计划;负责本行政区域的村镇规划管理,监督检查规划的实施情况;调解本行政区域因规划建设引发的各类纠纷,受委托查处工程建设过程中违反城乡规划法的行为。</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3.负责本行政区域内村镇各项建设活动管理及村镇容貌管理工作;负责村镇各项建设的规划建设审查,依照法定程序报请上一级规划建设行政主管部门核发相关批准文件;参与本行政区域内村镇建设工程质量和安全生产管理工作。</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4.完成上级业务部门和镇党委、政府交给的其他工作任务。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eastAsia="zh-CN"/>
        </w:rPr>
        <w:t>8</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eastAsia="zh-CN"/>
        </w:rPr>
        <w:t>8</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eastAsia="zh-CN"/>
        </w:rPr>
        <w:t>8</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w:t>
      </w:r>
      <w:r>
        <w:rPr>
          <w:rFonts w:hint="default" w:ascii="黑体" w:hAnsi="黑体" w:eastAsia="黑体" w:cs="黑体"/>
          <w:sz w:val="32"/>
          <w:u w:color="auto"/>
          <w:lang w:eastAsia="zh-CN"/>
        </w:rPr>
        <w:t>国土所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86.5</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86.5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2129999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2129999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524"/>
        <w:gridCol w:w="938"/>
        <w:gridCol w:w="3567"/>
        <w:gridCol w:w="524"/>
        <w:gridCol w:w="679"/>
        <w:gridCol w:w="1160"/>
        <w:gridCol w:w="89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65.7</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86.5</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86.5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w:t>
            </w:r>
            <w:r>
              <w:rPr>
                <w:rFonts w:hint="default" w:ascii="宋体" w:hAnsi="宋体" w:eastAsia="宋体" w:cs="宋体"/>
                <w:i w:val="0"/>
                <w:iCs w:val="0"/>
                <w:color w:val="000000"/>
                <w:kern w:val="0"/>
                <w:sz w:val="20"/>
                <w:szCs w:val="20"/>
                <w:u w:val="none"/>
                <w:lang w:eastAsia="zh-CN" w:bidi="ar"/>
              </w:rPr>
              <w:t>国土所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81.3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11.6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81.3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w:t>
            </w:r>
            <w:r>
              <w:rPr>
                <w:rFonts w:hint="default" w:ascii="宋体" w:hAnsi="宋体" w:eastAsia="宋体" w:cs="宋体"/>
                <w:color w:val="000000"/>
                <w:sz w:val="20"/>
                <w:u w:color="auto"/>
                <w:lang w:eastAsia="zh-CN"/>
              </w:rPr>
              <w:t>国土所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w:t>
            </w:r>
            <w:r>
              <w:rPr>
                <w:rFonts w:hint="default" w:ascii="宋体" w:hAnsi="宋体" w:eastAsia="宋体" w:cs="宋体"/>
                <w:color w:val="000000"/>
                <w:sz w:val="20"/>
                <w:u w:color="auto"/>
                <w:lang w:eastAsia="zh-CN"/>
              </w:rPr>
              <w:t>国土所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w:t>
      </w:r>
      <w:r>
        <w:rPr>
          <w:rFonts w:hint="default" w:ascii="黑体" w:hAnsi="黑体" w:eastAsia="黑体" w:cs="黑体"/>
          <w:sz w:val="32"/>
          <w:u w:color="auto"/>
          <w:lang w:eastAsia="zh-CN"/>
        </w:rPr>
        <w:t>国土所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86.5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其他城乡社区支出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212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65.7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人员工资</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89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97%</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其他城乡社区支出</w:t>
      </w:r>
      <w:r>
        <w:rPr>
          <w:rFonts w:ascii="仿宋" w:hAnsi="仿宋" w:eastAsia="仿宋"/>
          <w:sz w:val="32"/>
          <w:u w:color="auto"/>
        </w:rPr>
        <w:t>（2</w:t>
      </w:r>
      <w:r>
        <w:rPr>
          <w:rFonts w:hint="eastAsia" w:ascii="仿宋" w:hAnsi="仿宋" w:eastAsia="仿宋"/>
          <w:sz w:val="32"/>
          <w:u w:color="auto"/>
          <w:lang w:val="en-US" w:eastAsia="zh-CN"/>
        </w:rPr>
        <w:t>12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65.7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人员工资有变动，支出减少。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w:t>
            </w:r>
            <w:r>
              <w:rPr>
                <w:rFonts w:hint="default" w:ascii="宋体" w:hAnsi="宋体" w:eastAsia="宋体" w:cs="宋体"/>
                <w:i w:val="0"/>
                <w:iCs w:val="0"/>
                <w:color w:val="auto"/>
                <w:sz w:val="20"/>
                <w:szCs w:val="20"/>
                <w:highlight w:val="none"/>
                <w:u w:val="none"/>
                <w:lang w:eastAsia="zh-CN"/>
              </w:rPr>
              <w:t>国土所</w:t>
            </w:r>
            <w:r>
              <w:rPr>
                <w:rFonts w:hint="eastAsia" w:ascii="宋体" w:hAnsi="宋体" w:eastAsia="宋体" w:cs="宋体"/>
                <w:i w:val="0"/>
                <w:iCs w:val="0"/>
                <w:color w:val="auto"/>
                <w:sz w:val="20"/>
                <w:szCs w:val="20"/>
                <w:highlight w:val="none"/>
                <w:u w:val="none"/>
                <w:lang w:val="en-US" w:eastAsia="zh-CN"/>
              </w:rPr>
              <w:t>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w:t>
            </w:r>
            <w:r>
              <w:rPr>
                <w:rFonts w:hint="default" w:ascii="宋体" w:hAnsi="宋体" w:eastAsia="宋体" w:cs="宋体"/>
                <w:i w:val="0"/>
                <w:iCs w:val="0"/>
                <w:color w:val="auto"/>
                <w:sz w:val="20"/>
                <w:szCs w:val="20"/>
                <w:highlight w:val="none"/>
                <w:u w:val="none"/>
                <w:lang w:eastAsia="zh-CN"/>
              </w:rPr>
              <w:t>国土所</w:t>
            </w:r>
            <w:r>
              <w:rPr>
                <w:rFonts w:hint="eastAsia" w:ascii="宋体" w:hAnsi="宋体" w:eastAsia="宋体" w:cs="宋体"/>
                <w:i w:val="0"/>
                <w:iCs w:val="0"/>
                <w:color w:val="auto"/>
                <w:sz w:val="20"/>
                <w:szCs w:val="20"/>
                <w:highlight w:val="none"/>
                <w:u w:val="none"/>
                <w:lang w:val="en-US" w:eastAsia="zh-CN"/>
              </w:rPr>
              <w:t>人员工资</w:t>
            </w:r>
          </w:p>
        </w:tc>
      </w:tr>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97.6</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86.5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81.3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81.3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27.3万元，30102津贴补贴6.2万元，30103奖金11.9万元，30107绩效工资11.6万元，30108机关事业单位基本养老保险缴费11.1万元，30110职工基本医疗保险缴费4.4万元，30112其他社会保险缴费0.4万元，30113住房公积金8.3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30201办公费0.4万元，30206水费05万元，30211差旅费1万元，30228工会经费1.4万元，30231 公务用车运行维护费1.9万元。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w:t>
      </w:r>
      <w:r>
        <w:rPr>
          <w:rFonts w:hint="default" w:ascii="仿宋" w:hAnsi="仿宋" w:eastAsia="仿宋" w:cs="仿宋"/>
          <w:sz w:val="32"/>
          <w:szCs w:val="32"/>
          <w:highlight w:val="none"/>
          <w:lang w:eastAsia="zh-CN"/>
        </w:rPr>
        <w:t>国土所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0.86</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bookmarkStart w:id="4" w:name="_GoBack"/>
      <w:bookmarkEnd w:id="4"/>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2DB79F2"/>
    <w:rsid w:val="33185FE3"/>
    <w:rsid w:val="33B24859"/>
    <w:rsid w:val="34EE2E36"/>
    <w:rsid w:val="35A55795"/>
    <w:rsid w:val="36777241"/>
    <w:rsid w:val="36AC569A"/>
    <w:rsid w:val="37DB42A4"/>
    <w:rsid w:val="38A951DB"/>
    <w:rsid w:val="38B31605"/>
    <w:rsid w:val="39003F4F"/>
    <w:rsid w:val="3A613D2F"/>
    <w:rsid w:val="3C07002B"/>
    <w:rsid w:val="3D0D152A"/>
    <w:rsid w:val="3DF62756"/>
    <w:rsid w:val="3E2D46DD"/>
    <w:rsid w:val="3EC261B0"/>
    <w:rsid w:val="3F1B7587"/>
    <w:rsid w:val="404412AB"/>
    <w:rsid w:val="40465D3F"/>
    <w:rsid w:val="40E60342"/>
    <w:rsid w:val="40E94F8D"/>
    <w:rsid w:val="414A1CC0"/>
    <w:rsid w:val="415958AD"/>
    <w:rsid w:val="41E57B4F"/>
    <w:rsid w:val="432F26F6"/>
    <w:rsid w:val="43880F63"/>
    <w:rsid w:val="441C5A6F"/>
    <w:rsid w:val="44C44FCC"/>
    <w:rsid w:val="44CC7369"/>
    <w:rsid w:val="457F5108"/>
    <w:rsid w:val="46951B6B"/>
    <w:rsid w:val="47335BB2"/>
    <w:rsid w:val="488B6009"/>
    <w:rsid w:val="495F18E0"/>
    <w:rsid w:val="49A34401"/>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6D90443"/>
    <w:rsid w:val="5786217B"/>
    <w:rsid w:val="59337A15"/>
    <w:rsid w:val="59810274"/>
    <w:rsid w:val="5BDD637C"/>
    <w:rsid w:val="5C8D37D5"/>
    <w:rsid w:val="5CA96A00"/>
    <w:rsid w:val="5CD67E23"/>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86.5</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其他城乡社区支出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其他城乡社区支出</c:v>
                </c:pt>
                <c:pt idx="3">
                  <c:v>住房保障支出</c:v>
                </c:pt>
              </c:strCache>
            </c:strRef>
          </c:cat>
          <c:val>
            <c:numRef>
              <c:f>Sheet1!$C$2:$C$5</c:f>
              <c:numCache>
                <c:formatCode>General</c:formatCode>
                <c:ptCount val="4"/>
                <c:pt idx="0">
                  <c:v>1.4</c:v>
                </c:pt>
                <c:pt idx="1">
                  <c:v>11.1</c:v>
                </c:pt>
                <c:pt idx="2">
                  <c:v>65.7</c:v>
                </c:pt>
                <c:pt idx="3">
                  <c:v>8.3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c:v>
                </c:pt>
                <c:pt idx="1">
                  <c:v>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事业运行</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65.7</c:v>
                </c:pt>
                <c:pt idx="1">
                  <c:v>65.7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11.1</c:v>
                </c:pt>
                <c:pt idx="1">
                  <c:v>11.1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8.3</c:v>
                </c:pt>
                <c:pt idx="1">
                  <c:v>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27.3</c:v>
                </c:pt>
                <c:pt idx="1">
                  <c:v>6.2</c:v>
                </c:pt>
                <c:pt idx="2">
                  <c:v>11.9</c:v>
                </c:pt>
                <c:pt idx="3">
                  <c:v>11.6</c:v>
                </c:pt>
                <c:pt idx="4">
                  <c:v>11.1</c:v>
                </c:pt>
                <c:pt idx="5">
                  <c:v>4.4</c:v>
                </c:pt>
                <c:pt idx="6">
                  <c:v>0.4</c:v>
                </c:pt>
                <c:pt idx="7">
                  <c:v>8.3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c:v>
                </c:pt>
                <c:pt idx="1">
                  <c:v>0</c:v>
                </c:pt>
                <c:pt idx="2">
                  <c:v>0</c:v>
                </c:pt>
                <c:pt idx="3">
                  <c:v>0</c:v>
                </c:pt>
                <c:pt idx="4">
                  <c:v>0</c:v>
                </c:pt>
                <c:pt idx="5">
                  <c:v>0.5</c:v>
                </c:pt>
                <c:pt idx="6">
                  <c:v>0</c:v>
                </c:pt>
                <c:pt idx="7">
                  <c:v>0</c:v>
                </c:pt>
                <c:pt idx="8">
                  <c:v>0</c:v>
                </c:pt>
                <c:pt idx="9">
                  <c:v>1</c:v>
                </c:pt>
                <c:pt idx="10">
                  <c:v>0</c:v>
                </c:pt>
                <c:pt idx="11">
                  <c:v>0</c:v>
                </c:pt>
                <c:pt idx="12">
                  <c:v>0</c:v>
                </c:pt>
                <c:pt idx="13">
                  <c:v>0</c:v>
                </c:pt>
                <c:pt idx="14">
                  <c:v>0</c:v>
                </c:pt>
                <c:pt idx="15">
                  <c:v>0</c:v>
                </c:pt>
                <c:pt idx="16">
                  <c:v>0</c:v>
                </c:pt>
                <c:pt idx="17">
                  <c:v>0</c:v>
                </c:pt>
                <c:pt idx="18">
                  <c:v>0</c:v>
                </c:pt>
                <c:pt idx="19">
                  <c:v>0</c:v>
                </c:pt>
                <c:pt idx="20">
                  <c:v>0</c:v>
                </c:pt>
                <c:pt idx="21">
                  <c:v>0.4</c:v>
                </c:pt>
                <c:pt idx="22">
                  <c:v>0</c:v>
                </c:pt>
                <c:pt idx="23">
                  <c:v>1.9</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19</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2024-12-25T08:59:09Z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8627E80BAB0741BABEDBE8D30EB8E363</vt:lpwstr>
  </property>
</Properties>
</file>