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方正小标宋简体" w:eastAsia="方正小标宋简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eastAsia" w:ascii="Times New Roman" w:hAnsi="Times New Roman" w:eastAsia="方正小标宋简体" w:cs="Times New Roman"/>
          <w:bCs/>
          <w:color w:val="000000"/>
          <w:sz w:val="52"/>
          <w:szCs w:val="52"/>
          <w:u w:val="none"/>
          <w:lang w:val="en-US" w:eastAsia="zh-CN"/>
        </w:rPr>
      </w:pPr>
      <w:r>
        <w:rPr>
          <w:rFonts w:hint="default" w:ascii="方正小标宋简体" w:eastAsia="方正小标宋简体"/>
          <w:kern w:val="0"/>
          <w:sz w:val="52"/>
          <w:szCs w:val="52"/>
          <w:lang w:eastAsia="zh-CN"/>
        </w:rPr>
        <w:t>环江毛南族自治县</w:t>
      </w:r>
      <w:r>
        <w:rPr>
          <w:rFonts w:hint="eastAsia" w:ascii="方正小标宋简体" w:eastAsia="方正小标宋简体"/>
          <w:kern w:val="0"/>
          <w:sz w:val="52"/>
          <w:szCs w:val="52"/>
          <w:lang w:val="en-US" w:eastAsia="zh-CN"/>
        </w:rPr>
        <w:t>长美乡财政所</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bCs/>
          <w:color w:val="000000"/>
          <w:sz w:val="52"/>
          <w:szCs w:val="52"/>
          <w:u w:val="none"/>
          <w:lang w:val="en-US" w:eastAsia="zh-CN"/>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
    <w:p/>
    <w:p/>
    <w:p/>
    <w:p/>
    <w:p/>
    <w:p/>
    <w:p/>
    <w:p/>
    <w:p/>
    <w:p/>
    <w:p/>
    <w:p/>
    <w:p/>
    <w:p/>
    <w:p/>
    <w:p/>
    <w:p/>
    <w:p/>
    <w:p/>
    <w:p/>
    <w:p/>
    <w:p/>
    <w:p/>
    <w:p/>
    <w:p/>
    <w:p>
      <w:bookmarkStart w:id="0" w:name="_GoBack"/>
      <w:bookmarkEnd w:id="0"/>
    </w:p>
    <w:p/>
    <w:p/>
    <w:p/>
    <w:p>
      <w:pPr>
        <w:spacing w:line="560" w:lineRule="exact"/>
        <w:ind w:firstLine="646"/>
        <w:jc w:val="center"/>
        <w:rPr>
          <w:rFonts w:hint="eastAsia" w:ascii="仿宋_GB2312" w:eastAsia="仿宋_GB2312"/>
          <w:b/>
          <w:sz w:val="32"/>
          <w:szCs w:val="32"/>
        </w:rPr>
      </w:pPr>
      <w:r>
        <w:rPr>
          <w:rFonts w:hint="eastAsia" w:ascii="方正小标宋简体" w:eastAsia="方正小标宋简体"/>
          <w:b/>
          <w:sz w:val="44"/>
          <w:szCs w:val="44"/>
        </w:rPr>
        <w:t>目    录</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长美乡财政所</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长美乡财政所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长美乡财政所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
    <w:p>
      <w:pPr>
        <w:spacing w:line="560" w:lineRule="exact"/>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rPr>
        <w:t>长美乡财政所</w:t>
      </w:r>
      <w:r>
        <w:rPr>
          <w:rFonts w:hint="eastAsia" w:ascii="黑体" w:hAnsi="黑体" w:eastAsia="黑体"/>
          <w:sz w:val="32"/>
          <w:szCs w:val="32"/>
        </w:rPr>
        <w:t>概况</w:t>
      </w: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（一）、负责财经法律及相关政策法规的宣传和执行。</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（二）、承担本单位财务收支计划、决算编制和预算执行、预算调整、预算内外资金收支管理的具体工作。</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（三）、负责本单位财政票据的申购、领发、缴销以及国有资产的管理。</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（四）、负责财政惠农资金的监管以及各项惠农补贴的核定兑付。</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（五）、负责本乡非税收入管理。</w:t>
      </w:r>
    </w:p>
    <w:p>
      <w:pPr>
        <w:pStyle w:val="3"/>
        <w:keepNext w:val="0"/>
        <w:keepLines w:val="0"/>
        <w:widowControl/>
        <w:suppressLineNumbers w:val="0"/>
        <w:shd w:val="clear" w:color="auto" w:fill="FFFFFF"/>
        <w:spacing w:before="0" w:beforeAutospacing="0" w:after="0" w:afterAutospacing="0" w:line="520" w:lineRule="atLeast"/>
        <w:ind w:left="0" w:right="0" w:firstLine="560"/>
        <w:jc w:val="both"/>
        <w:rPr>
          <w:rFonts w:hint="eastAsia" w:ascii="仿宋_GB2312" w:eastAsia="仿宋_GB2312"/>
          <w:sz w:val="32"/>
          <w:szCs w:val="32"/>
        </w:rPr>
      </w:pPr>
      <w:r>
        <w:rPr>
          <w:rFonts w:hint="eastAsia" w:ascii="仿宋_GB2312" w:hAnsi="仿宋_GB2312" w:eastAsia="仿宋_GB2312" w:cs="仿宋_GB2312"/>
          <w:kern w:val="2"/>
          <w:sz w:val="32"/>
          <w:szCs w:val="32"/>
          <w:highlight w:val="none"/>
          <w:lang w:val="en-US" w:eastAsia="zh-CN" w:bidi="ar-SA"/>
        </w:rPr>
        <w:t>（六）、完成乡政府交办的其他工作任务。</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ind w:firstLine="709"/>
        <w:rPr>
          <w:rFonts w:hint="eastAsia" w:ascii="仿宋_GB2312" w:hAnsi="仿宋" w:eastAsia="仿宋_GB2312" w:cs="仿宋"/>
          <w:color w:val="000000"/>
          <w:sz w:val="32"/>
          <w:szCs w:val="32"/>
        </w:rPr>
      </w:pPr>
      <w:r>
        <w:rPr>
          <w:rFonts w:hint="eastAsia" w:ascii="仿宋_GB2312" w:hAnsi="仿宋" w:eastAsia="仿宋_GB2312"/>
          <w:sz w:val="32"/>
          <w:szCs w:val="32"/>
          <w:lang w:eastAsia="zh-CN"/>
        </w:rPr>
        <w:t>本单位</w:t>
      </w:r>
      <w:r>
        <w:rPr>
          <w:rFonts w:hint="eastAsia" w:ascii="仿宋_GB2312" w:hAnsi="黑体" w:eastAsia="仿宋_GB2312"/>
          <w:sz w:val="32"/>
          <w:szCs w:val="32"/>
          <w:lang w:eastAsia="zh-CN"/>
        </w:rPr>
        <w:t>财政全额拨款事业单位，</w:t>
      </w:r>
      <w:r>
        <w:rPr>
          <w:rFonts w:hint="eastAsia" w:ascii="仿宋_GB2312" w:hAnsi="仿宋" w:eastAsia="仿宋_GB2312"/>
          <w:sz w:val="32"/>
          <w:szCs w:val="32"/>
          <w:lang w:eastAsia="zh-CN"/>
        </w:rPr>
        <w:t>包含</w:t>
      </w:r>
      <w:r>
        <w:rPr>
          <w:rFonts w:hint="eastAsia" w:ascii="仿宋_GB2312" w:hAnsi="仿宋" w:eastAsia="仿宋_GB2312"/>
          <w:sz w:val="32"/>
          <w:szCs w:val="32"/>
          <w:lang w:val="en-US" w:eastAsia="zh-CN"/>
        </w:rPr>
        <w:t>1个独立核算机构，</w:t>
      </w:r>
      <w:r>
        <w:rPr>
          <w:rFonts w:hint="eastAsia" w:ascii="仿宋_GB2312" w:hAnsi="仿宋" w:eastAsia="仿宋_GB2312" w:cs="仿宋"/>
          <w:color w:val="000000"/>
          <w:sz w:val="32"/>
          <w:szCs w:val="32"/>
        </w:rPr>
        <w:t>机构人员指标</w:t>
      </w:r>
      <w:r>
        <w:rPr>
          <w:rFonts w:hint="eastAsia" w:ascii="仿宋_GB2312" w:hAnsi="仿宋" w:eastAsia="仿宋_GB2312" w:cs="仿宋"/>
          <w:color w:val="000000"/>
          <w:sz w:val="32"/>
          <w:szCs w:val="32"/>
          <w:lang w:eastAsia="zh-CN"/>
        </w:rPr>
        <w:t>减少</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其中单位编制共</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人，在职人员</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人</w:t>
      </w:r>
      <w:r>
        <w:rPr>
          <w:rFonts w:hint="eastAsia" w:ascii="仿宋_GB2312" w:hAnsi="仿宋" w:eastAsia="仿宋_GB2312" w:cs="仿宋"/>
          <w:color w:val="000000"/>
          <w:sz w:val="32"/>
          <w:szCs w:val="32"/>
        </w:rPr>
        <w:t>。</w:t>
      </w:r>
    </w:p>
    <w:p>
      <w:pPr>
        <w:ind w:firstLine="709"/>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rPr>
        <w:t>长美乡财政所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tbl>
      <w:tblPr>
        <w:tblStyle w:val="4"/>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28"/>
        <w:gridCol w:w="478"/>
        <w:gridCol w:w="870"/>
        <w:gridCol w:w="2760"/>
        <w:gridCol w:w="465"/>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60"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4"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06"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8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84"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r>
    </w:tbl>
    <w:p>
      <w:pPr>
        <w:ind w:firstLine="709"/>
        <w:rPr>
          <w:rFonts w:hint="eastAsia" w:ascii="黑体" w:hAnsi="黑体" w:eastAsia="黑体"/>
          <w:sz w:val="32"/>
          <w:szCs w:val="32"/>
        </w:rPr>
      </w:pPr>
    </w:p>
    <w:p>
      <w:pPr>
        <w:ind w:firstLine="709"/>
        <w:rPr>
          <w:rFonts w:hint="eastAsia" w:ascii="黑体" w:hAnsi="黑体" w:eastAsia="黑体"/>
          <w:sz w:val="32"/>
          <w:szCs w:val="32"/>
        </w:rPr>
      </w:pPr>
    </w:p>
    <w:p>
      <w:pPr>
        <w:ind w:firstLine="709"/>
        <w:rPr>
          <w:rFonts w:hint="eastAsia" w:ascii="黑体" w:hAnsi="黑体" w:eastAsia="黑体"/>
          <w:sz w:val="32"/>
          <w:szCs w:val="32"/>
        </w:rPr>
      </w:pPr>
    </w:p>
    <w:p>
      <w:pPr>
        <w:ind w:firstLine="709"/>
        <w:rPr>
          <w:rFonts w:hint="eastAsia" w:ascii="黑体" w:hAnsi="黑体" w:eastAsia="黑体"/>
          <w:sz w:val="32"/>
          <w:szCs w:val="32"/>
        </w:rPr>
      </w:pPr>
    </w:p>
    <w:p>
      <w:pPr>
        <w:ind w:firstLine="709"/>
        <w:rPr>
          <w:rFonts w:hint="eastAsia" w:ascii="黑体" w:hAnsi="黑体" w:eastAsia="黑体"/>
          <w:sz w:val="32"/>
          <w:szCs w:val="32"/>
        </w:rPr>
      </w:pPr>
    </w:p>
    <w:tbl>
      <w:tblPr>
        <w:tblStyle w:val="4"/>
        <w:tblW w:w="54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231"/>
        <w:gridCol w:w="807"/>
        <w:gridCol w:w="222"/>
        <w:gridCol w:w="876"/>
        <w:gridCol w:w="915"/>
        <w:gridCol w:w="143"/>
        <w:gridCol w:w="472"/>
        <w:gridCol w:w="480"/>
        <w:gridCol w:w="900"/>
        <w:gridCol w:w="870"/>
        <w:gridCol w:w="735"/>
        <w:gridCol w:w="99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2"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48"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81"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3" w:type="pct"/>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2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81"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9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4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51.89</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51.89</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tbl>
      <w:tblPr>
        <w:tblStyle w:val="4"/>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1107"/>
        <w:gridCol w:w="222"/>
        <w:gridCol w:w="240"/>
        <w:gridCol w:w="816"/>
        <w:gridCol w:w="1215"/>
        <w:gridCol w:w="810"/>
        <w:gridCol w:w="855"/>
        <w:gridCol w:w="1035"/>
        <w:gridCol w:w="772"/>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14"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9" w:type="dxa"/>
            <w:gridSpan w:val="5"/>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45"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
    <w:p/>
    <w:p/>
    <w:p/>
    <w:p/>
    <w:p/>
    <w:p/>
    <w:tbl>
      <w:tblPr>
        <w:tblStyle w:val="4"/>
        <w:tblW w:w="8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6"/>
        <w:gridCol w:w="570"/>
        <w:gridCol w:w="810"/>
        <w:gridCol w:w="1635"/>
        <w:gridCol w:w="480"/>
        <w:gridCol w:w="810"/>
        <w:gridCol w:w="960"/>
        <w:gridCol w:w="1020"/>
        <w:gridCol w:w="1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995" w:type="dxa"/>
            <w:gridSpan w:val="9"/>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6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4"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01" w:type="dxa"/>
            <w:gridSpan w:val="4"/>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4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44"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59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
    <w:p/>
    <w:p/>
    <w:p/>
    <w:p/>
    <w:p/>
    <w:p/>
    <w:p/>
    <w:p/>
    <w:p/>
    <w:tbl>
      <w:tblPr>
        <w:tblStyle w:val="4"/>
        <w:tblW w:w="87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3"/>
        <w:gridCol w:w="679"/>
        <w:gridCol w:w="222"/>
        <w:gridCol w:w="240"/>
        <w:gridCol w:w="1966"/>
        <w:gridCol w:w="1573"/>
        <w:gridCol w:w="16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23" w:type="dxa"/>
            <w:gridSpan w:val="8"/>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5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0" w:type="dxa"/>
            <w:gridSpan w:val="5"/>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157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70"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bl>
    <w:p/>
    <w:p/>
    <w:tbl>
      <w:tblPr>
        <w:tblStyle w:val="4"/>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485"/>
        <w:gridCol w:w="810"/>
        <w:gridCol w:w="855"/>
        <w:gridCol w:w="1545"/>
        <w:gridCol w:w="735"/>
        <w:gridCol w:w="825"/>
        <w:gridCol w:w="1845"/>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23" w:type="dxa"/>
            <w:gridSpan w:val="9"/>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2"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66" w:type="dxa"/>
            <w:gridSpan w:val="4"/>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15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52"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5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房屋建筑物购建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文物和陈列品购置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48.49</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r>
    </w:tbl>
    <w:p>
      <w:pPr>
        <w:rPr>
          <w:rFonts w:hint="eastAsia"/>
          <w:lang w:val="en-US" w:eastAsia="zh-CN"/>
        </w:rPr>
      </w:pPr>
      <w:r>
        <w:rPr>
          <w:rFonts w:hint="eastAsia"/>
          <w:lang w:val="en-US" w:eastAsia="zh-CN"/>
        </w:rPr>
        <w:t xml:space="preserve">                     </w:t>
      </w:r>
    </w:p>
    <w:p>
      <w:pPr>
        <w:rPr>
          <w:rFonts w:hint="eastAsia"/>
          <w:lang w:val="en-US" w:eastAsia="zh-CN"/>
        </w:rPr>
      </w:pPr>
    </w:p>
    <w:tbl>
      <w:tblPr>
        <w:tblStyle w:val="4"/>
        <w:tblW w:w="96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222"/>
        <w:gridCol w:w="222"/>
        <w:gridCol w:w="1096"/>
        <w:gridCol w:w="1359"/>
        <w:gridCol w:w="1081"/>
        <w:gridCol w:w="656"/>
        <w:gridCol w:w="1748"/>
        <w:gridCol w:w="1590"/>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37" w:type="dxa"/>
            <w:gridSpan w:val="10"/>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5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7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02" w:type="dxa"/>
            <w:gridSpan w:val="6"/>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7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长美乡财政所</w:t>
      </w:r>
      <w:r>
        <w:rPr>
          <w:rFonts w:hint="eastAsia"/>
          <w:lang w:val="en-US" w:eastAsia="zh-CN"/>
        </w:rPr>
        <w:t>2023年度</w:t>
      </w:r>
      <w:r>
        <w:rPr>
          <w:rFonts w:hint="eastAsia" w:ascii="宋体" w:hAnsi="宋体" w:eastAsia="宋体" w:cs="宋体"/>
          <w:sz w:val="20"/>
          <w:szCs w:val="21"/>
          <w:lang w:val="en-US" w:eastAsia="zh-CN"/>
        </w:rPr>
        <w:t>没有政府性基金预算财政拨款收入，也没有政府性基金预算财政拨款安排的支出，故本表无数据</w:t>
      </w:r>
    </w:p>
    <w:tbl>
      <w:tblPr>
        <w:tblStyle w:val="4"/>
        <w:tblW w:w="94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6"/>
        <w:gridCol w:w="222"/>
        <w:gridCol w:w="240"/>
        <w:gridCol w:w="1385"/>
        <w:gridCol w:w="915"/>
        <w:gridCol w:w="1695"/>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441"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0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长美乡财政所</w:t>
      </w:r>
      <w:r>
        <w:rPr>
          <w:rFonts w:hint="eastAsia"/>
          <w:lang w:val="en-US" w:eastAsia="zh-CN"/>
        </w:rPr>
        <w:t>2023年度</w:t>
      </w:r>
      <w:r>
        <w:rPr>
          <w:rFonts w:hint="eastAsia" w:ascii="宋体" w:hAnsi="宋体" w:eastAsia="宋体" w:cs="宋体"/>
          <w:sz w:val="20"/>
          <w:szCs w:val="21"/>
          <w:lang w:val="en-US" w:eastAsia="zh-CN"/>
        </w:rPr>
        <w:t>没有国有资本经营预算财政拨款收入，也没有国有资本经营预算财政拨款安排的支出，故本表无数据</w:t>
      </w:r>
    </w:p>
    <w:tbl>
      <w:tblPr>
        <w:tblStyle w:val="4"/>
        <w:tblW w:w="8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840"/>
        <w:gridCol w:w="510"/>
        <w:gridCol w:w="960"/>
        <w:gridCol w:w="930"/>
        <w:gridCol w:w="765"/>
        <w:gridCol w:w="699"/>
        <w:gridCol w:w="799"/>
        <w:gridCol w:w="410"/>
        <w:gridCol w:w="792"/>
        <w:gridCol w:w="765"/>
        <w:gridCol w:w="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73" w:type="dxa"/>
            <w:gridSpan w:val="1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4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16" w:type="dxa"/>
            <w:gridSpan w:val="6"/>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部门：环江毛南族自治县长美乡财政所</w:t>
            </w:r>
          </w:p>
        </w:tc>
        <w:tc>
          <w:tcPr>
            <w:tcW w:w="6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49"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0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lang w:val="en-US" w:eastAsia="zh-CN"/>
        </w:rPr>
      </w:pPr>
      <w:r>
        <w:rPr>
          <w:rFonts w:hint="eastAsia"/>
          <w:lang w:val="en-US" w:eastAsia="zh-CN"/>
        </w:rPr>
        <w:t>长美乡财政所2023年度没有财政拨款“三公”经费收入，也没有财政拨款“三公”经费安排的支出，故本表无数据</w:t>
      </w:r>
    </w:p>
    <w:p>
      <w:pPr>
        <w:rPr>
          <w:rFonts w:hint="eastAsia"/>
          <w:lang w:val="en-US" w:eastAsia="zh-CN"/>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rPr>
        <w:t>长美乡财政所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lang w:val="en-US" w:eastAsia="zh-CN"/>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万元，为本财政当年拨付的资金。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正常工资晋升</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0万</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政府性基金预算财政拨款收入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国有资本经营预算财政拨款收入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事业收入。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其他收入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非财政拨款结余</w:t>
      </w:r>
      <w:r>
        <w:rPr>
          <w:rFonts w:hint="eastAsia" w:ascii="仿宋_GB2312" w:eastAsia="仿宋_GB2312" w:cs="仿宋_GB2312"/>
          <w:kern w:val="0"/>
          <w:sz w:val="32"/>
          <w:szCs w:val="32"/>
          <w:lang w:eastAsia="zh-CN"/>
        </w:rPr>
        <w:t>（含专用结余）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45.64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工资福利发放，</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19.35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绩效工资随月发放增加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6.11</w:t>
      </w:r>
      <w:r>
        <w:rPr>
          <w:rFonts w:hint="eastAsia" w:ascii="仿宋_GB2312" w:eastAsia="仿宋_GB2312" w:cs="仿宋_GB2312"/>
          <w:kern w:val="0"/>
          <w:sz w:val="32"/>
          <w:szCs w:val="32"/>
        </w:rPr>
        <w:t>万元：主要用于社会保障和就业</w:t>
      </w:r>
      <w:r>
        <w:rPr>
          <w:rFonts w:hint="eastAsia" w:ascii="仿宋_GB2312" w:eastAsia="仿宋_GB2312" w:cs="仿宋_GB2312"/>
          <w:kern w:val="0"/>
          <w:sz w:val="32"/>
          <w:szCs w:val="32"/>
          <w:lang w:eastAsia="zh-CN"/>
        </w:rPr>
        <w:t>发放，</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0.23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社保基数调整</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3.农林水支出0.14</w:t>
      </w:r>
      <w:r>
        <w:rPr>
          <w:rFonts w:hint="eastAsia" w:ascii="仿宋_GB2312" w:eastAsia="仿宋_GB2312" w:cs="仿宋_GB2312"/>
          <w:kern w:val="0"/>
          <w:sz w:val="32"/>
          <w:szCs w:val="32"/>
        </w:rPr>
        <w:t>万元：主要用于稳定农民收入补贴</w:t>
      </w:r>
      <w:r>
        <w:rPr>
          <w:rFonts w:hint="eastAsia" w:ascii="仿宋_GB2312" w:eastAsia="仿宋_GB2312" w:cs="仿宋_GB2312"/>
          <w:kern w:val="0"/>
          <w:sz w:val="32"/>
          <w:szCs w:val="32"/>
          <w:lang w:eastAsia="zh-CN"/>
        </w:rPr>
        <w:t>发放，</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7.47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98.16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补贴资金发放减少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结余分配</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长美乡财政所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51.89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50.26</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1.63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eastAsia="仿宋_GB2312"/>
          <w:kern w:val="0"/>
          <w:sz w:val="32"/>
          <w:szCs w:val="32"/>
          <w:lang w:eastAsia="zh-CN"/>
        </w:rPr>
        <w:t>长美乡财政所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50.73</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51.89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102.28</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50.73</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51.89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102.28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原因是工资正常晋升。</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50.26</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48.47</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114.8</w:t>
      </w:r>
      <w:r>
        <w:rPr>
          <w:rFonts w:hint="eastAsia" w:ascii="仿宋_GB2312" w:eastAsia="仿宋_GB2312"/>
          <w:bCs/>
          <w:kern w:val="0"/>
          <w:sz w:val="32"/>
          <w:szCs w:val="32"/>
        </w:rPr>
        <w:t xml:space="preserve"> %。</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绩效工资随月发放增加</w:t>
      </w:r>
      <w:r>
        <w:rPr>
          <w:rFonts w:hint="eastAsia" w:ascii="仿宋_GB2312" w:hAnsi="黑体" w:eastAsia="仿宋_GB2312" w:cs="仿宋_GB2312"/>
          <w:kern w:val="0"/>
          <w:sz w:val="32"/>
          <w:szCs w:val="32"/>
        </w:rPr>
        <w:t>。</w:t>
      </w:r>
    </w:p>
    <w:p>
      <w:pPr>
        <w:numPr>
          <w:ilvl w:val="0"/>
          <w:numId w:val="0"/>
        </w:num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1.77</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32.89</w:t>
      </w:r>
      <w:r>
        <w:rPr>
          <w:rFonts w:hint="eastAsia" w:ascii="仿宋_GB2312" w:eastAsia="仿宋_GB2312"/>
          <w:bCs/>
          <w:kern w:val="0"/>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公用经费支出减少。</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eastAsia="仿宋_GB2312"/>
          <w:kern w:val="0"/>
          <w:sz w:val="32"/>
          <w:szCs w:val="32"/>
          <w:lang w:eastAsia="zh-CN"/>
        </w:rPr>
        <w:t>长美乡财政所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长美乡财政所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政府性基金支出</w:t>
      </w:r>
      <w:r>
        <w:rPr>
          <w:rFonts w:hint="eastAsia" w:ascii="仿宋_GB2312" w:eastAsia="仿宋_GB2312" w:cs="仿宋_GB2312"/>
          <w:kern w:val="0"/>
          <w:sz w:val="32"/>
          <w:szCs w:val="32"/>
          <w:lang w:eastAsia="zh-CN"/>
        </w:rPr>
        <w:t>及预算</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长美乡财政所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长美乡财政所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国有资本经营预算支出</w:t>
      </w:r>
      <w:r>
        <w:rPr>
          <w:rFonts w:hint="eastAsia" w:ascii="仿宋_GB2312" w:eastAsia="仿宋_GB2312" w:cs="仿宋_GB2312"/>
          <w:kern w:val="0"/>
          <w:sz w:val="32"/>
          <w:szCs w:val="32"/>
          <w:lang w:eastAsia="zh-CN"/>
        </w:rPr>
        <w:t>及预算</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“三公”经费支出。其中：因公出国（境）费支出决算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2"/>
        </w:num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因公出国（境）费支出。全年使用财政拨款安排</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人次。</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公务用车购置及运行费支出。购置了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公务用车运行支出。202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eastAsia="仿宋_GB2312"/>
          <w:kern w:val="0"/>
          <w:sz w:val="32"/>
          <w:szCs w:val="32"/>
          <w:lang w:eastAsia="zh-CN"/>
        </w:rPr>
        <w:t>长美乡财政所</w:t>
      </w:r>
      <w:r>
        <w:rPr>
          <w:rFonts w:hint="eastAsia" w:ascii="仿宋_GB2312" w:hAnsi="黑体" w:eastAsia="仿宋_GB2312"/>
          <w:bCs/>
          <w:color w:val="000000"/>
          <w:sz w:val="32"/>
          <w:szCs w:val="32"/>
        </w:rPr>
        <w:t>所属单位开支财政拨款的公务用车保有量为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辆，全年运行费支出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万元</w:t>
      </w:r>
      <w:r>
        <w:rPr>
          <w:rFonts w:hint="eastAsia" w:ascii="仿宋_GB2312" w:hAnsi="黑体" w:eastAsia="仿宋_GB2312"/>
          <w:bCs/>
          <w:color w:val="000000"/>
          <w:sz w:val="32"/>
          <w:szCs w:val="32"/>
          <w:lang w:val="en-US"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hAnsi="黑体" w:eastAsia="仿宋_GB2312" w:cs="仿宋_GB2312"/>
          <w:kern w:val="0"/>
          <w:sz w:val="32"/>
          <w:szCs w:val="32"/>
          <w:lang w:eastAsia="zh-CN"/>
        </w:rPr>
        <w:t>我单位无</w:t>
      </w:r>
      <w:r>
        <w:rPr>
          <w:rFonts w:hint="eastAsia" w:ascii="仿宋_GB2312" w:eastAsia="仿宋_GB2312" w:cs="仿宋_GB2312"/>
          <w:kern w:val="0"/>
          <w:sz w:val="32"/>
          <w:szCs w:val="32"/>
        </w:rPr>
        <w:t>公务接待费支出。国内公务接待批次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1.77</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3.61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67.1</w:t>
      </w:r>
      <w:r>
        <w:rPr>
          <w:rFonts w:hint="eastAsia" w:ascii="仿宋_GB2312" w:eastAsia="仿宋_GB2312" w:cs="仿宋_GB2312"/>
          <w:kern w:val="0"/>
          <w:sz w:val="32"/>
          <w:szCs w:val="32"/>
        </w:rPr>
        <w:t xml:space="preserve"> %，比上年决算数减少</w:t>
      </w:r>
      <w:r>
        <w:rPr>
          <w:rFonts w:hint="eastAsia" w:ascii="仿宋_GB2312" w:eastAsia="仿宋_GB2312" w:cs="仿宋_GB2312"/>
          <w:kern w:val="0"/>
          <w:sz w:val="32"/>
          <w:szCs w:val="32"/>
          <w:lang w:val="en-US" w:eastAsia="zh-CN"/>
        </w:rPr>
        <w:t>0.3</w:t>
      </w:r>
      <w:r>
        <w:rPr>
          <w:rFonts w:hint="eastAsia" w:ascii="仿宋_GB2312" w:eastAsia="仿宋_GB2312" w:cs="仿宋_GB2312"/>
          <w:kern w:val="0"/>
          <w:sz w:val="32"/>
          <w:szCs w:val="32"/>
        </w:rPr>
        <w:t>元，降低</w:t>
      </w:r>
      <w:r>
        <w:rPr>
          <w:rFonts w:hint="eastAsia" w:ascii="仿宋_GB2312" w:eastAsia="仿宋_GB2312" w:cs="仿宋_GB2312"/>
          <w:kern w:val="0"/>
          <w:sz w:val="32"/>
          <w:szCs w:val="32"/>
          <w:lang w:val="en-US" w:eastAsia="zh-CN"/>
        </w:rPr>
        <w:t>14.49</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公用经费</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lang w:val="en-US" w:eastAsia="zh-CN"/>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本部门无政府采购支出</w:t>
      </w:r>
      <w:r>
        <w:rPr>
          <w:rFonts w:hint="eastAsia" w:ascii="楷体_GB2312" w:eastAsia="楷体_GB2312" w:cs="仿宋_GB2312"/>
          <w:kern w:val="0"/>
          <w:sz w:val="32"/>
          <w:szCs w:val="32"/>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辆，；单位价值50万元以上通用设备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台（套）；单位价值100万元以上专用设备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2.19</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等。从自评情况来看，项目预算执行率73.01%，较好的达到了工资成效。</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b/>
          <w:kern w:val="0"/>
          <w:sz w:val="32"/>
          <w:szCs w:val="32"/>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2.19</w:t>
      </w:r>
      <w:r>
        <w:rPr>
          <w:rFonts w:hint="eastAsia" w:ascii="仿宋_GB2312" w:hAnsi="Times New Roman" w:eastAsia="仿宋_GB2312" w:cs="仿宋_GB2312"/>
          <w:b w:val="0"/>
          <w:bCs w:val="0"/>
          <w:caps w:val="0"/>
          <w:color w:val="auto"/>
          <w:kern w:val="0"/>
          <w:sz w:val="32"/>
          <w:szCs w:val="32"/>
          <w:vertAlign w:val="baseline"/>
          <w:lang w:val="en-US" w:eastAsia="zh-CN" w:bidi="ar"/>
        </w:rPr>
        <w:t>元。其中，本级项目</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2.19</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eastAsiaTheme="minorEastAsia"/>
          <w:lang w:val="en-US" w:eastAsia="zh-CN"/>
        </w:rPr>
      </w:pPr>
      <w:r>
        <w:rPr>
          <w:rFonts w:hint="eastAsia"/>
          <w:lang w:val="en-US" w:eastAsia="zh-CN"/>
        </w:rPr>
        <w:t xml:space="preserve">                                </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BE9CD"/>
    <w:multiLevelType w:val="singleLevel"/>
    <w:tmpl w:val="B61BE9CD"/>
    <w:lvl w:ilvl="0" w:tentative="0">
      <w:start w:val="1"/>
      <w:numFmt w:val="chineseCounting"/>
      <w:suff w:val="nothing"/>
      <w:lvlText w:val="（%1）"/>
      <w:lvlJc w:val="left"/>
      <w:rPr>
        <w:rFonts w:hint="eastAsia"/>
      </w:rPr>
    </w:lvl>
  </w:abstractNum>
  <w:abstractNum w:abstractNumId="1">
    <w:nsid w:val="CA23CA0B"/>
    <w:multiLevelType w:val="singleLevel"/>
    <w:tmpl w:val="CA23CA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85E6E"/>
    <w:rsid w:val="01CB69BE"/>
    <w:rsid w:val="7218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291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2024-12-29T07:52:00Z</dcterms:created>
  <dc:creator>jejee5</dc:creator>
  <cp:lastModifiedBy>Administrator</cp:lastModifiedBy>
  <dcterms:modified xsi:type="dcterms:W3CDTF">2024-12-30T11:11:49Z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C5197CD5EA0940278A0856ADD56BA626_11</vt:lpwstr>
  </property>
  <property fmtid="{D5CDD505-2E9C-101B-9397-08002B2CF9AE}" pid="4" name="KSOTemplateDocerSaveRecord">
    <vt:lpwstr>eyJoZGlkIjoiZmFhZWQyNTVhM2RiYWFjM2E5ZGM1MWRjOWNlZTdhMWIiLCJ1c2VySWQiOiI0NzM2NDk0MDQifQ==</vt:lpwstr>
  </property>
</Properties>
</file>