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环江毛南族自治县档案馆</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clear="all"/>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rPr>
        <w:t>环江毛南族自治县档案馆</w:t>
      </w:r>
      <w:r>
        <w:rPr>
          <w:rFonts w:hint="eastAsia" w:ascii="黑体" w:hAnsi="黑体" w:eastAsia="黑体" w:cs="黑体"/>
          <w:sz w:val="32"/>
          <w:szCs w:val="32"/>
          <w:highlight w:val="none"/>
        </w:rPr>
        <w:t>概况</w:t>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spacing w:line="560" w:lineRule="exact"/>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rPr>
        <w:t>环江毛南族自治县档案馆</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spacing w:line="560" w:lineRule="exact"/>
        <w:jc w:val="both"/>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rPr>
        <w:t>环江毛南族自治县档案馆</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keepNext w:val="0"/>
        <w:keepLines w:val="0"/>
        <w:pageBreakBefore w:val="0"/>
        <w:widowControl w:val="0"/>
        <w:spacing w:line="560" w:lineRule="exact"/>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一、</w:t>
      </w: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3</w:t>
      </w:r>
      <w:r>
        <w:rPr>
          <w:rFonts w:hint="eastAsia" w:ascii="仿宋_GB2312" w:eastAsia="仿宋_GB2312" w:cs="仿宋_GB2312"/>
          <w:sz w:val="32"/>
          <w:szCs w:val="32"/>
          <w:highlight w:val="none"/>
        </w:rPr>
        <w:t>年度收入支出决算总体情况。</w:t>
      </w:r>
    </w:p>
    <w:p>
      <w:pPr>
        <w:keepNext w:val="0"/>
        <w:keepLines w:val="0"/>
        <w:pageBreakBefore w:val="0"/>
        <w:widowControl w:val="0"/>
        <w:spacing w:line="560" w:lineRule="exact"/>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二、</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cs="仿宋_GB2312"/>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sz w:val="32"/>
          <w:szCs w:val="32"/>
          <w:highlight w:val="none"/>
        </w:rPr>
        <w:t>公共预算财政拨款支出决算情况。</w:t>
      </w:r>
    </w:p>
    <w:p>
      <w:pPr>
        <w:keepNext w:val="0"/>
        <w:keepLines w:val="0"/>
        <w:pageBreakBefore w:val="0"/>
        <w:widowControl w:val="0"/>
        <w:spacing w:line="560" w:lineRule="exact"/>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三、20</w:t>
      </w:r>
      <w:r>
        <w:rPr>
          <w:rFonts w:hint="eastAsia" w:ascii="仿宋_GB2312" w:eastAsia="仿宋_GB2312" w:cs="仿宋_GB2312"/>
          <w:sz w:val="32"/>
          <w:szCs w:val="32"/>
          <w:highlight w:val="none"/>
          <w:lang w:val="en-US" w:eastAsia="zh-CN"/>
        </w:rPr>
        <w:t>23</w:t>
      </w:r>
      <w:r>
        <w:rPr>
          <w:rFonts w:hint="eastAsia" w:ascii="仿宋_GB2312" w:eastAsia="仿宋_GB2312" w:cs="仿宋_GB2312"/>
          <w:sz w:val="32"/>
          <w:szCs w:val="32"/>
          <w:highlight w:val="none"/>
        </w:rPr>
        <w:t>年度一般公共预算财政拨款基本支出决算情况说明。</w:t>
      </w:r>
    </w:p>
    <w:p>
      <w:pPr>
        <w:keepNext w:val="0"/>
        <w:keepLines w:val="0"/>
        <w:pageBreakBefore w:val="0"/>
        <w:widowControl w:val="0"/>
        <w:spacing w:line="560" w:lineRule="exact"/>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四、</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23</w:t>
      </w:r>
      <w:r>
        <w:rPr>
          <w:rFonts w:hint="eastAsia" w:ascii="仿宋_GB2312" w:eastAsia="仿宋_GB2312" w:cs="仿宋_GB2312"/>
          <w:sz w:val="32"/>
          <w:szCs w:val="32"/>
          <w:highlight w:val="none"/>
        </w:rPr>
        <w:t>年度政府性基金支出决算情况。</w:t>
      </w:r>
    </w:p>
    <w:p>
      <w:pPr>
        <w:keepNext w:val="0"/>
        <w:keepLines w:val="0"/>
        <w:pageBreakBefore w:val="0"/>
        <w:widowControl w:val="0"/>
        <w:spacing w:line="560" w:lineRule="exact"/>
        <w:jc w:val="both"/>
        <w:rPr>
          <w:rFonts w:hint="eastAsia" w:ascii="仿宋_GB2312" w:eastAsia="仿宋_GB2312" w:cs="仿宋_GB2312"/>
          <w:sz w:val="32"/>
          <w:szCs w:val="32"/>
          <w:highlight w:val="none"/>
          <w:lang w:eastAsia="zh-CN"/>
        </w:rPr>
      </w:pPr>
      <w:r>
        <w:rPr>
          <w:rFonts w:hint="eastAsia" w:ascii="仿宋_GB2312" w:eastAsia="仿宋_GB2312" w:cs="仿宋_GB2312"/>
          <w:sz w:val="32"/>
          <w:szCs w:val="32"/>
          <w:highlight w:val="none"/>
        </w:rPr>
        <w:t>五、20</w:t>
      </w:r>
      <w:r>
        <w:rPr>
          <w:rFonts w:hint="eastAsia" w:ascii="仿宋_GB2312" w:eastAsia="仿宋_GB2312" w:cs="仿宋_GB2312"/>
          <w:sz w:val="32"/>
          <w:szCs w:val="32"/>
          <w:highlight w:val="none"/>
          <w:lang w:val="en-US" w:eastAsia="zh-CN"/>
        </w:rPr>
        <w:t>23</w:t>
      </w:r>
      <w:r>
        <w:rPr>
          <w:rFonts w:hint="eastAsia" w:ascii="仿宋_GB2312" w:eastAsia="仿宋_GB2312" w:cs="仿宋_GB2312"/>
          <w:sz w:val="32"/>
          <w:szCs w:val="32"/>
          <w:highlight w:val="none"/>
        </w:rPr>
        <w:t>年度国有资本经营预算支出决算情况</w:t>
      </w:r>
      <w:r>
        <w:rPr>
          <w:rFonts w:hint="eastAsia" w:ascii="仿宋_GB2312" w:eastAsia="仿宋_GB2312" w:cs="仿宋_GB2312"/>
          <w:sz w:val="32"/>
          <w:szCs w:val="32"/>
          <w:highlight w:val="none"/>
          <w:lang w:eastAsia="zh-CN"/>
        </w:rPr>
        <w:t>。</w:t>
      </w:r>
    </w:p>
    <w:p>
      <w:pPr>
        <w:keepNext w:val="0"/>
        <w:keepLines w:val="0"/>
        <w:pageBreakBefore w:val="0"/>
        <w:widowControl w:val="0"/>
        <w:spacing w:line="560" w:lineRule="exact"/>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六、财政拨款“三公”经费支出决算情况说明。</w:t>
      </w:r>
    </w:p>
    <w:p>
      <w:pPr>
        <w:keepNext w:val="0"/>
        <w:keepLines w:val="0"/>
        <w:pageBreakBefore w:val="0"/>
        <w:widowControl w:val="0"/>
        <w:spacing w:line="560" w:lineRule="exact"/>
        <w:jc w:val="both"/>
        <w:rPr>
          <w:rFonts w:hint="eastAsia" w:ascii="仿宋_GB2312" w:eastAsia="仿宋_GB2312" w:cs="仿宋_GB2312"/>
          <w:sz w:val="32"/>
          <w:szCs w:val="32"/>
          <w:highlight w:val="none"/>
        </w:rPr>
      </w:pPr>
      <w:r>
        <w:rPr>
          <w:rFonts w:hint="eastAsia" w:ascii="仿宋_GB2312" w:eastAsia="仿宋_GB2312" w:cs="仿宋_GB2312"/>
          <w:sz w:val="32"/>
          <w:szCs w:val="32"/>
          <w:highlight w:val="none"/>
        </w:rPr>
        <w:t>七、其他重要事项情况说明。</w:t>
      </w:r>
    </w:p>
    <w:p>
      <w:pPr>
        <w:keepNext w:val="0"/>
        <w:keepLines w:val="0"/>
        <w:pageBreakBefore w:val="0"/>
        <w:widowControl w:val="0"/>
        <w:spacing w:line="560" w:lineRule="exact"/>
        <w:jc w:val="both"/>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keepNext w:val="0"/>
        <w:keepLines w:val="0"/>
        <w:pageBreakBefore w:val="0"/>
        <w:widowControl w:val="0"/>
        <w:spacing w:line="560" w:lineRule="exact"/>
        <w:jc w:val="both"/>
        <w:rPr>
          <w:rFonts w:ascii="黑体" w:hAnsi="黑体" w:eastAsia="黑体" w:cs="黑体"/>
          <w:sz w:val="32"/>
          <w:szCs w:val="32"/>
          <w:highlight w:val="none"/>
        </w:rPr>
      </w:pPr>
      <w:r>
        <w:rPr>
          <w:rFonts w:hint="eastAsia" w:ascii="黑体" w:hAnsi="黑体" w:eastAsia="黑体" w:cs="黑体"/>
          <w:sz w:val="32"/>
          <w:szCs w:val="32"/>
          <w:highlight w:val="none"/>
        </w:rPr>
        <w:br w:type="page" w:clear="all"/>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rPr>
        <w:t>环江毛南族自治县档案馆</w:t>
      </w:r>
      <w:r>
        <w:rPr>
          <w:rFonts w:hint="eastAsia" w:ascii="黑体" w:hAnsi="黑体" w:eastAsia="黑体" w:cs="黑体"/>
          <w:b/>
          <w:bCs/>
          <w:sz w:val="32"/>
          <w:szCs w:val="32"/>
          <w:highlight w:val="none"/>
        </w:rPr>
        <w:t>概况</w:t>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spacing w:before="6" w:line="560" w:lineRule="exact"/>
        <w:ind w:left="39" w:right="135"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 贯彻执行党和国家、自治区、河池市有关档案管理的 法律法规规章及有关规定规划计划，配合做好全县档案事业发展规划编制、档案公共管理。编制和实施本馆档案事业中长期发展规划和年度计划以及管理制度，集中统一管理县级重要档案资料，保守党和国家秘密，维护档案完整和安全。</w:t>
      </w:r>
    </w:p>
    <w:p>
      <w:pPr>
        <w:keepNext w:val="0"/>
        <w:keepLines w:val="0"/>
        <w:pageBreakBefore w:val="0"/>
        <w:widowControl w:val="0"/>
        <w:spacing w:before="3" w:line="560" w:lineRule="exact"/>
        <w:ind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(二)依法接收环江毛南族自治县县乡党政机关、人民团体、国有企事业单位和社会组织的各类档案及政府公报等政府公开信息。</w:t>
      </w:r>
    </w:p>
    <w:p>
      <w:pPr>
        <w:keepNext w:val="0"/>
        <w:keepLines w:val="0"/>
        <w:pageBreakBefore w:val="0"/>
        <w:widowControl w:val="0"/>
        <w:spacing w:before="2" w:line="560" w:lineRule="exact"/>
        <w:ind w:left="39" w:right="128"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(三)研究制定本馆进馆档案的接收标准和规范，负责全县各单位进馆档案整理质量检查和移交工作。</w:t>
      </w:r>
    </w:p>
    <w:p>
      <w:pPr>
        <w:keepNext w:val="0"/>
        <w:keepLines w:val="0"/>
        <w:pageBreakBefore w:val="0"/>
        <w:widowControl w:val="0"/>
        <w:spacing w:before="3" w:line="560" w:lineRule="exact"/>
        <w:ind w:left="39" w:right="130" w:firstLine="64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(四) 收集本县各个历史时期政权机构、社会组织、著名人物等对国家和社会有保存价值的档案。</w:t>
      </w:r>
    </w:p>
    <w:p>
      <w:pPr>
        <w:keepNext w:val="0"/>
        <w:keepLines w:val="0"/>
        <w:pageBreakBefore w:val="0"/>
        <w:widowControl w:val="0"/>
        <w:spacing w:before="110" w:line="560" w:lineRule="exact"/>
        <w:ind w:right="73" w:firstLine="320"/>
        <w:jc w:val="both"/>
        <w:rPr>
          <w:rFonts w:hint="eastAsia" w:asciiTheme="minorHAnsi" w:hAnsiTheme="minorHAnsi" w:eastAsiaTheme="minorEastAsia" w:cstheme="minorBidi"/>
          <w:sz w:val="32"/>
          <w:szCs w:val="32"/>
          <w:lang w:val="en-US" w:eastAsia="zh-CN" w:bidi="ar-SA"/>
        </w:rPr>
      </w:pPr>
      <w:r>
        <w:rPr>
          <w:rFonts w:hint="eastAsia" w:cstheme="minorBidi"/>
          <w:sz w:val="32"/>
          <w:szCs w:val="32"/>
          <w:lang w:val="en-US" w:eastAsia="zh-CN" w:bidi="ar-SA"/>
        </w:rPr>
        <w:tab/>
      </w:r>
      <w:r>
        <w:rPr>
          <w:rFonts w:hint="eastAsia" w:cstheme="minorBidi"/>
          <w:sz w:val="32"/>
          <w:szCs w:val="32"/>
          <w:lang w:val="en-US" w:eastAsia="zh-CN" w:bidi="ar-SA"/>
        </w:rPr>
        <w:t xml:space="preserve">  </w:t>
      </w:r>
      <w:r>
        <w:rPr>
          <w:rFonts w:hint="eastAsia" w:ascii="仿宋_GB2312" w:hAnsi="仿宋_GB2312" w:eastAsia="仿宋_GB2312" w:cs="仿宋_GB2312"/>
          <w:spacing w:val="0"/>
          <w:sz w:val="32"/>
          <w:szCs w:val="32"/>
        </w:rPr>
        <w:t>(五)</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rPr>
        <w:t>征集本县散存在国内外的对国家和社会具有长久保存价值的重要档案资料。</w:t>
      </w:r>
    </w:p>
    <w:p>
      <w:pPr>
        <w:keepNext w:val="0"/>
        <w:keepLines w:val="0"/>
        <w:pageBreakBefore w:val="0"/>
        <w:widowControl w:val="0"/>
        <w:spacing w:line="560" w:lineRule="exact"/>
        <w:ind w:right="75"/>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 开展档案资料的整理、编目、鉴定、保管、保护、统计等各项基础业务工作。组织县乡各单位依法依规开展馆藏档案解密和开放鉴定工作。承担重要档案异地异质备份工作。</w:t>
      </w:r>
    </w:p>
    <w:p>
      <w:pPr>
        <w:keepNext w:val="0"/>
        <w:keepLines w:val="0"/>
        <w:pageBreakBefore w:val="0"/>
        <w:widowControl w:val="0"/>
        <w:spacing w:line="560" w:lineRule="exact"/>
        <w:ind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(七)开展档案资料的利用服务工作，提供档案资料查阅利 用，依法依规公布档案，研究、编纂、出版档案史料，举办档案 陈列展览，为党委和人民政府决策提供参考，为社会提供服务。</w:t>
      </w:r>
    </w:p>
    <w:p>
      <w:pPr>
        <w:keepNext w:val="0"/>
        <w:keepLines w:val="0"/>
        <w:pageBreakBefore w:val="0"/>
        <w:widowControl w:val="0"/>
        <w:spacing w:before="1" w:line="560" w:lineRule="exact"/>
        <w:ind w:right="76"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(八)开展档案宣传、档案文化建设和档案科研工作，建设 党性教育、爱国主义教育、中小学档案教育社会实践等基地。开展馆际合作和业务交流工作，推进专业人才队伍建设。</w:t>
      </w:r>
    </w:p>
    <w:p>
      <w:pPr>
        <w:keepNext w:val="0"/>
        <w:keepLines w:val="0"/>
        <w:pageBreakBefore w:val="0"/>
        <w:widowControl w:val="0"/>
        <w:spacing w:before="6" w:line="560" w:lineRule="exact"/>
        <w:ind w:right="67" w:firstLine="64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九)开展档案信息化建设，负责县乡重要公共数据、电子档案管理和长久保存，采用先进技术管理档案资料，保证数字档案资源的安全管理和有效利用，配合做好全县档案信息化、推进数字化档案共享等事务性工作。</w:t>
      </w:r>
    </w:p>
    <w:p>
      <w:pPr>
        <w:keepNext w:val="0"/>
        <w:keepLines w:val="0"/>
        <w:pageBreakBefore w:val="0"/>
        <w:widowControl w:val="0"/>
        <w:spacing w:line="560" w:lineRule="exact"/>
        <w:ind w:firstLine="64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(十) 完成自治县党委、人民政府交办的其他任务。</w:t>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spacing w:line="560" w:lineRule="exact"/>
        <w:ind w:firstLine="640"/>
        <w:jc w:val="both"/>
        <w:rPr>
          <w:rFonts w:hint="eastAsia" w:asciiTheme="minorHAnsi" w:hAnsiTheme="minorHAnsi" w:eastAsiaTheme="minorEastAsia" w:cstheme="minorBidi"/>
          <w:sz w:val="32"/>
          <w:szCs w:val="32"/>
          <w:lang w:val="en-US" w:eastAsia="zh-CN" w:bidi="ar-SA"/>
        </w:rPr>
        <w:sectPr>
          <w:footerReference r:id="rId5" w:type="default"/>
          <w:pgSz w:w="11900" w:h="16820" w:orient="landscape"/>
          <w:pgMar w:top="1429" w:right="1470" w:bottom="1205" w:left="1460" w:header="0" w:footer="813" w:gutter="0"/>
          <w:cols w:space="720" w:num="1"/>
        </w:sectPr>
      </w:pPr>
      <w:r>
        <w:rPr>
          <w:rFonts w:hint="eastAsia" w:ascii="仿宋_GB2312" w:hAnsi="仿宋_GB2312" w:eastAsia="仿宋_GB2312" w:cs="仿宋_GB2312"/>
          <w:spacing w:val="0"/>
          <w:sz w:val="32"/>
          <w:szCs w:val="32"/>
        </w:rPr>
        <w:t>环江毛南族自治县档案馆是自治县党委直属正科级财政全额拨款、公益一类事业单位，由自治县党委办公室代管。</w:t>
      </w:r>
      <w:r>
        <w:rPr>
          <w:rFonts w:hint="eastAsia" w:ascii="仿宋_GB2312" w:hAnsi="仿宋_GB2312" w:eastAsia="仿宋_GB2312" w:cs="仿宋_GB2312"/>
          <w:color w:val="auto"/>
          <w:spacing w:val="0"/>
          <w:sz w:val="32"/>
          <w:szCs w:val="32"/>
        </w:rPr>
        <w:t>内设</w:t>
      </w:r>
      <w:r>
        <w:rPr>
          <w:rFonts w:hint="eastAsia" w:ascii="仿宋_GB2312" w:hAnsi="仿宋_GB2312" w:eastAsia="仿宋_GB2312" w:cs="仿宋_GB2312"/>
          <w:color w:val="auto"/>
          <w:spacing w:val="0"/>
          <w:sz w:val="32"/>
          <w:szCs w:val="32"/>
          <w:lang w:val="en-US" w:eastAsia="zh-CN"/>
        </w:rPr>
        <w:t>办公室和</w:t>
      </w:r>
      <w:r>
        <w:rPr>
          <w:rFonts w:hint="eastAsia" w:ascii="仿宋_GB2312" w:hAnsi="仿宋_GB2312" w:eastAsia="仿宋_GB2312" w:cs="仿宋_GB2312"/>
          <w:spacing w:val="0"/>
          <w:sz w:val="32"/>
          <w:szCs w:val="32"/>
        </w:rPr>
        <w:t>档案管理股(信息编研和业务指导股)</w:t>
      </w:r>
      <w:r>
        <w:rPr>
          <w:rFonts w:hint="eastAsia" w:ascii="仿宋_GB2312" w:hAnsi="仿宋_GB2312" w:eastAsia="仿宋_GB2312" w:cs="仿宋_GB2312"/>
          <w:color w:val="auto"/>
          <w:spacing w:val="0"/>
          <w:sz w:val="32"/>
          <w:szCs w:val="32"/>
          <w:lang w:val="en-US" w:eastAsia="zh-CN"/>
        </w:rPr>
        <w:t>两</w:t>
      </w:r>
      <w:r>
        <w:rPr>
          <w:rFonts w:hint="eastAsia" w:ascii="仿宋_GB2312" w:hAnsi="仿宋_GB2312" w:eastAsia="仿宋_GB2312" w:cs="仿宋_GB2312"/>
          <w:color w:val="auto"/>
          <w:spacing w:val="0"/>
          <w:sz w:val="32"/>
          <w:szCs w:val="32"/>
        </w:rPr>
        <w:t>个机构。</w:t>
      </w:r>
      <w:r>
        <w:rPr>
          <w:rFonts w:hint="eastAsia" w:ascii="仿宋" w:hAnsi="仿宋" w:eastAsia="仿宋" w:cs="仿宋"/>
          <w:color w:val="auto"/>
          <w:sz w:val="32"/>
          <w:szCs w:val="32"/>
        </w:rPr>
        <w:t>按照部门决算编报要求，单独编制本部门决算。</w:t>
      </w:r>
    </w:p>
    <w:p>
      <w:pPr>
        <w:ind w:firstLine="128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rPr>
        <w:t>环江毛南族自治县档案馆</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tbl>
      <w:tblPr>
        <w:tblStyle w:val="31"/>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169.12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14.36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10.84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18.64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r>
    </w:tbl>
    <w:p>
      <w:pPr>
        <w:rPr>
          <w:rFonts w:ascii="宋体" w:hAnsi="宋体" w:eastAsia="宋体" w:cs="宋体"/>
          <w:color w:val="000000"/>
          <w:sz w:val="30"/>
          <w:szCs w:val="30"/>
          <w:highlight w:val="none"/>
          <w:lang w:bidi="ar"/>
        </w:rPr>
      </w:pPr>
      <w:r>
        <w:rPr>
          <w:rFonts w:hint="eastAsia" w:ascii="宋体" w:hAnsi="宋体" w:eastAsia="宋体" w:cs="宋体"/>
          <w:color w:val="000000"/>
          <w:sz w:val="30"/>
          <w:szCs w:val="30"/>
          <w:highlight w:val="none"/>
          <w:lang w:bidi="ar"/>
        </w:rPr>
        <w:br w:type="page" w:clear="all"/>
      </w:r>
    </w:p>
    <w:tbl>
      <w:tblPr>
        <w:tblStyle w:val="31"/>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Cs w:val="21"/>
                <w:highlight w:val="none"/>
              </w:rPr>
            </w:pPr>
            <w:r>
              <w:rPr>
                <w:rFonts w:hint="eastAsia" w:ascii="宋体" w:hAnsi="宋体" w:eastAsia="宋体" w:cs="宋体"/>
                <w:color w:val="00000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212.97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212.97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2012601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2012604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档案馆</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18.64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18.64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clear="all"/>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31"/>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212.97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159.66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53.30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2012601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2012604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档案馆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53.30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10.84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18.64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18.64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clear="all"/>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31"/>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国有资本经营预算财政拨款</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169.12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169.12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14.36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14.36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590"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10.84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10.84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18.64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18.64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bidi="ar"/>
              </w:rPr>
            </w:pPr>
            <w:r>
              <w:rPr>
                <w:rFonts w:hint="eastAsia" w:ascii="宋体" w:hAnsi="宋体" w:eastAsia="宋体" w:cs="宋体"/>
                <w:color w:val="000000"/>
                <w:sz w:val="22"/>
                <w:szCs w:val="22"/>
                <w:highlight w:val="none"/>
                <w:lang w:val="en-US" w:eastAsia="zh-CN" w:bidi="ar"/>
              </w:rPr>
              <w:t>212.97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default"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2"/>
                <w:szCs w:val="22"/>
                <w:highlight w:val="none"/>
                <w:lang w:bidi="ar"/>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clear="all"/>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31"/>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项目支出</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212.97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159.66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53.30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2012601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2012604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档案馆</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18.64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18.64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clear="all"/>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31"/>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科目编码</w:t>
            </w:r>
          </w:p>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143.69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6.54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37.35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2.71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56.01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18.79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0.15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14.36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0.23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1.49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5.59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sz w:val="22"/>
                <w:szCs w:val="22"/>
                <w:highlight w:val="none"/>
                <w:lang w:eastAsia="zh-CN"/>
              </w:rPr>
            </w:pPr>
            <w:r>
              <w:rPr>
                <w:rFonts w:hint="default" w:ascii="宋体" w:hAnsi="宋体" w:eastAsia="宋体" w:cs="宋体"/>
                <w:color w:val="000000"/>
                <w:sz w:val="22"/>
                <w:szCs w:val="22"/>
                <w:highlight w:val="none"/>
                <w:lang w:bidi="ar"/>
              </w:rPr>
              <w:t>0.</w:t>
            </w:r>
            <w:r>
              <w:rPr>
                <w:rFonts w:hint="eastAsia" w:ascii="宋体" w:hAnsi="宋体" w:eastAsia="宋体" w:cs="宋体"/>
                <w:color w:val="000000"/>
                <w:sz w:val="22"/>
                <w:szCs w:val="22"/>
                <w:highlight w:val="none"/>
                <w:lang w:val="en-US" w:eastAsia="zh-CN" w:bidi="ar"/>
              </w:rPr>
              <w:t>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10.84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9.43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9.43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0.19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bidi="ar"/>
              </w:rPr>
              <w:t>1.</w:t>
            </w:r>
            <w:r>
              <w:rPr>
                <w:rFonts w:hint="eastAsia" w:ascii="宋体" w:hAnsi="宋体" w:eastAsia="宋体" w:cs="宋体"/>
                <w:color w:val="000000"/>
                <w:sz w:val="22"/>
                <w:szCs w:val="22"/>
                <w:highlight w:val="none"/>
                <w:lang w:val="en-US" w:eastAsia="zh-CN" w:bidi="ar"/>
              </w:rPr>
              <w:t>77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人员经费合计</w:t>
            </w:r>
            <w:bookmarkEnd w:id="0"/>
            <w:bookmarkEnd w:id="1"/>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bidi="ar"/>
              </w:rPr>
              <w:t>153.12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6.54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clear="all"/>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31"/>
        <w:tblW w:w="5025" w:type="pct"/>
        <w:tblInd w:w="0" w:type="dxa"/>
        <w:tblLayout w:type="autofit"/>
        <w:tblCellMar>
          <w:top w:w="0" w:type="dxa"/>
          <w:left w:w="108" w:type="dxa"/>
          <w:bottom w:w="0" w:type="dxa"/>
          <w:right w:w="108" w:type="dxa"/>
        </w:tblCellMar>
      </w:tblPr>
      <w:tblGrid>
        <w:gridCol w:w="1008"/>
        <w:gridCol w:w="368"/>
        <w:gridCol w:w="362"/>
        <w:gridCol w:w="1274"/>
        <w:gridCol w:w="1536"/>
        <w:gridCol w:w="1288"/>
        <w:gridCol w:w="1260"/>
        <w:gridCol w:w="1305"/>
        <w:gridCol w:w="1336"/>
        <w:gridCol w:w="11"/>
        <w:gridCol w:w="1619"/>
        <w:gridCol w:w="2878"/>
      </w:tblGrid>
      <w:tr>
        <w:tblPrEx>
          <w:tblCellMar>
            <w:top w:w="0" w:type="dxa"/>
            <w:left w:w="108" w:type="dxa"/>
            <w:bottom w:w="0" w:type="dxa"/>
            <w:right w:w="108" w:type="dxa"/>
          </w:tblCellMar>
        </w:tblPrEx>
        <w:trPr>
          <w:trHeight w:val="536" w:hRule="atLeast"/>
        </w:trPr>
        <w:tc>
          <w:tcPr>
            <w:tcW w:w="3989" w:type="pct"/>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政府性基金预算财政拨款收入支出决算表</w:t>
            </w:r>
          </w:p>
        </w:tc>
        <w:tc>
          <w:tcPr>
            <w:tcW w:w="101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32"/>
                <w:szCs w:val="32"/>
                <w:highlight w:val="none"/>
                <w:lang w:bidi="ar"/>
              </w:rPr>
            </w:pPr>
          </w:p>
        </w:tc>
      </w:tr>
      <w:tr>
        <w:tblPrEx>
          <w:tblCellMar>
            <w:top w:w="0" w:type="dxa"/>
            <w:left w:w="108" w:type="dxa"/>
            <w:bottom w:w="0" w:type="dxa"/>
            <w:right w:w="108" w:type="dxa"/>
          </w:tblCellMar>
        </w:tblPrEx>
        <w:trPr>
          <w:trHeight w:val="268" w:hRule="atLeast"/>
        </w:trPr>
        <w:tc>
          <w:tcPr>
            <w:tcW w:w="35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4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0"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w:t>
            </w:r>
            <w:r>
              <w:rPr>
                <w:rFonts w:hint="eastAsia" w:ascii="宋体" w:hAnsi="宋体" w:eastAsia="宋体" w:cs="宋体"/>
                <w:color w:val="000000"/>
                <w:sz w:val="20"/>
                <w:szCs w:val="20"/>
                <w:highlight w:val="none"/>
                <w:lang w:val="en-US" w:eastAsia="zh-CN" w:bidi="ar"/>
              </w:rPr>
              <w:t>7</w:t>
            </w:r>
            <w:r>
              <w:rPr>
                <w:rFonts w:hint="eastAsia" w:ascii="宋体" w:hAnsi="宋体" w:eastAsia="宋体" w:cs="宋体"/>
                <w:color w:val="000000"/>
                <w:sz w:val="20"/>
                <w:szCs w:val="20"/>
                <w:highlight w:val="none"/>
                <w:lang w:bidi="ar"/>
              </w:rPr>
              <w:t>表</w:t>
            </w:r>
          </w:p>
        </w:tc>
        <w:tc>
          <w:tcPr>
            <w:tcW w:w="1010"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sz w:val="20"/>
                <w:szCs w:val="20"/>
                <w:highlight w:val="none"/>
                <w:lang w:bidi="ar"/>
              </w:rPr>
            </w:pPr>
          </w:p>
        </w:tc>
      </w:tr>
      <w:tr>
        <w:tblPrEx>
          <w:tblCellMar>
            <w:top w:w="0" w:type="dxa"/>
            <w:left w:w="108" w:type="dxa"/>
            <w:bottom w:w="0" w:type="dxa"/>
            <w:right w:w="108" w:type="dxa"/>
          </w:tblCellMar>
        </w:tblPrEx>
        <w:trPr>
          <w:trHeight w:val="268" w:hRule="atLeast"/>
        </w:trPr>
        <w:tc>
          <w:tcPr>
            <w:tcW w:w="2490"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45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72"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7"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c>
          <w:tcPr>
            <w:tcW w:w="1010"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sz w:val="20"/>
                <w:szCs w:val="20"/>
                <w:highlight w:val="none"/>
                <w:lang w:bidi="ar"/>
              </w:rPr>
            </w:pPr>
          </w:p>
        </w:tc>
      </w:tr>
      <w:tr>
        <w:tblPrEx>
          <w:tblCellMar>
            <w:top w:w="0" w:type="dxa"/>
            <w:left w:w="108" w:type="dxa"/>
            <w:bottom w:w="0" w:type="dxa"/>
            <w:right w:w="108" w:type="dxa"/>
          </w:tblCellMar>
        </w:tblPrEx>
        <w:trPr>
          <w:trHeight w:val="277" w:hRule="atLeast"/>
        </w:trPr>
        <w:tc>
          <w:tcPr>
            <w:tcW w:w="10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年初结转和结余</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本年收入</w:t>
            </w:r>
          </w:p>
        </w:tc>
        <w:tc>
          <w:tcPr>
            <w:tcW w:w="1373" w:type="pct"/>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本年支出</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年末结转和结余</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2"/>
                <w:szCs w:val="22"/>
                <w:highlight w:val="none"/>
                <w:lang w:bidi="ar"/>
              </w:rPr>
            </w:pPr>
          </w:p>
        </w:tc>
      </w:tr>
      <w:tr>
        <w:tblPrEx>
          <w:tblCellMar>
            <w:top w:w="0" w:type="dxa"/>
            <w:left w:w="108" w:type="dxa"/>
            <w:bottom w:w="0" w:type="dxa"/>
            <w:right w:w="108" w:type="dxa"/>
          </w:tblCellMar>
        </w:tblPrEx>
        <w:trPr>
          <w:trHeight w:val="312" w:hRule="atLeast"/>
        </w:trPr>
        <w:tc>
          <w:tcPr>
            <w:tcW w:w="483"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功能分类科目编码</w:t>
            </w:r>
          </w:p>
        </w:tc>
        <w:tc>
          <w:tcPr>
            <w:tcW w:w="573"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1"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小计</w:t>
            </w:r>
          </w:p>
        </w:tc>
        <w:tc>
          <w:tcPr>
            <w:tcW w:w="458" w:type="pct"/>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基本支出</w:t>
            </w:r>
          </w:p>
        </w:tc>
        <w:tc>
          <w:tcPr>
            <w:tcW w:w="472"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项目支出</w:t>
            </w: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48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7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48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3"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41"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8"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7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7"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10"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77" w:hRule="atLeast"/>
        </w:trPr>
        <w:tc>
          <w:tcPr>
            <w:tcW w:w="10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3</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4</w:t>
            </w:r>
          </w:p>
        </w:tc>
        <w:tc>
          <w:tcPr>
            <w:tcW w:w="4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5</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6</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2"/>
                <w:szCs w:val="22"/>
                <w:highlight w:val="none"/>
                <w:lang w:bidi="ar"/>
              </w:rPr>
            </w:pPr>
          </w:p>
        </w:tc>
      </w:tr>
      <w:tr>
        <w:tblPrEx>
          <w:tblCellMar>
            <w:top w:w="0" w:type="dxa"/>
            <w:left w:w="108" w:type="dxa"/>
            <w:bottom w:w="0" w:type="dxa"/>
            <w:right w:w="108" w:type="dxa"/>
          </w:tblCellMar>
        </w:tblPrEx>
        <w:trPr>
          <w:trHeight w:val="277" w:hRule="atLeast"/>
        </w:trPr>
        <w:tc>
          <w:tcPr>
            <w:tcW w:w="10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color w:val="000000"/>
                <w:sz w:val="22"/>
                <w:szCs w:val="22"/>
                <w:highlight w:val="none"/>
              </w:rPr>
            </w:pPr>
          </w:p>
        </w:tc>
      </w:tr>
      <w:tr>
        <w:tblPrEx>
          <w:tblCellMar>
            <w:top w:w="0" w:type="dxa"/>
            <w:left w:w="108" w:type="dxa"/>
            <w:bottom w:w="0" w:type="dxa"/>
            <w:right w:w="108" w:type="dxa"/>
          </w:tblCellMar>
        </w:tblPrEx>
        <w:trPr>
          <w:trHeight w:val="277" w:hRule="atLeast"/>
        </w:trPr>
        <w:tc>
          <w:tcPr>
            <w:tcW w:w="4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4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7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83" w:hRule="atLeast"/>
        </w:trPr>
        <w:tc>
          <w:tcPr>
            <w:tcW w:w="3989" w:type="pct"/>
            <w:gridSpan w:val="11"/>
            <w:tcBorders>
              <w:top w:val="nil"/>
              <w:left w:val="nil"/>
              <w:bottom w:val="nil"/>
              <w:right w:val="nil"/>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注：</w:t>
            </w:r>
            <w:r>
              <w:rPr>
                <w:rFonts w:hint="eastAsia" w:ascii="宋体" w:hAnsi="宋体" w:eastAsia="宋体" w:cs="宋体"/>
                <w:color w:val="auto"/>
                <w:sz w:val="21"/>
                <w:szCs w:val="21"/>
                <w:lang w:val="en-US" w:eastAsia="zh-CN" w:bidi="ar"/>
              </w:rPr>
              <w:t>本部门</w:t>
            </w:r>
            <w:r>
              <w:rPr>
                <w:rFonts w:hint="default" w:ascii="Times New Roman" w:hAnsi="Times New Roman" w:eastAsia="宋体" w:cs="Times New Roman"/>
                <w:color w:val="auto"/>
                <w:sz w:val="21"/>
                <w:szCs w:val="21"/>
                <w:lang w:val="en-US" w:eastAsia="zh-CN" w:bidi="ar"/>
              </w:rPr>
              <w:t>202</w:t>
            </w:r>
            <w:r>
              <w:rPr>
                <w:rFonts w:hint="eastAsia" w:ascii="Times New Roman" w:hAnsi="Times New Roman" w:eastAsia="宋体" w:cs="Times New Roman"/>
                <w:color w:val="auto"/>
                <w:sz w:val="21"/>
                <w:szCs w:val="21"/>
                <w:lang w:val="en-US" w:eastAsia="zh-CN" w:bidi="ar"/>
              </w:rPr>
              <w:t>3</w:t>
            </w:r>
            <w:r>
              <w:rPr>
                <w:rFonts w:hint="eastAsia" w:ascii="宋体" w:hAnsi="宋体" w:eastAsia="宋体" w:cs="宋体"/>
                <w:color w:val="auto"/>
                <w:sz w:val="21"/>
                <w:szCs w:val="21"/>
                <w:lang w:val="en-US" w:eastAsia="zh-CN" w:bidi="ar"/>
              </w:rPr>
              <w:t>年度没有政府性基金预算财政拨款收入，也没有政府性基金预算财政拨款安排的支出，故本表无数据。</w:t>
            </w:r>
          </w:p>
        </w:tc>
        <w:tc>
          <w:tcPr>
            <w:tcW w:w="101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clear="all"/>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31"/>
        <w:tblW w:w="14036" w:type="dxa"/>
        <w:tblInd w:w="0" w:type="dxa"/>
        <w:tblLayout w:type="fixed"/>
        <w:tblCellMar>
          <w:top w:w="0" w:type="dxa"/>
          <w:left w:w="108" w:type="dxa"/>
          <w:bottom w:w="0" w:type="dxa"/>
          <w:right w:w="108" w:type="dxa"/>
        </w:tblCellMar>
      </w:tblPr>
      <w:tblGrid>
        <w:gridCol w:w="96"/>
        <w:gridCol w:w="1438"/>
        <w:gridCol w:w="200"/>
        <w:gridCol w:w="501"/>
        <w:gridCol w:w="285"/>
        <w:gridCol w:w="363"/>
        <w:gridCol w:w="76"/>
        <w:gridCol w:w="1094"/>
        <w:gridCol w:w="790"/>
        <w:gridCol w:w="369"/>
        <w:gridCol w:w="1133"/>
        <w:gridCol w:w="1040"/>
        <w:gridCol w:w="451"/>
        <w:gridCol w:w="615"/>
        <w:gridCol w:w="1161"/>
        <w:gridCol w:w="1053"/>
        <w:gridCol w:w="306"/>
        <w:gridCol w:w="842"/>
        <w:gridCol w:w="1133"/>
        <w:gridCol w:w="1073"/>
        <w:gridCol w:w="17"/>
      </w:tblGrid>
      <w:tr>
        <w:tblPrEx>
          <w:tblCellMar>
            <w:top w:w="0" w:type="dxa"/>
            <w:left w:w="108" w:type="dxa"/>
            <w:bottom w:w="0" w:type="dxa"/>
            <w:right w:w="108" w:type="dxa"/>
          </w:tblCellMar>
        </w:tblPrEx>
        <w:trPr>
          <w:gridBefore w:val="1"/>
          <w:wBefore w:w="96" w:type="dxa"/>
          <w:trHeight w:val="384" w:hRule="atLeast"/>
        </w:trPr>
        <w:tc>
          <w:tcPr>
            <w:tcW w:w="13940" w:type="dxa"/>
            <w:gridSpan w:val="2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国有资本经营预算财政拨款支出决算表</w:t>
            </w:r>
          </w:p>
        </w:tc>
      </w:tr>
      <w:tr>
        <w:tblPrEx>
          <w:tblCellMar>
            <w:top w:w="0" w:type="dxa"/>
            <w:left w:w="108" w:type="dxa"/>
            <w:bottom w:w="0" w:type="dxa"/>
            <w:right w:w="108" w:type="dxa"/>
          </w:tblCellMar>
        </w:tblPrEx>
        <w:trPr>
          <w:gridBefore w:val="1"/>
          <w:wBefore w:w="96" w:type="dxa"/>
          <w:trHeight w:val="264" w:hRule="atLeast"/>
        </w:trPr>
        <w:tc>
          <w:tcPr>
            <w:tcW w:w="2139"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gridSpan w:val="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w:t>
            </w:r>
            <w:r>
              <w:rPr>
                <w:rFonts w:hint="eastAsia" w:ascii="宋体" w:hAnsi="宋体" w:eastAsia="宋体" w:cs="宋体"/>
                <w:color w:val="000000"/>
                <w:sz w:val="20"/>
                <w:szCs w:val="20"/>
                <w:highlight w:val="none"/>
                <w:lang w:val="en-US" w:eastAsia="zh-CN" w:bidi="ar"/>
              </w:rPr>
              <w:t>8</w:t>
            </w:r>
            <w:r>
              <w:rPr>
                <w:rFonts w:hint="eastAsia" w:ascii="宋体" w:hAnsi="宋体" w:eastAsia="宋体" w:cs="宋体"/>
                <w:color w:val="000000"/>
                <w:sz w:val="20"/>
                <w:szCs w:val="20"/>
                <w:highlight w:val="none"/>
                <w:lang w:bidi="ar"/>
              </w:rPr>
              <w:t>表</w:t>
            </w:r>
          </w:p>
        </w:tc>
      </w:tr>
      <w:tr>
        <w:tblPrEx>
          <w:tblCellMar>
            <w:top w:w="0" w:type="dxa"/>
            <w:left w:w="108" w:type="dxa"/>
            <w:bottom w:w="0" w:type="dxa"/>
            <w:right w:w="108" w:type="dxa"/>
          </w:tblCellMar>
        </w:tblPrEx>
        <w:trPr>
          <w:gridBefore w:val="1"/>
          <w:wBefore w:w="96" w:type="dxa"/>
          <w:trHeight w:val="264" w:hRule="atLeast"/>
        </w:trPr>
        <w:tc>
          <w:tcPr>
            <w:tcW w:w="774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3135" w:type="dxa"/>
            <w:gridSpan w:val="4"/>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gridSpan w:val="4"/>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gridBefore w:val="1"/>
          <w:wBefore w:w="96" w:type="dxa"/>
          <w:trHeight w:val="308" w:hRule="atLeast"/>
        </w:trPr>
        <w:tc>
          <w:tcPr>
            <w:tcW w:w="47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w:t>
            </w:r>
          </w:p>
        </w:tc>
        <w:tc>
          <w:tcPr>
            <w:tcW w:w="9193" w:type="dxa"/>
            <w:gridSpan w:val="12"/>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本年支出</w:t>
            </w:r>
          </w:p>
        </w:tc>
      </w:tr>
      <w:tr>
        <w:tblPrEx>
          <w:tblCellMar>
            <w:top w:w="0" w:type="dxa"/>
            <w:left w:w="108" w:type="dxa"/>
            <w:bottom w:w="0" w:type="dxa"/>
            <w:right w:w="108" w:type="dxa"/>
          </w:tblCellMar>
        </w:tblPrEx>
        <w:trPr>
          <w:gridBefore w:val="1"/>
          <w:wBefore w:w="96" w:type="dxa"/>
          <w:trHeight w:val="312" w:hRule="atLeast"/>
        </w:trPr>
        <w:tc>
          <w:tcPr>
            <w:tcW w:w="1638"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功能分类科目编码</w:t>
            </w:r>
          </w:p>
        </w:tc>
        <w:tc>
          <w:tcPr>
            <w:tcW w:w="3109" w:type="dxa"/>
            <w:gridSpan w:val="6"/>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科目名称</w:t>
            </w:r>
          </w:p>
        </w:tc>
        <w:tc>
          <w:tcPr>
            <w:tcW w:w="2993" w:type="dxa"/>
            <w:gridSpan w:val="4"/>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3135" w:type="dxa"/>
            <w:gridSpan w:val="4"/>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基本支出</w:t>
            </w:r>
          </w:p>
        </w:tc>
        <w:tc>
          <w:tcPr>
            <w:tcW w:w="3065" w:type="dxa"/>
            <w:gridSpan w:val="4"/>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项目支出</w:t>
            </w:r>
          </w:p>
        </w:tc>
      </w:tr>
      <w:tr>
        <w:tblPrEx>
          <w:tblCellMar>
            <w:top w:w="0" w:type="dxa"/>
            <w:left w:w="108" w:type="dxa"/>
            <w:bottom w:w="0" w:type="dxa"/>
            <w:right w:w="108" w:type="dxa"/>
          </w:tblCellMar>
        </w:tblPrEx>
        <w:trPr>
          <w:gridBefore w:val="1"/>
          <w:wBefore w:w="96" w:type="dxa"/>
          <w:trHeight w:val="308" w:hRule="atLeast"/>
        </w:trPr>
        <w:tc>
          <w:tcPr>
            <w:tcW w:w="4747"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栏次</w:t>
            </w:r>
          </w:p>
        </w:tc>
        <w:tc>
          <w:tcPr>
            <w:tcW w:w="2993"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w:t>
            </w:r>
          </w:p>
        </w:tc>
        <w:tc>
          <w:tcPr>
            <w:tcW w:w="313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c>
          <w:tcPr>
            <w:tcW w:w="3065"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3</w:t>
            </w:r>
          </w:p>
        </w:tc>
      </w:tr>
      <w:tr>
        <w:tblPrEx>
          <w:tblCellMar>
            <w:top w:w="0" w:type="dxa"/>
            <w:left w:w="108" w:type="dxa"/>
            <w:bottom w:w="0" w:type="dxa"/>
            <w:right w:w="108" w:type="dxa"/>
          </w:tblCellMar>
        </w:tblPrEx>
        <w:trPr>
          <w:gridBefore w:val="1"/>
          <w:wBefore w:w="96" w:type="dxa"/>
          <w:trHeight w:val="308" w:hRule="atLeast"/>
        </w:trPr>
        <w:tc>
          <w:tcPr>
            <w:tcW w:w="4747"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2993"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Before w:val="1"/>
          <w:wBefore w:w="96" w:type="dxa"/>
          <w:trHeight w:val="308" w:hRule="atLeast"/>
        </w:trPr>
        <w:tc>
          <w:tcPr>
            <w:tcW w:w="1638"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6"/>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Before w:val="1"/>
          <w:wBefore w:w="96" w:type="dxa"/>
          <w:trHeight w:val="308" w:hRule="atLeast"/>
        </w:trPr>
        <w:tc>
          <w:tcPr>
            <w:tcW w:w="13940" w:type="dxa"/>
            <w:gridSpan w:val="2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注</w:t>
            </w:r>
            <w:r>
              <w:rPr>
                <w:rFonts w:hint="eastAsia" w:ascii="宋体" w:hAnsi="宋体" w:eastAsia="宋体" w:cs="宋体"/>
                <w:color w:val="auto"/>
                <w:sz w:val="22"/>
                <w:szCs w:val="22"/>
                <w:highlight w:val="none"/>
                <w:lang w:bidi="ar"/>
              </w:rPr>
              <w:t>：</w:t>
            </w:r>
            <w:r>
              <w:rPr>
                <w:rFonts w:hint="eastAsia" w:ascii="宋体" w:hAnsi="宋体" w:eastAsia="宋体" w:cs="宋体"/>
                <w:color w:val="auto"/>
                <w:sz w:val="21"/>
                <w:szCs w:val="21"/>
                <w:lang w:val="en-US" w:eastAsia="zh-CN" w:bidi="ar"/>
              </w:rPr>
              <w:t>本部门</w:t>
            </w:r>
            <w:r>
              <w:rPr>
                <w:rFonts w:hint="default" w:ascii="Times New Roman" w:hAnsi="Times New Roman" w:eastAsia="宋体" w:cs="Times New Roman"/>
                <w:color w:val="auto"/>
                <w:sz w:val="21"/>
                <w:szCs w:val="21"/>
                <w:lang w:val="en-US" w:eastAsia="zh-CN" w:bidi="ar"/>
              </w:rPr>
              <w:t>202</w:t>
            </w:r>
            <w:r>
              <w:rPr>
                <w:rFonts w:hint="eastAsia" w:ascii="Times New Roman" w:hAnsi="Times New Roman" w:eastAsia="宋体" w:cs="Times New Roman"/>
                <w:color w:val="auto"/>
                <w:sz w:val="21"/>
                <w:szCs w:val="21"/>
                <w:lang w:val="en-US" w:eastAsia="zh-CN" w:bidi="ar"/>
              </w:rPr>
              <w:t>3</w:t>
            </w:r>
            <w:r>
              <w:rPr>
                <w:rFonts w:hint="eastAsia" w:ascii="宋体" w:hAnsi="宋体" w:eastAsia="宋体" w:cs="宋体"/>
                <w:color w:val="auto"/>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2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lang w:val="en-US" w:eastAsia="zh-CN"/>
              </w:rPr>
            </w:pP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30"/>
                <w:szCs w:val="30"/>
                <w:highlight w:val="none"/>
                <w:lang w:bidi="ar"/>
              </w:rPr>
            </w:pPr>
          </w:p>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30"/>
                <w:szCs w:val="30"/>
                <w:highlight w:val="none"/>
              </w:rPr>
            </w:pPr>
            <w:r>
              <w:rPr>
                <w:rFonts w:hint="eastAsia" w:ascii="宋体" w:hAnsi="宋体" w:eastAsia="宋体" w:cs="宋体"/>
                <w:color w:val="00000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gridSpan w:val="5"/>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公开0</w:t>
            </w:r>
            <w:r>
              <w:rPr>
                <w:rFonts w:hint="eastAsia" w:ascii="宋体" w:hAnsi="宋体" w:eastAsia="宋体" w:cs="宋体"/>
                <w:color w:val="000000"/>
                <w:sz w:val="20"/>
                <w:szCs w:val="20"/>
                <w:highlight w:val="none"/>
                <w:lang w:val="en-US" w:eastAsia="zh-CN" w:bidi="ar"/>
              </w:rPr>
              <w:t>9</w:t>
            </w:r>
            <w:r>
              <w:rPr>
                <w:rFonts w:hint="eastAsia" w:ascii="宋体" w:hAnsi="宋体" w:eastAsia="宋体" w:cs="宋体"/>
                <w:color w:val="00000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sz w:val="20"/>
                <w:szCs w:val="20"/>
                <w:highlight w:val="none"/>
                <w:lang w:bidi="ar"/>
              </w:rPr>
              <w:t>部门：</w:t>
            </w:r>
            <w:r>
              <w:rPr>
                <w:rFonts w:hint="default" w:ascii="宋体" w:hAnsi="宋体" w:eastAsia="宋体" w:cs="宋体"/>
                <w:color w:val="000000"/>
                <w:sz w:val="20"/>
              </w:rPr>
              <w:t>广西河池市环江毛南族自治县档案馆</w:t>
            </w:r>
          </w:p>
        </w:tc>
        <w:tc>
          <w:tcPr>
            <w:tcW w:w="106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0"/>
                <w:szCs w:val="20"/>
                <w:highlight w:val="none"/>
              </w:rPr>
            </w:pPr>
            <w:r>
              <w:rPr>
                <w:rFonts w:hint="eastAsia" w:ascii="宋体" w:hAnsi="宋体" w:eastAsia="宋体" w:cs="宋体"/>
                <w:color w:val="00000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预算数</w:t>
            </w:r>
          </w:p>
        </w:tc>
        <w:tc>
          <w:tcPr>
            <w:tcW w:w="6634" w:type="dxa"/>
            <w:gridSpan w:val="8"/>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1425" w:type="dxa"/>
            <w:gridSpan w:val="5"/>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因公出国（境）费</w:t>
            </w:r>
          </w:p>
        </w:tc>
        <w:tc>
          <w:tcPr>
            <w:tcW w:w="3386" w:type="dxa"/>
            <w:gridSpan w:val="4"/>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公务接待费</w:t>
            </w:r>
          </w:p>
        </w:tc>
        <w:tc>
          <w:tcPr>
            <w:tcW w:w="1066"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因公出国（境）费</w:t>
            </w:r>
          </w:p>
        </w:tc>
        <w:tc>
          <w:tcPr>
            <w:tcW w:w="3334" w:type="dxa"/>
            <w:gridSpan w:val="4"/>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gridSpan w:val="5"/>
            <w:vMerge w:val="continue"/>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小计</w:t>
            </w:r>
          </w:p>
        </w:tc>
        <w:tc>
          <w:tcPr>
            <w:tcW w:w="1159" w:type="dxa"/>
            <w:gridSpan w:val="2"/>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gridSpan w:val="2"/>
            <w:vMerge w:val="continue"/>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小计</w:t>
            </w:r>
          </w:p>
        </w:tc>
        <w:tc>
          <w:tcPr>
            <w:tcW w:w="1148" w:type="dxa"/>
            <w:gridSpan w:val="2"/>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1</w:t>
            </w:r>
          </w:p>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gridSpan w:val="5"/>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3</w:t>
            </w:r>
          </w:p>
        </w:tc>
        <w:tc>
          <w:tcPr>
            <w:tcW w:w="1159" w:type="dxa"/>
            <w:gridSpan w:val="2"/>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6</w:t>
            </w:r>
          </w:p>
        </w:tc>
        <w:tc>
          <w:tcPr>
            <w:tcW w:w="1066" w:type="dxa"/>
            <w:gridSpan w:val="2"/>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9</w:t>
            </w:r>
          </w:p>
        </w:tc>
        <w:tc>
          <w:tcPr>
            <w:tcW w:w="1148" w:type="dxa"/>
            <w:gridSpan w:val="2"/>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425" w:type="dxa"/>
            <w:gridSpan w:val="5"/>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06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gridSpan w:val="2"/>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20"/>
            <w:tcBorders>
              <w:top w:val="nil"/>
              <w:left w:val="nil"/>
              <w:bottom w:val="nil"/>
              <w:right w:val="nil"/>
            </w:tcBorders>
            <w:shd w:val="clear" w:color="auto" w:fill="auto"/>
            <w:noWrap w:val="0"/>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sz w:val="22"/>
                <w:szCs w:val="22"/>
                <w:highlight w:val="none"/>
                <w:lang w:bidi="ar"/>
              </w:rPr>
            </w:pPr>
            <w:r>
              <w:rPr>
                <w:rFonts w:hint="eastAsia" w:ascii="宋体" w:hAnsi="宋体" w:eastAsia="宋体" w:cs="宋体"/>
                <w:color w:val="000000"/>
                <w:sz w:val="22"/>
                <w:szCs w:val="22"/>
                <w:highlight w:val="none"/>
                <w:lang w:bidi="ar"/>
              </w:rPr>
              <w:t>注</w:t>
            </w:r>
            <w:r>
              <w:rPr>
                <w:rFonts w:hint="eastAsia" w:ascii="宋体" w:hAnsi="宋体" w:eastAsia="宋体" w:cs="宋体"/>
                <w:color w:val="auto"/>
                <w:sz w:val="22"/>
                <w:szCs w:val="22"/>
                <w:highlight w:val="none"/>
                <w:lang w:bidi="ar"/>
              </w:rPr>
              <w:t>：</w:t>
            </w:r>
            <w:r>
              <w:rPr>
                <w:rFonts w:hint="eastAsia" w:ascii="宋体" w:hAnsi="宋体" w:eastAsia="宋体" w:cs="宋体"/>
                <w:color w:val="auto"/>
                <w:sz w:val="21"/>
                <w:szCs w:val="21"/>
                <w:lang w:val="en-US" w:eastAsia="zh-CN" w:bidi="ar"/>
              </w:rPr>
              <w:t>本部门</w:t>
            </w:r>
            <w:r>
              <w:rPr>
                <w:rFonts w:hint="default" w:ascii="Times New Roman" w:hAnsi="Times New Roman" w:eastAsia="宋体" w:cs="Times New Roman"/>
                <w:color w:val="auto"/>
                <w:sz w:val="21"/>
                <w:szCs w:val="21"/>
                <w:lang w:val="en-US" w:eastAsia="zh-CN" w:bidi="ar"/>
              </w:rPr>
              <w:t>202</w:t>
            </w:r>
            <w:r>
              <w:rPr>
                <w:rFonts w:hint="eastAsia" w:ascii="Times New Roman" w:hAnsi="Times New Roman" w:eastAsia="宋体" w:cs="Times New Roman"/>
                <w:color w:val="auto"/>
                <w:sz w:val="21"/>
                <w:szCs w:val="21"/>
                <w:lang w:val="en-US" w:eastAsia="zh-CN" w:bidi="ar"/>
              </w:rPr>
              <w:t>3</w:t>
            </w:r>
            <w:r>
              <w:rPr>
                <w:rFonts w:hint="eastAsia" w:ascii="宋体" w:hAnsi="宋体" w:eastAsia="宋体" w:cs="宋体"/>
                <w:color w:val="auto"/>
                <w:sz w:val="21"/>
                <w:szCs w:val="21"/>
                <w:lang w:val="en-US" w:eastAsia="zh-CN" w:bidi="ar"/>
              </w:rPr>
              <w:t>年度没有财政拨款“三公”经费收入，也没有财政拨款“三公”经费安排的支出，故本表无数据。</w:t>
            </w:r>
          </w:p>
        </w:tc>
      </w:tr>
    </w:tbl>
    <w:p>
      <w:pPr>
        <w:ind w:firstLine="420"/>
        <w:jc w:val="left"/>
        <w:rPr>
          <w:rFonts w:ascii="仿宋" w:hAnsi="仿宋" w:eastAsia="仿宋" w:cs="仿宋"/>
          <w:sz w:val="24"/>
          <w:highlight w:val="none"/>
        </w:rPr>
        <w:sectPr>
          <w:pgSz w:w="16838" w:h="11906"/>
          <w:pgMar w:top="1800" w:right="1440" w:bottom="1800" w:left="1440" w:header="851" w:footer="992" w:gutter="0"/>
          <w:cols w:space="425" w:num="1"/>
        </w:sect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rPr>
        <w:t>环江毛南族自治县档案馆</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keepNext w:val="0"/>
        <w:keepLines w:val="0"/>
        <w:pageBreakBefore w:val="0"/>
        <w:widowControl w:val="0"/>
        <w:spacing w:line="560" w:lineRule="exact"/>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年度收入支出决算总体情况</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（一）本部门202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年度总收入</w:t>
      </w:r>
      <w:r>
        <w:rPr>
          <w:rFonts w:hint="eastAsia" w:ascii="仿宋" w:hAnsi="仿宋" w:eastAsia="仿宋" w:cs="仿宋"/>
          <w:sz w:val="32"/>
          <w:lang w:val="en-US" w:eastAsia="zh-CN"/>
        </w:rPr>
        <w:t>212.97</w:t>
      </w:r>
      <w:r>
        <w:rPr>
          <w:rFonts w:hint="eastAsia" w:ascii="仿宋" w:hAnsi="仿宋" w:eastAsia="仿宋" w:cs="仿宋"/>
          <w:sz w:val="32"/>
          <w:szCs w:val="32"/>
          <w:highlight w:val="none"/>
        </w:rPr>
        <w:t>万元，</w:t>
      </w:r>
      <w:r>
        <w:rPr>
          <w:rFonts w:hint="eastAsia" w:ascii="仿宋_GB2312" w:eastAsia="仿宋_GB2312" w:cs="仿宋_GB2312"/>
          <w:kern w:val="0"/>
          <w:sz w:val="32"/>
          <w:szCs w:val="32"/>
        </w:rPr>
        <w:t>其中本年收入</w:t>
      </w:r>
      <w:r>
        <w:rPr>
          <w:rFonts w:hint="eastAsia" w:ascii="仿宋_GB2312" w:eastAsia="仿宋_GB2312" w:cs="仿宋_GB2312"/>
          <w:kern w:val="0"/>
          <w:sz w:val="32"/>
          <w:szCs w:val="32"/>
          <w:lang w:val="en-US" w:eastAsia="zh-CN"/>
        </w:rPr>
        <w:t>212.97</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rPr>
        <w:t>增加</w:t>
      </w:r>
      <w:r>
        <w:rPr>
          <w:rFonts w:hint="eastAsia" w:ascii="仿宋" w:hAnsi="仿宋" w:eastAsia="仿宋" w:cs="仿宋"/>
          <w:sz w:val="32"/>
          <w:lang w:val="en-US" w:eastAsia="zh-CN"/>
        </w:rPr>
        <w:t>40.69</w:t>
      </w:r>
      <w:r>
        <w:rPr>
          <w:rFonts w:hint="eastAsia" w:ascii="仿宋" w:hAnsi="仿宋" w:eastAsia="仿宋" w:cs="仿宋"/>
          <w:sz w:val="32"/>
          <w:szCs w:val="32"/>
          <w:highlight w:val="none"/>
        </w:rPr>
        <w:t>万元，</w:t>
      </w:r>
      <w:r>
        <w:rPr>
          <w:rFonts w:ascii="仿宋" w:hAnsi="仿宋" w:eastAsia="仿宋" w:cs="仿宋"/>
          <w:sz w:val="32"/>
        </w:rPr>
        <w:t>增长</w:t>
      </w:r>
      <w:r>
        <w:rPr>
          <w:rFonts w:hint="eastAsia" w:ascii="仿宋" w:hAnsi="仿宋" w:eastAsia="仿宋" w:cs="仿宋"/>
          <w:sz w:val="32"/>
          <w:lang w:val="en-US" w:eastAsia="zh-CN"/>
        </w:rPr>
        <w:t>19.11</w:t>
      </w:r>
      <w:r>
        <w:rPr>
          <w:rFonts w:ascii="仿宋" w:hAnsi="仿宋" w:eastAsia="仿宋" w:cs="仿宋"/>
          <w:sz w:val="32"/>
        </w:rPr>
        <w:t>%</w:t>
      </w:r>
      <w:r>
        <w:rPr>
          <w:rFonts w:hint="eastAsia" w:ascii="仿宋" w:hAnsi="仿宋" w:eastAsia="仿宋" w:cs="仿宋"/>
          <w:sz w:val="32"/>
          <w:szCs w:val="32"/>
          <w:highlight w:val="none"/>
        </w:rPr>
        <w:t>。收入具体情况如下。</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Times New Roman"/>
          <w:sz w:val="32"/>
          <w:szCs w:val="32"/>
          <w:highlight w:val="none"/>
          <w:lang w:val="en-US"/>
        </w:rPr>
      </w:pPr>
      <w:r>
        <w:rPr>
          <w:rFonts w:hint="eastAsia" w:ascii="仿宋" w:hAnsi="仿宋" w:eastAsia="仿宋" w:cs="仿宋"/>
          <w:sz w:val="32"/>
          <w:szCs w:val="32"/>
          <w:highlight w:val="none"/>
          <w:lang w:val="en-US" w:eastAsia="zh-CN" w:bidi="ar"/>
        </w:rPr>
        <w:t>1.一般公共预算财政拨款收入</w:t>
      </w:r>
      <w:r>
        <w:rPr>
          <w:rFonts w:hint="eastAsia" w:ascii="仿宋" w:hAnsi="仿宋" w:eastAsia="仿宋" w:cs="仿宋"/>
          <w:sz w:val="32"/>
          <w:lang w:val="en-US" w:eastAsia="zh-CN"/>
        </w:rPr>
        <w:t>212.97</w:t>
      </w:r>
      <w:r>
        <w:rPr>
          <w:rFonts w:hint="eastAsia" w:ascii="仿宋" w:hAnsi="仿宋" w:eastAsia="仿宋" w:cs="仿宋"/>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val="en-US" w:eastAsia="zh-CN" w:bidi="ar"/>
        </w:rPr>
        <w:t>本级财政当年拨付的资金。较2022年度决算数</w:t>
      </w:r>
      <w:r>
        <w:rPr>
          <w:rFonts w:ascii="仿宋" w:hAnsi="仿宋" w:eastAsia="仿宋" w:cs="仿宋"/>
          <w:sz w:val="32"/>
        </w:rPr>
        <w:t>增加</w:t>
      </w:r>
      <w:r>
        <w:rPr>
          <w:rFonts w:hint="eastAsia" w:ascii="仿宋" w:hAnsi="仿宋" w:eastAsia="仿宋" w:cs="仿宋"/>
          <w:sz w:val="32"/>
          <w:lang w:val="en-US" w:eastAsia="zh-CN"/>
        </w:rPr>
        <w:t>40.69</w:t>
      </w:r>
      <w:r>
        <w:rPr>
          <w:rFonts w:hint="eastAsia" w:ascii="仿宋" w:hAnsi="仿宋" w:eastAsia="仿宋" w:cs="仿宋"/>
          <w:sz w:val="32"/>
          <w:szCs w:val="32"/>
          <w:highlight w:val="none"/>
          <w:lang w:val="en-US" w:eastAsia="zh-CN" w:bidi="ar"/>
        </w:rPr>
        <w:t>万元，</w:t>
      </w:r>
      <w:r>
        <w:rPr>
          <w:rFonts w:ascii="仿宋" w:hAnsi="仿宋" w:eastAsia="仿宋" w:cs="仿宋"/>
          <w:sz w:val="32"/>
        </w:rPr>
        <w:t>增长</w:t>
      </w:r>
      <w:r>
        <w:rPr>
          <w:rFonts w:hint="eastAsia" w:ascii="仿宋" w:hAnsi="仿宋" w:eastAsia="仿宋" w:cs="仿宋"/>
          <w:sz w:val="32"/>
          <w:lang w:val="en-US" w:eastAsia="zh-CN"/>
        </w:rPr>
        <w:t>19.11</w:t>
      </w:r>
      <w:r>
        <w:rPr>
          <w:rFonts w:ascii="仿宋" w:hAnsi="仿宋" w:eastAsia="仿宋" w:cs="仿宋"/>
          <w:sz w:val="32"/>
        </w:rPr>
        <w:t>%</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spacing w:val="0"/>
          <w:sz w:val="32"/>
          <w:szCs w:val="32"/>
        </w:rPr>
        <w:t>主要原因是人员</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sz w:val="32"/>
          <w:szCs w:val="32"/>
        </w:rPr>
        <w:t>，人员经费</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sz w:val="32"/>
          <w:szCs w:val="32"/>
        </w:rPr>
        <w:t>。</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宋体" w:hAnsi="宋体" w:eastAsia="宋体" w:cs="宋体"/>
          <w:color w:val="auto"/>
          <w:sz w:val="21"/>
          <w:szCs w:val="21"/>
          <w:lang w:val="en-US" w:eastAsia="zh-CN" w:bidi="ar"/>
        </w:rPr>
      </w:pPr>
      <w:r>
        <w:rPr>
          <w:rFonts w:hint="eastAsia" w:ascii="仿宋" w:hAnsi="仿宋" w:eastAsia="仿宋" w:cs="仿宋"/>
          <w:sz w:val="32"/>
          <w:szCs w:val="32"/>
          <w:highlight w:val="none"/>
          <w:lang w:val="en-US" w:eastAsia="zh-CN" w:bidi="ar"/>
        </w:rPr>
        <w:t>2.政府性基金预算财政拨款收入</w:t>
      </w:r>
      <w:r>
        <w:rPr>
          <w:rFonts w:ascii="仿宋" w:hAnsi="仿宋" w:eastAsia="仿宋" w:cs="仿宋"/>
          <w:sz w:val="32"/>
        </w:rPr>
        <w:t>0.00</w:t>
      </w:r>
      <w:r>
        <w:rPr>
          <w:rFonts w:hint="eastAsia" w:ascii="仿宋" w:hAnsi="仿宋" w:eastAsia="仿宋" w:cs="仿宋"/>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val="en-US" w:eastAsia="zh-CN"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highlight w:val="none"/>
          <w:lang w:val="en-US" w:eastAsia="zh-CN" w:bidi="ar"/>
        </w:rPr>
        <w:t>万元，</w:t>
      </w:r>
      <w:r>
        <w:rPr>
          <w:rFonts w:ascii="仿宋" w:hAnsi="仿宋" w:eastAsia="仿宋" w:cs="仿宋"/>
          <w:sz w:val="32"/>
        </w:rPr>
        <w:t>增长0%</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w:t>
      </w:r>
      <w:r>
        <w:rPr>
          <w:rFonts w:hint="eastAsia" w:ascii="仿宋" w:hAnsi="仿宋" w:eastAsia="仿宋" w:cs="仿宋"/>
          <w:sz w:val="32"/>
          <w:szCs w:val="32"/>
          <w:highlight w:val="none"/>
          <w:lang w:val="en-US" w:eastAsia="zh-CN"/>
        </w:rPr>
        <w:t>3年度没有政府性基金预算财政拨款收入，也没有政府性基金预算财政拨款安排的支出。</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bidi="ar"/>
        </w:rPr>
        <w:t>3.国有资本经营预算财政拨款收入</w:t>
      </w:r>
      <w:r>
        <w:rPr>
          <w:rFonts w:ascii="仿宋" w:hAnsi="仿宋" w:eastAsia="仿宋" w:cs="仿宋"/>
          <w:sz w:val="32"/>
        </w:rPr>
        <w:t>0.00</w:t>
      </w:r>
      <w:r>
        <w:rPr>
          <w:rFonts w:hint="eastAsia" w:ascii="仿宋" w:hAnsi="仿宋" w:eastAsia="仿宋" w:cs="仿宋"/>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sz w:val="32"/>
          <w:szCs w:val="32"/>
          <w:highlight w:val="none"/>
          <w:lang w:val="en-US" w:eastAsia="zh-CN"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highlight w:val="none"/>
          <w:lang w:val="en-US" w:eastAsia="zh-CN" w:bidi="ar"/>
        </w:rPr>
        <w:t>万元,</w:t>
      </w:r>
      <w:r>
        <w:rPr>
          <w:rFonts w:ascii="仿宋" w:hAnsi="仿宋" w:eastAsia="仿宋" w:cs="仿宋"/>
          <w:sz w:val="32"/>
        </w:rPr>
        <w:t>增长0%</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w:t>
      </w:r>
      <w:r>
        <w:rPr>
          <w:rFonts w:hint="eastAsia" w:ascii="仿宋" w:hAnsi="仿宋" w:eastAsia="仿宋" w:cs="仿宋"/>
          <w:sz w:val="32"/>
          <w:szCs w:val="32"/>
          <w:highlight w:val="none"/>
          <w:lang w:val="en-US" w:eastAsia="zh-CN"/>
        </w:rPr>
        <w:t>3年度没有国有资本经营预算财政拨款收入，也没有国有资本经营预算财政拨款安排的支出，故本表无数据。</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bidi="ar"/>
        </w:rPr>
        <w:t>4.上级补助收入</w:t>
      </w:r>
      <w:r>
        <w:rPr>
          <w:rFonts w:ascii="仿宋" w:hAnsi="仿宋" w:eastAsia="仿宋" w:cs="仿宋"/>
          <w:sz w:val="32"/>
        </w:rPr>
        <w:t>0.00</w:t>
      </w:r>
      <w:r>
        <w:rPr>
          <w:rFonts w:hint="eastAsia" w:ascii="仿宋" w:hAnsi="仿宋" w:eastAsia="仿宋" w:cs="仿宋"/>
          <w:sz w:val="32"/>
          <w:szCs w:val="32"/>
          <w:highlight w:val="none"/>
          <w:lang w:val="en-US" w:eastAsia="zh-CN" w:bidi="ar"/>
        </w:rPr>
        <w:t>万元，为上级部门当年拨付的资金。较2022年度决算数</w:t>
      </w:r>
      <w:r>
        <w:rPr>
          <w:rFonts w:ascii="仿宋" w:hAnsi="仿宋" w:eastAsia="仿宋" w:cs="仿宋"/>
          <w:sz w:val="32"/>
        </w:rPr>
        <w:t>增加0.00</w:t>
      </w:r>
      <w:r>
        <w:rPr>
          <w:rFonts w:hint="eastAsia" w:ascii="仿宋" w:hAnsi="仿宋" w:eastAsia="仿宋" w:cs="仿宋"/>
          <w:sz w:val="32"/>
          <w:szCs w:val="32"/>
          <w:highlight w:val="none"/>
          <w:lang w:val="en-US" w:eastAsia="zh-CN" w:bidi="ar"/>
        </w:rPr>
        <w:t>万元,</w:t>
      </w:r>
      <w:r>
        <w:rPr>
          <w:rFonts w:ascii="仿宋" w:hAnsi="仿宋" w:eastAsia="仿宋" w:cs="仿宋"/>
          <w:sz w:val="32"/>
        </w:rPr>
        <w:t>增长0%</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bidi="ar"/>
        </w:rPr>
        <w:t>本部门没有上级补助收入。</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FF0000"/>
          <w:sz w:val="32"/>
          <w:szCs w:val="32"/>
          <w:highlight w:val="none"/>
          <w:lang w:val="en-US"/>
        </w:rPr>
      </w:pPr>
      <w:r>
        <w:rPr>
          <w:rFonts w:hint="eastAsia" w:ascii="仿宋" w:hAnsi="仿宋" w:eastAsia="仿宋" w:cs="仿宋"/>
          <w:sz w:val="32"/>
          <w:szCs w:val="32"/>
          <w:highlight w:val="none"/>
          <w:lang w:val="en-US" w:eastAsia="zh-CN" w:bidi="ar"/>
        </w:rPr>
        <w:t>5.事业收入</w:t>
      </w:r>
      <w:r>
        <w:rPr>
          <w:rFonts w:ascii="仿宋" w:hAnsi="仿宋" w:eastAsia="仿宋" w:cs="仿宋"/>
          <w:sz w:val="32"/>
        </w:rPr>
        <w:t>0.00</w:t>
      </w:r>
      <w:r>
        <w:rPr>
          <w:rFonts w:hint="eastAsia" w:ascii="仿宋" w:hAnsi="仿宋" w:eastAsia="仿宋" w:cs="仿宋"/>
          <w:sz w:val="32"/>
          <w:szCs w:val="32"/>
          <w:highlight w:val="none"/>
          <w:lang w:val="en-US" w:eastAsia="zh-CN" w:bidi="ar"/>
        </w:rPr>
        <w:t>万元，为事业单位开展业务活动取得的收入。较2022年度决算数</w:t>
      </w:r>
      <w:r>
        <w:rPr>
          <w:rFonts w:ascii="仿宋" w:hAnsi="仿宋" w:eastAsia="仿宋" w:cs="仿宋"/>
          <w:sz w:val="32"/>
        </w:rPr>
        <w:t>增加0.00</w:t>
      </w:r>
      <w:r>
        <w:rPr>
          <w:rFonts w:hint="eastAsia" w:ascii="仿宋" w:hAnsi="仿宋" w:eastAsia="仿宋" w:cs="仿宋"/>
          <w:sz w:val="32"/>
          <w:szCs w:val="32"/>
          <w:highlight w:val="none"/>
          <w:lang w:val="en-US" w:eastAsia="zh-CN" w:bidi="ar"/>
        </w:rPr>
        <w:t>万元,</w:t>
      </w:r>
      <w:r>
        <w:rPr>
          <w:rFonts w:ascii="仿宋" w:hAnsi="仿宋" w:eastAsia="仿宋" w:cs="仿宋"/>
          <w:sz w:val="32"/>
        </w:rPr>
        <w:t>增长0%</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w:t>
      </w:r>
      <w:r>
        <w:rPr>
          <w:rFonts w:hint="eastAsia" w:ascii="仿宋" w:hAnsi="仿宋" w:eastAsia="仿宋" w:cs="仿宋"/>
          <w:color w:val="auto"/>
          <w:sz w:val="32"/>
          <w:szCs w:val="32"/>
          <w:highlight w:val="none"/>
          <w:lang w:val="en-US" w:eastAsia="zh-CN" w:bidi="ar"/>
        </w:rPr>
        <w:t>原因是：本部门位没有事业收入。</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FF0000"/>
          <w:sz w:val="32"/>
          <w:szCs w:val="32"/>
          <w:highlight w:val="none"/>
          <w:lang w:val="en-US"/>
        </w:rPr>
      </w:pPr>
      <w:r>
        <w:rPr>
          <w:rFonts w:hint="eastAsia" w:ascii="仿宋" w:hAnsi="仿宋" w:eastAsia="仿宋" w:cs="仿宋"/>
          <w:sz w:val="32"/>
          <w:szCs w:val="32"/>
          <w:highlight w:val="none"/>
          <w:lang w:val="en-US" w:eastAsia="zh-CN" w:bidi="ar"/>
        </w:rPr>
        <w:t>6.经营收入0.00万,为事业单位在业务活动之外开展非独立核算经营活动取得的收入。较2022年度决算数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highlight w:val="none"/>
          <w:lang w:val="en-US" w:eastAsia="zh-CN" w:bidi="ar"/>
        </w:rPr>
        <w:t>万元，</w:t>
      </w:r>
      <w:r>
        <w:rPr>
          <w:rFonts w:ascii="仿宋" w:hAnsi="仿宋" w:eastAsia="仿宋" w:cs="仿宋"/>
          <w:sz w:val="32"/>
        </w:rPr>
        <w:t>增长0%</w:t>
      </w:r>
      <w:r>
        <w:rPr>
          <w:rFonts w:hint="eastAsia" w:ascii="仿宋" w:hAnsi="仿宋" w:eastAsia="仿宋" w:cs="仿宋"/>
          <w:sz w:val="32"/>
          <w:szCs w:val="32"/>
          <w:highlight w:val="none"/>
          <w:lang w:val="en-US" w:eastAsia="zh-CN" w:bidi="ar"/>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bidi="ar"/>
        </w:rPr>
        <w:t>本部门位没有经营性收入。</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rPr>
      </w:pPr>
      <w:bookmarkStart w:id="2" w:name="OLE_LINK5"/>
      <w:r>
        <w:rPr>
          <w:rFonts w:hint="eastAsia" w:ascii="仿宋" w:hAnsi="仿宋" w:eastAsia="仿宋" w:cs="仿宋"/>
          <w:sz w:val="32"/>
          <w:szCs w:val="32"/>
          <w:highlight w:val="none"/>
          <w:lang w:val="en-US" w:eastAsia="zh-CN" w:bidi="ar"/>
        </w:rPr>
        <w:t>7.</w:t>
      </w:r>
      <w:r>
        <w:rPr>
          <w:rFonts w:hint="eastAsia" w:ascii="仿宋" w:hAnsi="仿宋" w:eastAsia="仿宋" w:cs="仿宋"/>
          <w:color w:val="auto"/>
          <w:sz w:val="32"/>
          <w:szCs w:val="32"/>
          <w:highlight w:val="none"/>
          <w:lang w:val="en-US" w:eastAsia="zh-CN" w:bidi="ar"/>
        </w:rPr>
        <w:t>附属单位上缴收入</w:t>
      </w:r>
      <w:r>
        <w:rPr>
          <w:rFonts w:ascii="仿宋" w:hAnsi="仿宋" w:eastAsia="仿宋" w:cs="仿宋"/>
          <w:color w:val="auto"/>
          <w:sz w:val="32"/>
        </w:rPr>
        <w:t>0.00</w:t>
      </w:r>
      <w:r>
        <w:rPr>
          <w:rFonts w:hint="eastAsia" w:ascii="仿宋" w:hAnsi="仿宋" w:eastAsia="仿宋" w:cs="仿宋"/>
          <w:color w:val="auto"/>
          <w:sz w:val="32"/>
          <w:szCs w:val="32"/>
          <w:highlight w:val="none"/>
          <w:lang w:val="en-US" w:eastAsia="zh-CN" w:bidi="ar"/>
        </w:rPr>
        <w:t>万元。较2022年度决算数</w:t>
      </w:r>
      <w:r>
        <w:rPr>
          <w:rFonts w:ascii="仿宋" w:hAnsi="仿宋" w:eastAsia="仿宋" w:cs="仿宋"/>
          <w:color w:val="auto"/>
          <w:sz w:val="32"/>
        </w:rPr>
        <w:t>增加0.00</w:t>
      </w:r>
      <w:r>
        <w:rPr>
          <w:rFonts w:hint="eastAsia" w:ascii="仿宋" w:hAnsi="仿宋" w:eastAsia="仿宋" w:cs="仿宋"/>
          <w:color w:val="auto"/>
          <w:sz w:val="32"/>
          <w:szCs w:val="32"/>
          <w:highlight w:val="none"/>
          <w:lang w:val="en-US" w:eastAsia="zh-CN" w:bidi="ar"/>
        </w:rPr>
        <w:t>万元，</w:t>
      </w:r>
      <w:r>
        <w:rPr>
          <w:rFonts w:ascii="仿宋" w:hAnsi="仿宋" w:eastAsia="仿宋" w:cs="仿宋"/>
          <w:color w:val="auto"/>
          <w:sz w:val="32"/>
        </w:rPr>
        <w:t>增长0%</w:t>
      </w:r>
      <w:r>
        <w:rPr>
          <w:rFonts w:hint="eastAsia" w:ascii="仿宋" w:hAnsi="仿宋" w:eastAsia="仿宋" w:cs="仿宋"/>
          <w:color w:val="auto"/>
          <w:sz w:val="32"/>
          <w:szCs w:val="32"/>
          <w:highlight w:val="none"/>
          <w:lang w:val="en-US" w:eastAsia="zh-CN" w:bidi="ar"/>
        </w:rPr>
        <w:t>，主要原因是：本部门位无附属单位上缴收入。</w:t>
      </w:r>
    </w:p>
    <w:bookmarkEnd w:id="2"/>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bidi="ar"/>
        </w:rPr>
        <w:t>8.其他收入</w:t>
      </w:r>
      <w:r>
        <w:rPr>
          <w:rFonts w:ascii="仿宋" w:hAnsi="仿宋" w:eastAsia="仿宋" w:cs="仿宋"/>
          <w:color w:val="auto"/>
          <w:sz w:val="32"/>
        </w:rPr>
        <w:t>0.00</w:t>
      </w:r>
      <w:r>
        <w:rPr>
          <w:rFonts w:hint="eastAsia" w:ascii="仿宋" w:hAnsi="仿宋" w:eastAsia="仿宋" w:cs="仿宋"/>
          <w:color w:val="auto"/>
          <w:sz w:val="32"/>
          <w:szCs w:val="32"/>
          <w:highlight w:val="none"/>
          <w:lang w:val="en-US" w:eastAsia="zh-CN" w:bidi="ar"/>
        </w:rPr>
        <w:t>万元,为预算单位在“财政拨款收入”“事业收入”“经营收入”之外取得的收入。较2022年度决算数</w:t>
      </w:r>
      <w:r>
        <w:rPr>
          <w:rFonts w:ascii="仿宋" w:hAnsi="仿宋" w:eastAsia="仿宋" w:cs="仿宋"/>
          <w:color w:val="auto"/>
          <w:sz w:val="32"/>
        </w:rPr>
        <w:t>增加0.00</w:t>
      </w:r>
      <w:r>
        <w:rPr>
          <w:rFonts w:hint="eastAsia" w:ascii="仿宋" w:hAnsi="仿宋" w:eastAsia="仿宋" w:cs="仿宋"/>
          <w:color w:val="auto"/>
          <w:sz w:val="32"/>
          <w:szCs w:val="32"/>
          <w:highlight w:val="none"/>
          <w:lang w:val="en-US" w:eastAsia="zh-CN" w:bidi="ar"/>
        </w:rPr>
        <w:t>万元，</w:t>
      </w:r>
      <w:r>
        <w:rPr>
          <w:rFonts w:ascii="仿宋" w:hAnsi="仿宋" w:eastAsia="仿宋" w:cs="仿宋"/>
          <w:color w:val="auto"/>
          <w:sz w:val="32"/>
        </w:rPr>
        <w:t>增长0%</w:t>
      </w:r>
      <w:r>
        <w:rPr>
          <w:rFonts w:hint="eastAsia" w:ascii="仿宋" w:hAnsi="仿宋" w:eastAsia="仿宋" w:cs="仿宋"/>
          <w:color w:val="auto"/>
          <w:sz w:val="32"/>
          <w:szCs w:val="32"/>
          <w:highlight w:val="none"/>
          <w:lang w:val="en-US" w:eastAsia="zh-CN" w:bidi="ar"/>
        </w:rPr>
        <w:t>，主要原因是：本部门位没有其他收入。</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bidi="ar"/>
        </w:rPr>
        <w:t>9.使用非财政拨款结余</w:t>
      </w:r>
      <w:r>
        <w:rPr>
          <w:rFonts w:ascii="仿宋" w:hAnsi="仿宋" w:eastAsia="仿宋" w:cs="仿宋"/>
          <w:color w:val="auto"/>
          <w:sz w:val="32"/>
        </w:rPr>
        <w:t>0.00</w:t>
      </w:r>
      <w:r>
        <w:rPr>
          <w:rFonts w:hint="eastAsia" w:ascii="仿宋" w:hAnsi="仿宋" w:eastAsia="仿宋" w:cs="仿宋"/>
          <w:color w:val="auto"/>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color w:val="auto"/>
          <w:sz w:val="32"/>
        </w:rPr>
        <w:t>增加0.00</w:t>
      </w:r>
      <w:r>
        <w:rPr>
          <w:rFonts w:hint="eastAsia" w:ascii="仿宋" w:hAnsi="仿宋" w:eastAsia="仿宋" w:cs="仿宋"/>
          <w:color w:val="auto"/>
          <w:sz w:val="32"/>
          <w:szCs w:val="32"/>
          <w:highlight w:val="none"/>
          <w:lang w:val="en-US" w:eastAsia="zh-CN" w:bidi="ar"/>
        </w:rPr>
        <w:t>万元，</w:t>
      </w:r>
      <w:r>
        <w:rPr>
          <w:rFonts w:ascii="仿宋" w:hAnsi="仿宋" w:eastAsia="仿宋" w:cs="仿宋"/>
          <w:color w:val="auto"/>
          <w:sz w:val="32"/>
        </w:rPr>
        <w:t>增长0%</w:t>
      </w:r>
      <w:r>
        <w:rPr>
          <w:rFonts w:hint="eastAsia" w:ascii="仿宋" w:hAnsi="仿宋" w:eastAsia="仿宋" w:cs="仿宋"/>
          <w:color w:val="auto"/>
          <w:sz w:val="32"/>
          <w:szCs w:val="32"/>
          <w:highlight w:val="none"/>
          <w:lang w:val="en-US" w:eastAsia="zh-CN" w:bidi="ar"/>
        </w:rPr>
        <w:t>，主要原因是：本部门位没有非财政拨款结余。</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lang w:val="en-US" w:eastAsia="zh-CN" w:bidi="ar"/>
        </w:rPr>
        <w:t>10.上年结转和结余</w:t>
      </w:r>
      <w:r>
        <w:rPr>
          <w:rFonts w:ascii="仿宋" w:hAnsi="仿宋" w:eastAsia="仿宋" w:cs="仿宋"/>
          <w:color w:val="auto"/>
          <w:sz w:val="32"/>
        </w:rPr>
        <w:t>0.00</w:t>
      </w:r>
      <w:r>
        <w:rPr>
          <w:rFonts w:hint="eastAsia" w:ascii="仿宋" w:hAnsi="仿宋" w:eastAsia="仿宋" w:cs="仿宋"/>
          <w:color w:val="auto"/>
          <w:sz w:val="32"/>
          <w:szCs w:val="32"/>
          <w:highlight w:val="none"/>
          <w:lang w:val="en-US" w:eastAsia="zh-CN" w:bidi="ar"/>
        </w:rPr>
        <w:t>万元，为以前年度支出预算因客观条件变化未执行完毕、结转到本年度按有关规定继续使用的资金。较2022年度决算数</w:t>
      </w:r>
      <w:r>
        <w:rPr>
          <w:rFonts w:ascii="仿宋" w:hAnsi="仿宋" w:eastAsia="仿宋" w:cs="仿宋"/>
          <w:color w:val="auto"/>
          <w:sz w:val="32"/>
        </w:rPr>
        <w:t>减少</w:t>
      </w:r>
      <w:r>
        <w:rPr>
          <w:rFonts w:hint="eastAsia" w:ascii="仿宋" w:hAnsi="仿宋" w:eastAsia="仿宋" w:cs="仿宋"/>
          <w:color w:val="auto"/>
          <w:sz w:val="32"/>
          <w:lang w:val="en-US" w:eastAsia="zh-CN"/>
        </w:rPr>
        <w:t>0</w:t>
      </w:r>
      <w:r>
        <w:rPr>
          <w:rFonts w:hint="eastAsia" w:ascii="仿宋" w:hAnsi="仿宋" w:eastAsia="仿宋" w:cs="仿宋"/>
          <w:color w:val="auto"/>
          <w:sz w:val="32"/>
          <w:szCs w:val="32"/>
          <w:highlight w:val="none"/>
          <w:lang w:val="en-US" w:eastAsia="zh-CN" w:bidi="ar"/>
        </w:rPr>
        <w:t>万元，</w:t>
      </w:r>
      <w:r>
        <w:rPr>
          <w:rFonts w:ascii="仿宋" w:hAnsi="仿宋" w:eastAsia="仿宋" w:cs="仿宋"/>
          <w:color w:val="auto"/>
          <w:sz w:val="32"/>
        </w:rPr>
        <w:t>下降</w:t>
      </w:r>
      <w:r>
        <w:rPr>
          <w:rFonts w:hint="eastAsia" w:ascii="仿宋" w:hAnsi="仿宋" w:eastAsia="仿宋" w:cs="仿宋"/>
          <w:color w:val="auto"/>
          <w:sz w:val="32"/>
          <w:lang w:val="en-US" w:eastAsia="zh-CN"/>
        </w:rPr>
        <w:t>0</w:t>
      </w:r>
      <w:r>
        <w:rPr>
          <w:rFonts w:ascii="仿宋" w:hAnsi="仿宋" w:eastAsia="仿宋" w:cs="仿宋"/>
          <w:color w:val="auto"/>
          <w:sz w:val="32"/>
        </w:rPr>
        <w:t>%</w:t>
      </w:r>
      <w:r>
        <w:rPr>
          <w:rFonts w:hint="eastAsia" w:ascii="仿宋" w:hAnsi="仿宋" w:eastAsia="仿宋" w:cs="仿宋"/>
          <w:color w:val="auto"/>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956810" cy="3429000"/>
            <wp:effectExtent l="4445" t="4445" r="10795" b="14604"/>
            <wp:docPr id="1"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（二）本部门202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年度总支出</w:t>
      </w:r>
      <w:r>
        <w:rPr>
          <w:rFonts w:hint="eastAsia" w:ascii="仿宋" w:hAnsi="仿宋" w:eastAsia="仿宋" w:cs="仿宋"/>
          <w:sz w:val="32"/>
          <w:lang w:val="en-US" w:eastAsia="zh-CN"/>
        </w:rPr>
        <w:t>212.97</w:t>
      </w:r>
      <w:r>
        <w:rPr>
          <w:rFonts w:hint="eastAsia" w:ascii="仿宋" w:hAnsi="仿宋" w:eastAsia="仿宋" w:cs="仿宋"/>
          <w:sz w:val="32"/>
          <w:szCs w:val="32"/>
          <w:highlight w:val="none"/>
        </w:rPr>
        <w:t>万元，其中本年支出</w:t>
      </w:r>
      <w:r>
        <w:rPr>
          <w:rFonts w:hint="eastAsia" w:ascii="仿宋" w:hAnsi="仿宋" w:eastAsia="仿宋" w:cs="仿宋"/>
          <w:sz w:val="32"/>
          <w:lang w:val="en-US" w:eastAsia="zh-CN"/>
        </w:rPr>
        <w:t>212.97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rPr>
        <w:t>增加</w:t>
      </w:r>
      <w:r>
        <w:rPr>
          <w:rFonts w:hint="eastAsia" w:ascii="仿宋" w:hAnsi="仿宋" w:eastAsia="仿宋" w:cs="仿宋"/>
          <w:sz w:val="32"/>
          <w:lang w:val="en-US" w:eastAsia="zh-CN"/>
        </w:rPr>
        <w:t>40.69</w:t>
      </w:r>
      <w:r>
        <w:rPr>
          <w:rFonts w:hint="eastAsia" w:ascii="仿宋" w:hAnsi="仿宋" w:eastAsia="仿宋" w:cs="仿宋"/>
          <w:sz w:val="32"/>
          <w:szCs w:val="32"/>
          <w:highlight w:val="none"/>
        </w:rPr>
        <w:t>万元，</w:t>
      </w:r>
      <w:r>
        <w:rPr>
          <w:rFonts w:ascii="仿宋" w:hAnsi="仿宋" w:eastAsia="仿宋" w:cs="仿宋"/>
          <w:sz w:val="32"/>
        </w:rPr>
        <w:t>增长1</w:t>
      </w:r>
      <w:r>
        <w:rPr>
          <w:rFonts w:hint="eastAsia" w:ascii="仿宋" w:hAnsi="仿宋" w:eastAsia="仿宋" w:cs="仿宋"/>
          <w:sz w:val="32"/>
          <w:lang w:val="en-US" w:eastAsia="zh-CN"/>
        </w:rPr>
        <w:t>9.11</w:t>
      </w:r>
      <w:r>
        <w:rPr>
          <w:rFonts w:ascii="仿宋" w:hAnsi="仿宋" w:eastAsia="仿宋" w:cs="仿宋"/>
          <w:sz w:val="32"/>
        </w:rPr>
        <w:t>%</w:t>
      </w:r>
      <w:r>
        <w:rPr>
          <w:rFonts w:hint="eastAsia" w:ascii="仿宋" w:hAnsi="仿宋" w:eastAsia="仿宋" w:cs="仿宋"/>
          <w:sz w:val="32"/>
          <w:szCs w:val="32"/>
          <w:highlight w:val="none"/>
        </w:rPr>
        <w:t>。支出具体情况如下：</w:t>
      </w:r>
    </w:p>
    <w:p>
      <w:pPr>
        <w:keepNext w:val="0"/>
        <w:keepLines w:val="0"/>
        <w:pageBreakBefore w:val="0"/>
        <w:widowControl w:val="0"/>
        <w:spacing w:line="560" w:lineRule="exact"/>
        <w:ind w:firstLine="640"/>
        <w:jc w:val="both"/>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169.12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pacing w:val="0"/>
          <w:sz w:val="32"/>
          <w:szCs w:val="32"/>
        </w:rPr>
        <w:t>主要用于档案</w:t>
      </w:r>
      <w:r>
        <w:rPr>
          <w:rFonts w:hint="eastAsia" w:ascii="仿宋_GB2312" w:hAnsi="仿宋_GB2312" w:eastAsia="仿宋_GB2312" w:cs="仿宋_GB2312"/>
          <w:spacing w:val="0"/>
          <w:sz w:val="32"/>
          <w:szCs w:val="32"/>
          <w:lang w:val="en-US" w:eastAsia="zh-CN"/>
        </w:rPr>
        <w:t>馆</w:t>
      </w:r>
      <w:r>
        <w:rPr>
          <w:rFonts w:hint="eastAsia" w:ascii="仿宋_GB2312" w:hAnsi="仿宋_GB2312" w:eastAsia="仿宋_GB2312" w:cs="仿宋_GB2312"/>
          <w:spacing w:val="0"/>
          <w:sz w:val="32"/>
          <w:szCs w:val="32"/>
        </w:rPr>
        <w:t>机关为保证日常运转发生的基本支出，如根据国家规定的基本工资和津补贴标准等安排的人员经费支出；确保档案</w:t>
      </w:r>
      <w:r>
        <w:rPr>
          <w:rFonts w:hint="eastAsia" w:ascii="仿宋_GB2312" w:hAnsi="仿宋_GB2312" w:eastAsia="仿宋_GB2312" w:cs="仿宋_GB2312"/>
          <w:spacing w:val="0"/>
          <w:sz w:val="32"/>
          <w:szCs w:val="32"/>
          <w:lang w:val="en-US" w:eastAsia="zh-CN"/>
        </w:rPr>
        <w:t>馆</w:t>
      </w:r>
      <w:r>
        <w:rPr>
          <w:rFonts w:hint="eastAsia" w:ascii="仿宋_GB2312" w:hAnsi="仿宋_GB2312" w:eastAsia="仿宋_GB2312" w:cs="仿宋_GB2312"/>
          <w:spacing w:val="0"/>
          <w:sz w:val="32"/>
          <w:szCs w:val="32"/>
        </w:rPr>
        <w:t>机关正常运转的办公费、印刷费、水电费、培训费、差旅费、会议费等日常公用经费支出。档案馆馆内基础建设经费（包含档案库房设施设备购置和维护、档案数字化、档案消毒等档案抢救和安全保管等）；档案征集、档案培训、档案宣传和指导等业务工作经费。</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33.13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19.59</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pacing w:val="0"/>
          <w:sz w:val="32"/>
          <w:szCs w:val="32"/>
        </w:rPr>
        <w:t>人员</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sz w:val="32"/>
          <w:szCs w:val="32"/>
        </w:rPr>
        <w:t>，人员经费</w:t>
      </w:r>
      <w:r>
        <w:rPr>
          <w:rFonts w:hint="eastAsia" w:ascii="仿宋_GB2312" w:hAnsi="仿宋_GB2312" w:eastAsia="仿宋_GB2312" w:cs="仿宋_GB2312"/>
          <w:spacing w:val="0"/>
          <w:sz w:val="32"/>
          <w:szCs w:val="32"/>
          <w:lang w:val="en-US" w:eastAsia="zh-CN"/>
        </w:rPr>
        <w:t>支出增加</w:t>
      </w:r>
      <w:r>
        <w:rPr>
          <w:rFonts w:hint="eastAsia" w:ascii="仿宋_GB2312" w:hAnsi="仿宋_GB2312" w:eastAsia="仿宋_GB2312" w:cs="仿宋_GB2312"/>
          <w:spacing w:val="0"/>
          <w:sz w:val="32"/>
          <w:szCs w:val="32"/>
        </w:rPr>
        <w:t>。</w:t>
      </w:r>
    </w:p>
    <w:p>
      <w:pPr>
        <w:keepNext w:val="0"/>
        <w:keepLines w:val="0"/>
        <w:pageBreakBefore w:val="0"/>
        <w:widowControl w:val="0"/>
        <w:spacing w:line="560" w:lineRule="exact"/>
        <w:ind w:firstLine="640"/>
        <w:jc w:val="both"/>
        <w:rPr>
          <w:rFonts w:hint="eastAsia" w:ascii="仿宋_GB2312" w:hAnsi="仿宋_GB2312" w:eastAsia="仿宋_GB2312" w:cs="仿宋_GB2312"/>
          <w:spacing w:val="0"/>
          <w:sz w:val="32"/>
          <w:szCs w:val="32"/>
          <w:lang w:val="en-US"/>
        </w:rPr>
      </w:pPr>
      <w:r>
        <w:rPr>
          <w:rFonts w:hint="eastAsia" w:ascii="仿宋" w:hAnsi="仿宋" w:eastAsia="仿宋" w:cs="仿宋"/>
          <w:sz w:val="32"/>
          <w:szCs w:val="32"/>
          <w:highlight w:val="none"/>
        </w:rPr>
        <w:t>2</w:t>
      </w:r>
      <w:r>
        <w:rPr>
          <w:rFonts w:ascii="仿宋" w:hAnsi="仿宋" w:eastAsia="仿宋" w:cs="仿宋"/>
          <w:sz w:val="32"/>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14.36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主要</w:t>
      </w:r>
      <w:r>
        <w:rPr>
          <w:rFonts w:hint="eastAsia" w:ascii="仿宋" w:hAnsi="仿宋" w:eastAsia="仿宋" w:cs="仿宋"/>
          <w:sz w:val="32"/>
          <w:szCs w:val="32"/>
          <w:highlight w:val="none"/>
          <w:lang w:val="en-US" w:eastAsia="zh-CN" w:bidi="ar"/>
        </w:rPr>
        <w:t>用于职工基本养老保险缴费支出</w:t>
      </w:r>
      <w:r>
        <w:rPr>
          <w:rFonts w:hint="eastAsia" w:ascii="仿宋" w:hAnsi="仿宋" w:eastAsia="仿宋" w:cs="仿宋"/>
          <w:sz w:val="32"/>
          <w:szCs w:val="32"/>
          <w:highlight w:val="none"/>
          <w:lang w:bidi="ar"/>
        </w:rPr>
        <w:t>。</w:t>
      </w:r>
      <w:r>
        <w:rPr>
          <w:rFonts w:hint="eastAsia" w:ascii="仿宋" w:hAnsi="仿宋" w:eastAsia="仿宋" w:cs="仿宋"/>
          <w:color w:val="auto"/>
          <w:sz w:val="32"/>
          <w:szCs w:val="32"/>
          <w:highlight w:val="none"/>
        </w:rPr>
        <w:t>较2</w:t>
      </w:r>
      <w:r>
        <w:rPr>
          <w:rFonts w:hint="eastAsia" w:ascii="仿宋" w:hAnsi="仿宋" w:eastAsia="仿宋" w:cs="仿宋"/>
          <w:sz w:val="32"/>
          <w:szCs w:val="32"/>
          <w:highlight w:val="none"/>
        </w:rPr>
        <w:t>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bidi="ar"/>
        </w:rPr>
        <w:t>增加</w:t>
      </w:r>
      <w:r>
        <w:rPr>
          <w:rFonts w:hint="eastAsia" w:ascii="仿宋" w:hAnsi="仿宋" w:eastAsia="仿宋" w:cs="仿宋"/>
          <w:sz w:val="32"/>
          <w:szCs w:val="32"/>
          <w:highlight w:val="none"/>
          <w:lang w:val="en-US" w:eastAsia="zh-CN" w:bidi="ar"/>
        </w:rPr>
        <w:t>4.27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w:t>
      </w:r>
      <w:r>
        <w:rPr>
          <w:rFonts w:hint="eastAsia" w:ascii="仿宋" w:hAnsi="仿宋" w:eastAsia="仿宋" w:cs="仿宋"/>
          <w:sz w:val="32"/>
          <w:szCs w:val="32"/>
          <w:highlight w:val="none"/>
          <w:lang w:val="en-US" w:eastAsia="zh-CN" w:bidi="ar"/>
        </w:rPr>
        <w:t>42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pacing w:val="0"/>
          <w:sz w:val="32"/>
          <w:szCs w:val="32"/>
        </w:rPr>
        <w:t>人员</w:t>
      </w:r>
      <w:r>
        <w:rPr>
          <w:rFonts w:hint="eastAsia" w:ascii="仿宋_GB2312" w:hAnsi="仿宋_GB2312" w:eastAsia="仿宋_GB2312" w:cs="仿宋_GB2312"/>
          <w:spacing w:val="0"/>
          <w:sz w:val="32"/>
          <w:szCs w:val="32"/>
          <w:lang w:val="en-US" w:eastAsia="zh-CN"/>
        </w:rPr>
        <w:t>增加</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基本养老保险缴费支出增加</w:t>
      </w:r>
      <w:r>
        <w:rPr>
          <w:rFonts w:hint="eastAsia" w:ascii="仿宋_GB2312" w:hAnsi="仿宋_GB2312" w:eastAsia="仿宋_GB2312" w:cs="仿宋_GB2312"/>
          <w:spacing w:val="0"/>
          <w:sz w:val="32"/>
          <w:szCs w:val="32"/>
        </w:rPr>
        <w:t>。</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val="en-US" w:eastAsia="zh-CN" w:bidi="ar"/>
        </w:rPr>
        <w:t>10.84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主要用于单位职工住房公积金缴费支出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增加</w:t>
      </w:r>
      <w:r>
        <w:rPr>
          <w:rFonts w:hint="eastAsia" w:ascii="仿宋" w:hAnsi="仿宋" w:eastAsia="仿宋" w:cs="仿宋"/>
          <w:color w:val="auto"/>
          <w:sz w:val="32"/>
          <w:szCs w:val="32"/>
          <w:highlight w:val="none"/>
          <w:lang w:val="en-US" w:eastAsia="zh-CN" w:bidi="ar"/>
        </w:rPr>
        <w:t>3.78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w:t>
      </w:r>
      <w:r>
        <w:rPr>
          <w:rFonts w:hint="eastAsia" w:ascii="仿宋" w:hAnsi="仿宋" w:eastAsia="仿宋" w:cs="仿宋"/>
          <w:color w:val="auto"/>
          <w:sz w:val="32"/>
          <w:szCs w:val="32"/>
          <w:highlight w:val="none"/>
          <w:lang w:val="en-US" w:eastAsia="zh-CN" w:bidi="ar"/>
        </w:rPr>
        <w:t>34.87</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bidi="ar"/>
        </w:rPr>
        <w:t>主要原因是：人员增加，支付公积金缴费支出增加。</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19.14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主要用于单位奖励性绩效考核支出</w:t>
      </w:r>
      <w:r>
        <w:rPr>
          <w:rFonts w:hint="eastAsia" w:ascii="仿宋" w:hAnsi="仿宋" w:eastAsia="仿宋" w:cs="仿宋"/>
          <w:color w:val="auto"/>
          <w:sz w:val="32"/>
          <w:szCs w:val="32"/>
          <w:highlight w:val="none"/>
        </w:rPr>
        <w:t>。较202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年度决算数</w:t>
      </w:r>
      <w:r>
        <w:rPr>
          <w:rFonts w:hint="eastAsia" w:ascii="仿宋" w:hAnsi="仿宋" w:eastAsia="仿宋" w:cs="仿宋"/>
          <w:color w:val="auto"/>
          <w:sz w:val="32"/>
          <w:szCs w:val="32"/>
          <w:highlight w:val="none"/>
          <w:lang w:bidi="ar"/>
        </w:rPr>
        <w:t>减少</w:t>
      </w:r>
      <w:r>
        <w:rPr>
          <w:rFonts w:hint="eastAsia" w:ascii="仿宋" w:hAnsi="仿宋" w:eastAsia="仿宋" w:cs="仿宋"/>
          <w:color w:val="auto"/>
          <w:sz w:val="32"/>
          <w:szCs w:val="32"/>
          <w:highlight w:val="none"/>
          <w:lang w:val="en-US" w:eastAsia="zh-CN" w:bidi="ar"/>
        </w:rPr>
        <w:t>0.05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w:t>
      </w:r>
      <w:r>
        <w:rPr>
          <w:rFonts w:hint="eastAsia" w:ascii="仿宋" w:hAnsi="仿宋" w:eastAsia="仿宋" w:cs="仿宋"/>
          <w:color w:val="auto"/>
          <w:sz w:val="32"/>
          <w:szCs w:val="32"/>
          <w:highlight w:val="none"/>
          <w:lang w:val="en-US" w:eastAsia="zh-CN" w:bidi="ar"/>
        </w:rPr>
        <w:t>0.02</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bidi="ar"/>
        </w:rPr>
        <w:t>主要原因是：2023年奖励性绩效考评基数下调。</w:t>
      </w:r>
    </w:p>
    <w:p>
      <w:pPr>
        <w:keepNext w:val="0"/>
        <w:keepLines w:val="0"/>
        <w:pageBreakBefore w:val="0"/>
        <w:widowControl w:val="0"/>
        <w:suppressLineNumbers w:val="0"/>
        <w:spacing w:before="0" w:beforeAutospacing="0" w:after="0" w:afterAutospacing="0" w:line="560" w:lineRule="exact"/>
        <w:ind w:left="0" w:right="0" w:firstLine="620"/>
        <w:jc w:val="both"/>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w:t>
      </w:r>
      <w:r>
        <w:rPr>
          <w:rFonts w:hint="default" w:ascii="仿宋_GB2312" w:hAnsi="微软雅黑" w:eastAsia="仿宋_GB2312" w:cs="仿宋_GB2312"/>
          <w:i w:val="0"/>
          <w:iCs w:val="0"/>
          <w:caps w:val="0"/>
          <w:color w:val="000000"/>
          <w:spacing w:val="0"/>
          <w:sz w:val="31"/>
          <w:szCs w:val="31"/>
          <w:highlight w:val="none"/>
          <w:shd w:val="clear" w:color="auto" w:fill="FFFFFF"/>
        </w:rPr>
        <w:t>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w:t>
      </w:r>
      <w:r>
        <w:rPr>
          <w:rFonts w:hint="eastAsia" w:ascii="仿宋" w:hAnsi="仿宋" w:eastAsia="仿宋" w:cs="仿宋"/>
          <w:color w:val="auto"/>
          <w:sz w:val="32"/>
          <w:szCs w:val="32"/>
          <w:highlight w:val="none"/>
          <w:lang w:val="en-US" w:eastAsia="zh-CN" w:bidi="ar"/>
        </w:rPr>
        <w:t>本部门</w:t>
      </w:r>
      <w:r>
        <w:rPr>
          <w:rFonts w:hint="eastAsia" w:ascii="仿宋_GB2312" w:hAnsi="仿宋_GB2312" w:eastAsia="仿宋_GB2312" w:cs="仿宋_GB2312"/>
          <w:spacing w:val="0"/>
          <w:sz w:val="32"/>
          <w:szCs w:val="32"/>
          <w:lang w:val="en-US" w:eastAsia="zh-CN"/>
        </w:rPr>
        <w:t>位无结余分配情况</w:t>
      </w:r>
      <w:r>
        <w:rPr>
          <w:rFonts w:hint="eastAsia" w:ascii="仿宋_GB2312" w:hAnsi="仿宋_GB2312" w:eastAsia="仿宋_GB2312" w:cs="仿宋_GB2312"/>
          <w:spacing w:val="0"/>
          <w:sz w:val="32"/>
          <w:szCs w:val="32"/>
        </w:rPr>
        <w:t>。</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年末结转和结余</w:t>
      </w:r>
      <w:r>
        <w:rPr>
          <w:rFonts w:ascii="仿宋" w:hAnsi="仿宋" w:eastAsia="仿宋" w:cs="仿宋"/>
          <w:sz w:val="32"/>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rPr>
        <w:t>增加0.00</w:t>
      </w:r>
      <w:r>
        <w:rPr>
          <w:rFonts w:hint="eastAsia" w:ascii="仿宋" w:hAnsi="仿宋" w:eastAsia="仿宋" w:cs="仿宋"/>
          <w:sz w:val="32"/>
          <w:szCs w:val="32"/>
          <w:highlight w:val="none"/>
        </w:rPr>
        <w:t>万元，</w:t>
      </w:r>
      <w:r>
        <w:rPr>
          <w:rFonts w:ascii="仿宋" w:hAnsi="仿宋" w:eastAsia="仿宋" w:cs="仿宋"/>
          <w:sz w:val="32"/>
        </w:rPr>
        <w:t>增长0%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jc w:val="left"/>
        <w:rPr>
          <w:rFonts w:ascii="仿宋" w:hAnsi="仿宋" w:eastAsia="仿宋" w:cs="仿宋"/>
          <w:sz w:val="32"/>
          <w:szCs w:val="32"/>
          <w:highlight w:val="none"/>
        </w:rPr>
      </w:pPr>
    </w:p>
    <w:p>
      <w:pPr>
        <w:ind w:firstLine="64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613275" cy="2784475"/>
            <wp:effectExtent l="4445" t="5080" r="11430" b="10795"/>
            <wp:docPr id="2"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spacing w:line="56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w:t>
      </w:r>
      <w:bookmarkStart w:id="3" w:name="OLE_LINK1"/>
      <w:r>
        <w:rPr>
          <w:rFonts w:hint="eastAsia" w:ascii="黑体" w:hAnsi="黑体" w:eastAsia="黑体" w:cs="黑体"/>
          <w:sz w:val="32"/>
          <w:szCs w:val="32"/>
          <w:highlight w:val="none"/>
        </w:rPr>
        <w:t>一般公共预算财政拨款支出决算情况</w:t>
      </w:r>
      <w:bookmarkEnd w:id="3"/>
    </w:p>
    <w:p>
      <w:pPr>
        <w:keepNext w:val="0"/>
        <w:keepLines w:val="0"/>
        <w:pageBreakBefore w:val="0"/>
        <w:widowControl w:val="0"/>
        <w:spacing w:line="560" w:lineRule="exact"/>
        <w:ind w:firstLine="64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lang w:val="en-US" w:eastAsia="zh-CN"/>
        </w:rPr>
        <w:t>212.97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rPr>
        <w:t>增加</w:t>
      </w:r>
      <w:r>
        <w:rPr>
          <w:rFonts w:hint="eastAsia" w:ascii="仿宋" w:hAnsi="仿宋" w:eastAsia="仿宋" w:cs="仿宋"/>
          <w:sz w:val="32"/>
          <w:lang w:val="en-US" w:eastAsia="zh-CN"/>
        </w:rPr>
        <w:t>40.69</w:t>
      </w:r>
      <w:r>
        <w:rPr>
          <w:rFonts w:hint="eastAsia" w:ascii="仿宋" w:hAnsi="仿宋" w:eastAsia="仿宋" w:cs="仿宋"/>
          <w:sz w:val="32"/>
          <w:szCs w:val="32"/>
          <w:highlight w:val="none"/>
        </w:rPr>
        <w:t>万元，</w:t>
      </w:r>
      <w:r>
        <w:rPr>
          <w:rFonts w:ascii="仿宋" w:hAnsi="仿宋" w:eastAsia="仿宋" w:cs="仿宋"/>
          <w:sz w:val="32"/>
        </w:rPr>
        <w:t>增长</w:t>
      </w:r>
      <w:r>
        <w:rPr>
          <w:rFonts w:hint="eastAsia" w:ascii="仿宋" w:hAnsi="仿宋" w:eastAsia="仿宋" w:cs="仿宋"/>
          <w:sz w:val="32"/>
          <w:lang w:val="en-US" w:eastAsia="zh-CN"/>
        </w:rPr>
        <w:t>19.11</w:t>
      </w:r>
      <w:r>
        <w:rPr>
          <w:rFonts w:ascii="仿宋" w:hAnsi="仿宋" w:eastAsia="仿宋" w:cs="仿宋"/>
          <w:sz w:val="32"/>
        </w:rPr>
        <w:t>%</w:t>
      </w:r>
      <w:r>
        <w:rPr>
          <w:rFonts w:hint="eastAsia" w:ascii="仿宋" w:hAnsi="仿宋" w:eastAsia="仿宋" w:cs="仿宋"/>
          <w:sz w:val="32"/>
          <w:szCs w:val="32"/>
          <w:highlight w:val="none"/>
        </w:rPr>
        <w:t>。其中：基本支出</w:t>
      </w:r>
      <w:r>
        <w:rPr>
          <w:rFonts w:hint="eastAsia" w:ascii="仿宋" w:hAnsi="仿宋" w:eastAsia="仿宋" w:cs="仿宋"/>
          <w:sz w:val="32"/>
          <w:lang w:val="en-US" w:eastAsia="zh-CN"/>
        </w:rPr>
        <w:t>159.66</w:t>
      </w:r>
      <w:r>
        <w:rPr>
          <w:rFonts w:hint="eastAsia" w:ascii="仿宋" w:hAnsi="仿宋" w:eastAsia="仿宋" w:cs="仿宋"/>
          <w:sz w:val="32"/>
          <w:szCs w:val="32"/>
          <w:highlight w:val="none"/>
        </w:rPr>
        <w:t>万元，项目支出</w:t>
      </w:r>
      <w:r>
        <w:rPr>
          <w:rFonts w:hint="eastAsia" w:ascii="仿宋" w:hAnsi="仿宋" w:eastAsia="仿宋" w:cs="仿宋"/>
          <w:sz w:val="32"/>
          <w:lang w:val="en-US" w:eastAsia="zh-CN"/>
        </w:rPr>
        <w:t>53.30</w:t>
      </w:r>
      <w:r>
        <w:rPr>
          <w:rFonts w:hint="eastAsia" w:ascii="仿宋" w:hAnsi="仿宋" w:eastAsia="仿宋" w:cs="仿宋"/>
          <w:sz w:val="32"/>
          <w:szCs w:val="32"/>
          <w:highlight w:val="none"/>
        </w:rPr>
        <w:t>万元。</w:t>
      </w:r>
    </w:p>
    <w:p>
      <w:pPr>
        <w:keepNext w:val="0"/>
        <w:keepLines w:val="0"/>
        <w:pageBreakBefore w:val="0"/>
        <w:widowControl w:val="0"/>
        <w:spacing w:line="560" w:lineRule="exact"/>
        <w:ind w:firstLine="64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环江毛南族自治县档案馆202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年度一般公共预算财政拨款支出年初预算为</w:t>
      </w:r>
      <w:r>
        <w:rPr>
          <w:rFonts w:hint="eastAsia" w:ascii="仿宋" w:hAnsi="仿宋" w:eastAsia="仿宋" w:cs="仿宋"/>
          <w:sz w:val="32"/>
          <w:lang w:val="en-US" w:eastAsia="zh-CN"/>
        </w:rPr>
        <w:t>157.53</w:t>
      </w:r>
      <w:r>
        <w:rPr>
          <w:rFonts w:hint="eastAsia" w:ascii="仿宋" w:hAnsi="仿宋" w:eastAsia="仿宋" w:cs="仿宋"/>
          <w:sz w:val="32"/>
          <w:szCs w:val="32"/>
          <w:highlight w:val="none"/>
        </w:rPr>
        <w:t>万元，支出决算为</w:t>
      </w:r>
      <w:r>
        <w:rPr>
          <w:rFonts w:hint="eastAsia" w:ascii="仿宋" w:hAnsi="仿宋" w:eastAsia="仿宋" w:cs="仿宋"/>
          <w:sz w:val="32"/>
          <w:lang w:val="en-US" w:eastAsia="zh-CN"/>
        </w:rPr>
        <w:t>212.97</w:t>
      </w:r>
      <w:r>
        <w:rPr>
          <w:rFonts w:hint="eastAsia" w:ascii="仿宋" w:hAnsi="仿宋" w:eastAsia="仿宋" w:cs="仿宋"/>
          <w:sz w:val="32"/>
          <w:szCs w:val="32"/>
          <w:highlight w:val="none"/>
        </w:rPr>
        <w:t>万元，完成年初预算的</w:t>
      </w:r>
      <w:r>
        <w:rPr>
          <w:rFonts w:hint="eastAsia" w:ascii="仿宋" w:hAnsi="仿宋" w:eastAsia="仿宋" w:cs="仿宋"/>
          <w:sz w:val="32"/>
          <w:lang w:val="en-US" w:eastAsia="zh-CN"/>
        </w:rPr>
        <w:t>135.19</w:t>
      </w:r>
      <w:r>
        <w:rPr>
          <w:rFonts w:ascii="仿宋" w:hAnsi="仿宋" w:eastAsia="仿宋" w:cs="仿宋"/>
          <w:sz w:val="32"/>
        </w:rPr>
        <w:t>%</w:t>
      </w:r>
      <w:r>
        <w:rPr>
          <w:rFonts w:hint="eastAsia" w:ascii="仿宋" w:hAnsi="仿宋" w:eastAsia="仿宋" w:cs="仿宋"/>
          <w:sz w:val="32"/>
          <w:szCs w:val="32"/>
          <w:highlight w:val="none"/>
        </w:rPr>
        <w:t>。</w:t>
      </w:r>
      <w:bookmarkStart w:id="4" w:name="OLE_LINK2"/>
      <w:bookmarkEnd w:id="4"/>
    </w:p>
    <w:p>
      <w:pPr>
        <w:keepNext w:val="0"/>
        <w:keepLines w:val="0"/>
        <w:pageBreakBefore w:val="0"/>
        <w:widowControl w:val="0"/>
        <w:numPr>
          <w:ilvl w:val="0"/>
          <w:numId w:val="1"/>
        </w:numPr>
        <w:suppressLineNumbers w:val="0"/>
        <w:spacing w:before="0" w:beforeAutospacing="0" w:after="0" w:afterAutospacing="0" w:line="560" w:lineRule="exact"/>
        <w:ind w:left="0" w:right="0" w:firstLine="42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124.61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169.17</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135.19</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w:t>
      </w:r>
      <w:r>
        <w:rPr>
          <w:rFonts w:hint="eastAsia" w:ascii="仿宋" w:hAnsi="仿宋" w:eastAsia="仿宋"/>
          <w:color w:val="auto"/>
          <w:sz w:val="32"/>
          <w:szCs w:val="32"/>
          <w:highlight w:val="none"/>
        </w:rPr>
        <w:t>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sz w:val="32"/>
          <w:szCs w:val="32"/>
          <w:highlight w:val="none"/>
          <w:lang w:val="en-US" w:eastAsia="zh-CN" w:bidi="ar"/>
        </w:rPr>
        <w:t>2023年人员增加，人员费用增加、</w:t>
      </w:r>
    </w:p>
    <w:p>
      <w:pPr>
        <w:keepNext w:val="0"/>
        <w:keepLines w:val="0"/>
        <w:pageBreakBefore w:val="0"/>
        <w:widowControl w:val="0"/>
        <w:spacing w:line="560" w:lineRule="exact"/>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keepNext w:val="0"/>
        <w:keepLines w:val="0"/>
        <w:pageBreakBefore w:val="0"/>
        <w:widowControl w:val="0"/>
        <w:spacing w:line="560" w:lineRule="exact"/>
        <w:jc w:val="left"/>
        <w:rPr>
          <w:rFonts w:hint="eastAsia" w:ascii="仿宋" w:hAnsi="仿宋" w:eastAsia="仿宋"/>
          <w:sz w:val="32"/>
          <w:szCs w:val="32"/>
          <w:highlight w:val="none"/>
        </w:rPr>
      </w:pPr>
    </w:p>
    <w:tbl>
      <w:tblPr>
        <w:tblStyle w:val="31"/>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类款项</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科目名称</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年初预算数</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决算</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完成预算百分比</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主要用于</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2012601</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100.61</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110.77</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137.11%</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用于人员费用支出</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2022年增加2位职工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2012604</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档案馆</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26.00</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23.96</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92.15%</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用于项目支出</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2022年追加项目支出10万元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1.26</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用于工会经费支出</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108.05</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135.99</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0" distR="0">
            <wp:extent cx="4474845" cy="3215640"/>
            <wp:effectExtent l="4445" t="4445" r="16510" b="5715"/>
            <wp:docPr id="3"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right="0" w:firstLine="42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rPr>
        <w:t>（208</w:t>
      </w:r>
      <w:r>
        <w:rPr>
          <w:rFonts w:hint="eastAsia" w:ascii="仿宋" w:hAnsi="仿宋" w:eastAsia="仿宋"/>
          <w:sz w:val="32"/>
          <w:szCs w:val="32"/>
          <w:highlight w:val="none"/>
        </w:rPr>
        <w:t>类）年初预算为</w:t>
      </w:r>
      <w:r>
        <w:rPr>
          <w:rFonts w:ascii="仿宋" w:hAnsi="仿宋" w:eastAsia="仿宋"/>
          <w:sz w:val="32"/>
          <w:szCs w:val="32"/>
          <w:highlight w:val="none"/>
        </w:rPr>
        <w:t>10.09</w:t>
      </w:r>
      <w:r>
        <w:rPr>
          <w:rFonts w:hint="eastAsia" w:ascii="仿宋" w:hAnsi="仿宋" w:eastAsia="仿宋"/>
          <w:sz w:val="32"/>
          <w:szCs w:val="32"/>
          <w:highlight w:val="none"/>
        </w:rPr>
        <w:t>万元，支出决算为</w:t>
      </w:r>
      <w:r>
        <w:rPr>
          <w:rFonts w:ascii="仿宋" w:hAnsi="仿宋" w:eastAsia="仿宋"/>
          <w:sz w:val="32"/>
          <w:szCs w:val="32"/>
          <w:highlight w:val="none"/>
        </w:rPr>
        <w:t>10.09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31"/>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类款项</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科目名称</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年初预算数</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决算</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完成预算百分比</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主要用于</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13.85</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14.36</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103.68%</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职工基本养老保险缴费支出</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机关事业单位基本养老保险缴费基数调增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13.85</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14.36</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0" distR="0">
            <wp:extent cx="4474845" cy="29108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right="0" w:firstLine="419"/>
        <w:jc w:val="left"/>
        <w:rPr>
          <w:rFonts w:hint="eastAsia"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11.76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10.84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92.18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31"/>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类款项</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科目名称</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年初预算数</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决算</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完成预算百分比</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主要用于</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11.76</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10.84</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92.18%</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单位住房公积金缴纳</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预算差异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11.76</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10.84</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0" distR="0">
            <wp:extent cx="4474845" cy="2663825"/>
            <wp:effectExtent l="4445" t="4445" r="16510" b="17780"/>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numPr>
          <w:ilvl w:val="0"/>
          <w:numId w:val="1"/>
        </w:numPr>
        <w:suppressLineNumbers w:val="0"/>
        <w:spacing w:before="0" w:beforeAutospacing="0" w:after="0" w:afterAutospacing="0" w:line="560" w:lineRule="exact"/>
        <w:ind w:left="0" w:right="0" w:firstLine="420"/>
        <w:jc w:val="both"/>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18.64</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keepNext w:val="0"/>
        <w:keepLines w:val="0"/>
        <w:pageBreakBefore w:val="0"/>
        <w:widowControl w:val="0"/>
        <w:spacing w:line="560" w:lineRule="exact"/>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31"/>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类款项</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科目名称</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年初预算数</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决算</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sz w:val="20"/>
                <w:szCs w:val="20"/>
                <w:highlight w:val="none"/>
                <w:u w:val="none"/>
                <w:lang w:val="en-US" w:eastAsia="zh-CN" w:bidi="ar"/>
              </w:rPr>
              <w:t>完成预算百分比</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主要用于</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18.64</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奖励性补贴公务员绩效考评奖金</w:t>
            </w: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奖励性补贴公务员绩效考评奖金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olor w:val="000000"/>
                <w:sz w:val="20"/>
                <w:szCs w:val="20"/>
                <w:highlight w:val="none"/>
                <w:u w:val="none"/>
                <w:lang w:val="en-US" w:eastAsia="zh-CN"/>
              </w:rPr>
            </w:pPr>
          </w:p>
        </w:tc>
        <w:tc>
          <w:tcPr>
            <w:tcW w:w="994"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bidi="ar-SA"/>
              </w:rPr>
              <w:t>18.64</w:t>
            </w:r>
          </w:p>
        </w:tc>
        <w:tc>
          <w:tcPr>
            <w:tcW w:w="1097"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c>
          <w:tcPr>
            <w:tcW w:w="1825" w:type="dxa"/>
            <w:tcBorders>
              <w:top w:val="single" w:color="auto" w:sz="0" w:space="0"/>
              <w:left w:val="single" w:color="auto" w:sz="0" w:space="0"/>
              <w:bottom w:val="single" w:color="auto" w:sz="0" w:space="0"/>
              <w:right w:val="single"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0" distR="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lang w:val="en-US" w:eastAsia="zh-CN"/>
        </w:rPr>
        <w:t>159.66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153.12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6.54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2"/>
        </w:numPr>
        <w:suppressLineNumbers w:val="0"/>
        <w:spacing w:before="0" w:beforeAutospacing="0" w:after="0" w:afterAutospacing="0" w:line="560" w:lineRule="exact"/>
        <w:ind w:left="0" w:right="0" w:firstLine="42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lang w:val="en-US" w:eastAsia="zh-CN"/>
        </w:rPr>
        <w:t>143.69</w:t>
      </w:r>
      <w:r>
        <w:rPr>
          <w:rFonts w:ascii="仿宋" w:hAnsi="仿宋" w:eastAsia="仿宋" w:cs="仿宋"/>
          <w:sz w:val="32"/>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color w:val="auto"/>
          <w:sz w:val="32"/>
          <w:szCs w:val="32"/>
          <w:highlight w:val="none"/>
          <w:lang w:val="en-US" w:eastAsia="zh-CN"/>
        </w:rPr>
        <w:t>139</w:t>
      </w:r>
      <w:r>
        <w:rPr>
          <w:rFonts w:hint="eastAsia" w:ascii="仿宋" w:hAnsi="仿宋" w:eastAsia="仿宋" w:cs="仿宋"/>
          <w:color w:val="auto"/>
          <w:sz w:val="32"/>
          <w:szCs w:val="32"/>
          <w:highlight w:val="none"/>
        </w:rPr>
        <w:t>%</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lang w:val="en-US" w:eastAsia="zh-CN" w:bidi="ar"/>
        </w:rPr>
        <w:t>主要原因是：增加人员。</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30101基本工资37.85万元，30102津贴补</w:t>
      </w:r>
      <w:r>
        <w:rPr>
          <w:rFonts w:hint="eastAsia" w:ascii="仿宋" w:hAnsi="仿宋" w:eastAsia="仿宋" w:cs="仿宋"/>
          <w:sz w:val="32"/>
          <w:szCs w:val="32"/>
          <w:highlight w:val="none"/>
          <w:lang w:val="en-US" w:eastAsia="zh-CN"/>
        </w:rPr>
        <w:t>贴56.01万元，30103奖金18.79万元，30108机关事业单位基本养老保险缴费14.36万元，30110职工基本医疗保险缴费5.59万元，30112其他社会保障缴费0.76万元，30113住房公积金10.84万元。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474845" cy="2844800"/>
            <wp:effectExtent l="4445" t="4445" r="16510" b="8255"/>
            <wp:docPr id="7"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numPr>
          <w:ilvl w:val="0"/>
          <w:numId w:val="2"/>
        </w:numPr>
        <w:suppressLineNumbers w:val="0"/>
        <w:spacing w:before="0" w:beforeAutospacing="0" w:after="0" w:afterAutospacing="0" w:line="560" w:lineRule="exact"/>
        <w:ind w:left="0" w:right="0" w:firstLine="42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hint="eastAsia" w:ascii="仿宋" w:hAnsi="仿宋" w:eastAsia="仿宋" w:cs="仿宋"/>
          <w:sz w:val="32"/>
          <w:lang w:val="en-US" w:eastAsia="zh-CN"/>
        </w:rPr>
        <w:t>6.54</w:t>
      </w:r>
      <w:r>
        <w:rPr>
          <w:rFonts w:ascii="仿宋" w:hAnsi="仿宋" w:eastAsia="仿宋" w:cs="仿宋"/>
          <w:sz w:val="32"/>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19.96</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主要原因是：按实际费用支出，预决算存在差异。</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30201办公费2.71万元，30205水费0.15万元，30206电费0.23万元，30207邮电费1.49万元，30226劳务费0.19万元，30228工会经费1.77万元。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474845" cy="2569210"/>
            <wp:effectExtent l="4445" t="4445" r="16510" b="17145"/>
            <wp:docPr id="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pageBreakBefore w:val="0"/>
        <w:widowControl w:val="0"/>
        <w:numPr>
          <w:ilvl w:val="0"/>
          <w:numId w:val="2"/>
        </w:numPr>
        <w:suppressLineNumbers w:val="0"/>
        <w:spacing w:before="0" w:beforeAutospacing="0" w:after="0" w:afterAutospacing="0" w:line="560" w:lineRule="exact"/>
        <w:ind w:left="0" w:right="0" w:firstLine="42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对个人和家庭的补助</w:t>
      </w:r>
      <w:r>
        <w:rPr>
          <w:rFonts w:hint="eastAsia" w:ascii="仿宋" w:hAnsi="仿宋" w:eastAsia="仿宋" w:cs="仿宋"/>
          <w:sz w:val="32"/>
          <w:lang w:val="en-US" w:eastAsia="zh-CN"/>
        </w:rPr>
        <w:t>9.43</w:t>
      </w:r>
      <w:r>
        <w:rPr>
          <w:rFonts w:ascii="仿宋" w:hAnsi="仿宋" w:eastAsia="仿宋" w:cs="仿宋"/>
          <w:sz w:val="32"/>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161.74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主要原因是：退休人员增加及生活补助增加。</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30305生活补助9.43万元。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474845" cy="2835275"/>
            <wp:effectExtent l="4445" t="4445" r="16510" b="17780"/>
            <wp:docPr id="9"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numPr>
          <w:ilvl w:val="0"/>
          <w:numId w:val="2"/>
        </w:numPr>
        <w:suppressLineNumbers w:val="0"/>
        <w:spacing w:before="0" w:beforeAutospacing="0" w:after="0" w:afterAutospacing="0" w:line="560" w:lineRule="exact"/>
        <w:ind w:left="0" w:right="0" w:firstLine="420"/>
        <w:jc w:val="both"/>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bidi="ar"/>
        </w:rPr>
        <w:t>本部门无</w:t>
      </w:r>
      <w:r>
        <w:rPr>
          <w:rFonts w:hint="eastAsia" w:ascii="仿宋" w:hAnsi="仿宋" w:eastAsia="仿宋" w:cs="仿宋"/>
          <w:color w:val="auto"/>
          <w:sz w:val="32"/>
          <w:szCs w:val="32"/>
          <w:highlight w:val="none"/>
        </w:rPr>
        <w:t>债务利</w:t>
      </w:r>
      <w:r>
        <w:rPr>
          <w:rFonts w:hint="eastAsia" w:ascii="仿宋" w:hAnsi="仿宋" w:eastAsia="仿宋" w:cs="仿宋"/>
          <w:sz w:val="32"/>
          <w:szCs w:val="32"/>
          <w:highlight w:val="none"/>
        </w:rPr>
        <w:t>息及费用支出</w:t>
      </w:r>
      <w:r>
        <w:rPr>
          <w:rFonts w:hint="eastAsia" w:ascii="仿宋" w:hAnsi="仿宋" w:eastAsia="仿宋" w:cs="仿宋"/>
          <w:sz w:val="32"/>
          <w:szCs w:val="32"/>
          <w:highlight w:val="none"/>
          <w:lang w:eastAsia="zh-CN"/>
        </w:rPr>
        <w:t>。</w:t>
      </w:r>
    </w:p>
    <w:p>
      <w:pPr>
        <w:keepNext w:val="0"/>
        <w:keepLines w:val="0"/>
        <w:pageBreakBefore w:val="0"/>
        <w:widowControl w:val="0"/>
        <w:spacing w:line="560" w:lineRule="exact"/>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474845" cy="2825750"/>
            <wp:effectExtent l="4445" t="4445" r="16510" b="8255"/>
            <wp:docPr id="1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right="0" w:firstLine="42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bidi="ar"/>
        </w:rPr>
        <w:t>本部门无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474845" cy="2625725"/>
            <wp:effectExtent l="4445" t="4445" r="16510" b="17780"/>
            <wp:docPr id="11"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numPr>
          <w:ilvl w:val="0"/>
          <w:numId w:val="2"/>
        </w:numPr>
        <w:suppressLineNumbers w:val="0"/>
        <w:spacing w:before="0" w:beforeAutospacing="0" w:after="0" w:afterAutospacing="0" w:line="560" w:lineRule="exact"/>
        <w:ind w:left="0" w:right="0" w:firstLine="420"/>
        <w:jc w:val="both"/>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bidi="ar"/>
        </w:rPr>
        <w:t>本部门无</w:t>
      </w:r>
      <w:r>
        <w:rPr>
          <w:rFonts w:hint="eastAsia" w:ascii="仿宋" w:hAnsi="仿宋" w:eastAsia="仿宋" w:cs="仿宋"/>
          <w:color w:val="auto"/>
          <w:sz w:val="32"/>
          <w:szCs w:val="32"/>
          <w:highlight w:val="none"/>
        </w:rPr>
        <w:t>其他支出</w:t>
      </w:r>
      <w:r>
        <w:rPr>
          <w:rFonts w:hint="eastAsia" w:ascii="仿宋" w:hAnsi="仿宋" w:eastAsia="仿宋" w:cs="仿宋"/>
          <w:color w:val="auto"/>
          <w:sz w:val="32"/>
          <w:szCs w:val="32"/>
          <w:highlight w:val="none"/>
          <w:lang w:eastAsia="zh-CN"/>
        </w:rPr>
        <w:t>。</w:t>
      </w:r>
    </w:p>
    <w:p>
      <w:pPr>
        <w:keepNext w:val="0"/>
        <w:keepLines w:val="0"/>
        <w:pageBreakBefore w:val="0"/>
        <w:widowControl w:val="0"/>
        <w:spacing w:line="560" w:lineRule="exact"/>
        <w:jc w:val="both"/>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0" distR="0">
            <wp:extent cx="4474845" cy="3215640"/>
            <wp:effectExtent l="4445" t="4445" r="16510" b="18415"/>
            <wp:docPr id="1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仿宋" w:hAnsi="仿宋" w:eastAsia="仿宋" w:cs="仿宋"/>
          <w:sz w:val="32"/>
          <w:szCs w:val="32"/>
          <w:highlight w:val="none"/>
        </w:rPr>
      </w:pPr>
    </w:p>
    <w:p>
      <w:pPr>
        <w:keepNext w:val="0"/>
        <w:keepLines w:val="0"/>
        <w:pageBreakBefore w:val="0"/>
        <w:widowControl w:val="0"/>
        <w:spacing w:line="560" w:lineRule="exact"/>
        <w:jc w:val="both"/>
        <w:rPr>
          <w:rFonts w:ascii="黑体" w:hAnsi="黑体" w:eastAsia="黑体" w:cs="黑体"/>
          <w:sz w:val="32"/>
          <w:szCs w:val="32"/>
          <w:highlight w:val="none"/>
        </w:rPr>
      </w:pPr>
      <w:r>
        <w:rPr>
          <w:rFonts w:hint="eastAsia" w:ascii="黑体" w:hAnsi="黑体" w:eastAsia="黑体" w:cs="黑体"/>
          <w:sz w:val="32"/>
          <w:szCs w:val="32"/>
          <w:highlight w:val="none"/>
        </w:rPr>
        <w:t>四、202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年度政府性基金支出决算情况</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spacing w:line="560" w:lineRule="exact"/>
        <w:ind w:firstLine="64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环江毛南族自治县档案馆202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spacing w:line="560" w:lineRule="exact"/>
        <w:ind w:firstLine="640"/>
        <w:jc w:val="both"/>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注：</w:t>
      </w:r>
      <w:r>
        <w:rPr>
          <w:rFonts w:hint="eastAsia" w:ascii="仿宋_GB2312" w:hAnsi="Times New Roman" w:eastAsia="仿宋_GB2312" w:cs="Times New Roman"/>
          <w:color w:val="auto"/>
          <w:sz w:val="32"/>
          <w:szCs w:val="32"/>
        </w:rPr>
        <w:t>环江毛南族自治县档案馆</w:t>
      </w:r>
      <w:r>
        <w:rPr>
          <w:rFonts w:ascii="仿宋_GB2312" w:hAnsi="仿宋_GB2312" w:eastAsia="仿宋_GB2312" w:cs="仿宋_GB2312"/>
          <w:color w:val="auto"/>
          <w:sz w:val="32"/>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环江毛南族自治县档案馆202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spacing w:line="560" w:lineRule="exact"/>
        <w:ind w:firstLine="64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环江毛南族自治县档案馆202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spacing w:line="560" w:lineRule="exact"/>
        <w:ind w:firstLine="640"/>
        <w:jc w:val="both"/>
        <w:rPr>
          <w:rFonts w:hint="eastAsia" w:ascii="仿宋" w:hAnsi="仿宋" w:eastAsia="仿宋" w:cs="仿宋"/>
          <w:color w:val="auto"/>
          <w:sz w:val="32"/>
          <w:szCs w:val="32"/>
          <w:highlight w:val="none"/>
        </w:rPr>
      </w:pPr>
      <w:bookmarkStart w:id="5" w:name="PO_part3A5B1C1DiffReason1"/>
      <w:r>
        <w:rPr>
          <w:rFonts w:hint="eastAsia" w:ascii="仿宋_GB2312" w:hAnsi="Times New Roman" w:eastAsia="仿宋_GB2312" w:cs="Times New Roman"/>
          <w:color w:val="auto"/>
          <w:sz w:val="32"/>
          <w:szCs w:val="32"/>
          <w:lang w:val="en-US" w:eastAsia="zh-CN"/>
        </w:rPr>
        <w:t>注：</w:t>
      </w:r>
      <w:r>
        <w:rPr>
          <w:rFonts w:hint="eastAsia" w:ascii="仿宋_GB2312" w:hAnsi="Times New Roman" w:eastAsia="仿宋_GB2312" w:cs="Times New Roman"/>
          <w:color w:val="auto"/>
          <w:sz w:val="32"/>
          <w:szCs w:val="32"/>
        </w:rPr>
        <w:t>环江毛南族自治县档案馆</w:t>
      </w:r>
      <w:r>
        <w:rPr>
          <w:rFonts w:ascii="仿宋_GB2312" w:hAnsi="仿宋_GB2312" w:eastAsia="仿宋_GB2312" w:cs="仿宋_GB2312"/>
          <w:color w:val="auto"/>
          <w:sz w:val="32"/>
        </w:rPr>
        <w:t>没有国有资本经营预算收入，也没有国有资本经营预算收入</w:t>
      </w:r>
      <w:r>
        <w:rPr>
          <w:rFonts w:hint="eastAsia" w:ascii="仿宋_GB2312" w:hAnsi="仿宋_GB2312" w:eastAsia="仿宋_GB2312" w:cs="仿宋_GB2312"/>
          <w:color w:val="auto"/>
          <w:sz w:val="32"/>
          <w:lang w:val="en-US" w:eastAsia="zh-CN"/>
        </w:rPr>
        <w:t>安排的支出</w:t>
      </w:r>
      <w:r>
        <w:rPr>
          <w:rFonts w:hint="eastAsia" w:ascii="仿宋_GB2312" w:hAnsi="Times New Roman" w:eastAsia="仿宋_GB2312" w:cs="Times New Roman"/>
          <w:color w:val="auto"/>
          <w:sz w:val="32"/>
          <w:szCs w:val="32"/>
          <w:lang w:eastAsia="zh-CN"/>
        </w:rPr>
        <w:t>。</w:t>
      </w:r>
      <w:bookmarkEnd w:id="5"/>
    </w:p>
    <w:p>
      <w:pPr>
        <w:keepNext w:val="0"/>
        <w:keepLines w:val="0"/>
        <w:pageBreakBefore w:val="0"/>
        <w:widowControl w:val="0"/>
        <w:spacing w:line="560" w:lineRule="exact"/>
        <w:jc w:val="both"/>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pageBreakBefore w:val="0"/>
        <w:widowControl w:val="0"/>
        <w:suppressLineNumbers w:val="0"/>
        <w:spacing w:before="0" w:beforeAutospacing="0" w:after="0" w:afterAutospacing="0" w:line="560" w:lineRule="exact"/>
        <w:ind w:left="0" w:right="0"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本部门</w:t>
      </w:r>
      <w:r>
        <w:rPr>
          <w:rFonts w:hint="default" w:ascii="仿宋" w:hAnsi="仿宋" w:eastAsia="仿宋" w:cs="仿宋"/>
          <w:sz w:val="32"/>
          <w:szCs w:val="32"/>
          <w:highlight w:val="none"/>
          <w:lang w:val="en-US" w:eastAsia="zh-CN"/>
        </w:rPr>
        <w:t>202</w:t>
      </w:r>
      <w:r>
        <w:rPr>
          <w:rFonts w:hint="eastAsia" w:ascii="仿宋" w:hAnsi="仿宋" w:eastAsia="仿宋" w:cs="仿宋"/>
          <w:sz w:val="32"/>
          <w:szCs w:val="32"/>
          <w:highlight w:val="none"/>
          <w:lang w:val="en-US" w:eastAsia="zh-CN"/>
        </w:rPr>
        <w:t>3年度没有财政拨款“三公”经费收入，也没有财政拨款“三公”经费安排的支出。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keepNext w:val="0"/>
        <w:keepLines w:val="0"/>
        <w:pageBreakBefore w:val="0"/>
        <w:widowControl w:val="0"/>
        <w:numPr>
          <w:ilvl w:val="0"/>
          <w:numId w:val="3"/>
        </w:numPr>
        <w:spacing w:line="560" w:lineRule="exact"/>
        <w:ind w:left="-10" w:leftChars="0" w:firstLine="640" w:firstLineChars="0"/>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原因是：本部门无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eastAsia="zh-CN"/>
        </w:rPr>
        <w:t>。</w:t>
      </w:r>
    </w:p>
    <w:p>
      <w:pPr>
        <w:keepNext w:val="0"/>
        <w:keepLines w:val="0"/>
        <w:pageBreakBefore w:val="0"/>
        <w:widowControl w:val="0"/>
        <w:numPr>
          <w:ilvl w:val="0"/>
          <w:numId w:val="3"/>
        </w:numPr>
        <w:spacing w:line="560" w:lineRule="exact"/>
        <w:ind w:left="-10" w:leftChars="0" w:firstLine="640" w:firstLineChars="0"/>
        <w:jc w:val="both"/>
        <w:rPr>
          <w:rFonts w:hint="eastAsia" w:ascii="仿宋" w:hAnsi="仿宋" w:eastAsia="仿宋" w:cs="仿宋"/>
          <w:color w:val="auto"/>
          <w:sz w:val="32"/>
          <w:szCs w:val="32"/>
        </w:rPr>
      </w:pPr>
      <w:r>
        <w:rPr>
          <w:rFonts w:hint="eastAsia" w:ascii="仿宋" w:hAnsi="仿宋" w:eastAsia="仿宋" w:cs="仿宋"/>
          <w:sz w:val="32"/>
          <w:szCs w:val="32"/>
          <w:highlight w:val="none"/>
        </w:rPr>
        <w:t>公务用车购置及运行维护费</w:t>
      </w:r>
      <w:r>
        <w:rPr>
          <w:rFonts w:ascii="仿宋" w:hAnsi="仿宋" w:eastAsia="仿宋" w:cs="仿宋"/>
          <w:sz w:val="32"/>
        </w:rPr>
        <w:t>0.00</w:t>
      </w:r>
      <w:r>
        <w:rPr>
          <w:rFonts w:hint="eastAsia" w:ascii="仿宋" w:hAnsi="仿宋" w:eastAsia="仿宋" w:cs="仿宋"/>
          <w:sz w:val="32"/>
          <w:szCs w:val="32"/>
          <w:highlight w:val="none"/>
        </w:rPr>
        <w:t>万元。其中：公务用车购置支出</w:t>
      </w:r>
      <w:r>
        <w:rPr>
          <w:rFonts w:ascii="仿宋" w:hAnsi="仿宋" w:eastAsia="仿宋" w:cs="仿宋"/>
          <w:sz w:val="32"/>
        </w:rPr>
        <w:t>0.00</w:t>
      </w:r>
      <w:r>
        <w:rPr>
          <w:rFonts w:hint="eastAsia" w:ascii="仿宋" w:hAnsi="仿宋" w:eastAsia="仿宋" w:cs="仿宋"/>
          <w:sz w:val="32"/>
          <w:szCs w:val="32"/>
          <w:highlight w:val="none"/>
        </w:rPr>
        <w:t>万元，完成年初预算的</w:t>
      </w:r>
      <w:r>
        <w:rPr>
          <w:rFonts w:ascii="仿宋" w:hAnsi="仿宋" w:eastAsia="仿宋" w:cs="仿宋"/>
          <w:sz w:val="32"/>
        </w:rPr>
        <w:t>0%</w:t>
      </w:r>
      <w:r>
        <w:rPr>
          <w:rFonts w:hint="eastAsia" w:ascii="仿宋" w:hAnsi="仿宋" w:eastAsia="仿宋" w:cs="仿宋"/>
          <w:sz w:val="32"/>
          <w:szCs w:val="32"/>
          <w:highlight w:val="none"/>
        </w:rPr>
        <w:t>，比上年</w:t>
      </w:r>
      <w:r>
        <w:rPr>
          <w:rFonts w:ascii="仿宋" w:hAnsi="仿宋" w:eastAsia="仿宋" w:cs="仿宋"/>
          <w:sz w:val="32"/>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6"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6"/>
      <w:r>
        <w:rPr>
          <w:rFonts w:hint="eastAsia" w:ascii="仿宋" w:hAnsi="仿宋" w:eastAsia="仿宋" w:cs="仿宋"/>
          <w:color w:val="auto"/>
          <w:sz w:val="32"/>
          <w:szCs w:val="32"/>
        </w:rPr>
        <w:t>。</w:t>
      </w:r>
    </w:p>
    <w:p>
      <w:pPr>
        <w:keepNext w:val="0"/>
        <w:keepLines w:val="0"/>
        <w:pageBreakBefore w:val="0"/>
        <w:widowControl w:val="0"/>
        <w:numPr>
          <w:ilvl w:val="0"/>
          <w:numId w:val="0"/>
        </w:numPr>
        <w:spacing w:line="560" w:lineRule="exact"/>
        <w:ind w:firstLine="640"/>
        <w:jc w:val="both"/>
        <w:rPr>
          <w:rFonts w:hint="eastAsia" w:ascii="仿宋" w:hAnsi="仿宋" w:eastAsia="仿宋" w:cs="仿宋"/>
          <w:color w:val="auto"/>
          <w:sz w:val="32"/>
          <w:szCs w:val="32"/>
        </w:rPr>
      </w:pPr>
      <w:r>
        <w:rPr>
          <w:rFonts w:hint="eastAsia" w:ascii="仿宋" w:hAnsi="仿宋" w:eastAsia="仿宋" w:cs="仿宋"/>
          <w:sz w:val="32"/>
          <w:szCs w:val="32"/>
          <w:highlight w:val="none"/>
        </w:rPr>
        <w:t>公务用车运行维护支出</w:t>
      </w:r>
      <w:r>
        <w:rPr>
          <w:rFonts w:ascii="仿宋" w:hAnsi="仿宋" w:eastAsia="仿宋" w:cs="仿宋"/>
          <w:sz w:val="32"/>
        </w:rPr>
        <w:t>0.00</w:t>
      </w:r>
      <w:r>
        <w:rPr>
          <w:rFonts w:hint="eastAsia" w:ascii="仿宋" w:hAnsi="仿宋" w:eastAsia="仿宋" w:cs="仿宋"/>
          <w:sz w:val="32"/>
          <w:szCs w:val="32"/>
          <w:highlight w:val="none"/>
        </w:rPr>
        <w:t>万元，完成年初预算的</w:t>
      </w:r>
      <w:r>
        <w:rPr>
          <w:rFonts w:ascii="仿宋" w:hAnsi="仿宋" w:eastAsia="仿宋" w:cs="仿宋"/>
          <w:sz w:val="32"/>
        </w:rPr>
        <w:t>0%</w:t>
      </w:r>
      <w:r>
        <w:rPr>
          <w:rFonts w:hint="eastAsia" w:ascii="仿宋" w:hAnsi="仿宋" w:eastAsia="仿宋" w:cs="仿宋"/>
          <w:sz w:val="32"/>
          <w:szCs w:val="32"/>
          <w:highlight w:val="none"/>
        </w:rPr>
        <w:t>，比上年</w:t>
      </w:r>
      <w:r>
        <w:rPr>
          <w:rFonts w:ascii="仿宋" w:hAnsi="仿宋" w:eastAsia="仿宋" w:cs="仿宋"/>
          <w:sz w:val="32"/>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及</w:t>
      </w:r>
      <w:r>
        <w:rPr>
          <w:rFonts w:hint="eastAsia" w:ascii="仿宋" w:hAnsi="仿宋" w:eastAsia="仿宋" w:cs="仿宋"/>
          <w:sz w:val="32"/>
          <w:szCs w:val="32"/>
          <w:highlight w:val="none"/>
          <w:lang w:val="en-US" w:eastAsia="zh-CN"/>
        </w:rPr>
        <w:t>0</w:t>
      </w:r>
      <w:r>
        <w:rPr>
          <w:rFonts w:hint="eastAsia" w:ascii="仿宋" w:hAnsi="仿宋" w:eastAsia="仿宋" w:cs="仿宋"/>
          <w:color w:val="000000" w:themeColor="text1"/>
          <w:sz w:val="32"/>
          <w:szCs w:val="32"/>
          <w:highlight w:val="none"/>
          <w:lang w:val="en-US" w:eastAsia="zh-CN"/>
          <w14:textFill>
            <w14:solidFill>
              <w14:schemeClr w14:val="tx1"/>
            </w14:solidFill>
          </w14:textFill>
        </w:rPr>
        <w:t>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rPr>
        <w:t>0</w:t>
      </w:r>
      <w:r>
        <w:rPr>
          <w:rFonts w:hint="eastAsia" w:ascii="仿宋" w:hAnsi="仿宋" w:eastAsia="仿宋" w:cs="仿宋"/>
          <w:sz w:val="32"/>
          <w:szCs w:val="32"/>
          <w:highlight w:val="none"/>
        </w:rPr>
        <w:t>辆，全年运行费支出</w:t>
      </w:r>
      <w:r>
        <w:rPr>
          <w:rFonts w:ascii="仿宋" w:hAnsi="仿宋" w:eastAsia="仿宋" w:cs="仿宋"/>
          <w:sz w:val="32"/>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keepNext w:val="0"/>
        <w:keepLines w:val="0"/>
        <w:pageBreakBefore w:val="0"/>
        <w:widowControl w:val="0"/>
        <w:suppressLineNumbers w:val="0"/>
        <w:spacing w:before="0" w:beforeAutospacing="0" w:after="0" w:afterAutospacing="0" w:line="560" w:lineRule="exact"/>
        <w:ind w:left="0" w:right="0" w:firstLine="640"/>
        <w:jc w:val="both"/>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bidi="ar"/>
        </w:rPr>
        <w:t>主要原因是：2023年本部门无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sz w:val="32"/>
          <w:szCs w:val="32"/>
          <w:highlight w:val="none"/>
          <w:lang w:eastAsia="zh-CN"/>
        </w:rPr>
        <w:t>。</w:t>
      </w:r>
    </w:p>
    <w:p>
      <w:pPr>
        <w:keepNext w:val="0"/>
        <w:keepLines w:val="0"/>
        <w:pageBreakBefore w:val="0"/>
        <w:widowControl w:val="0"/>
        <w:spacing w:line="560" w:lineRule="exact"/>
        <w:jc w:val="both"/>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keepNext w:val="0"/>
        <w:keepLines w:val="0"/>
        <w:pageBreakBefore w:val="0"/>
        <w:widowControl w:val="0"/>
        <w:spacing w:line="560" w:lineRule="exact"/>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pageBreakBefore w:val="0"/>
        <w:widowControl w:val="0"/>
        <w:spacing w:line="560" w:lineRule="exact"/>
        <w:ind w:firstLine="64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年度机关运行经费支出</w:t>
      </w:r>
      <w:r>
        <w:rPr>
          <w:rFonts w:hint="eastAsia" w:ascii="仿宋" w:hAnsi="仿宋" w:eastAsia="仿宋" w:cs="仿宋"/>
          <w:color w:val="auto"/>
          <w:sz w:val="32"/>
          <w:szCs w:val="32"/>
          <w:highlight w:val="none"/>
          <w:lang w:val="en-US" w:eastAsia="zh-CN"/>
        </w:rPr>
        <w:t>6.54</w:t>
      </w:r>
      <w:r>
        <w:rPr>
          <w:rFonts w:hint="eastAsia" w:ascii="仿宋" w:hAnsi="仿宋" w:eastAsia="仿宋" w:cs="仿宋"/>
          <w:color w:val="auto"/>
          <w:sz w:val="32"/>
          <w:szCs w:val="32"/>
          <w:highlight w:val="none"/>
        </w:rPr>
        <w:t>万元，比年初预算数</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lang w:val="en-US" w:eastAsia="zh-CN"/>
        </w:rPr>
        <w:t>3.87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增加</w:t>
      </w:r>
      <w:r>
        <w:rPr>
          <w:rFonts w:hint="eastAsia" w:ascii="仿宋" w:hAnsi="仿宋" w:eastAsia="仿宋" w:cs="仿宋"/>
          <w:color w:val="auto"/>
          <w:sz w:val="32"/>
          <w:szCs w:val="32"/>
          <w:highlight w:val="none"/>
          <w:lang w:val="en-US" w:eastAsia="zh-CN"/>
        </w:rPr>
        <w:t>24.29</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主要是增加工会经费及人员增加</w:t>
      </w:r>
    </w:p>
    <w:p>
      <w:pPr>
        <w:keepNext w:val="0"/>
        <w:keepLines w:val="0"/>
        <w:pageBreakBefore w:val="0"/>
        <w:widowControl w:val="0"/>
        <w:spacing w:line="560" w:lineRule="exact"/>
        <w:jc w:val="both"/>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keepNext w:val="0"/>
        <w:keepLines w:val="0"/>
        <w:pageBreakBefore w:val="0"/>
        <w:widowControl w:val="0"/>
        <w:spacing w:line="560" w:lineRule="exact"/>
        <w:ind w:firstLine="64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年度政府采购支出总额</w:t>
      </w:r>
      <w:r>
        <w:rPr>
          <w:rFonts w:hint="eastAsia" w:ascii="仿宋" w:hAnsi="仿宋" w:eastAsia="仿宋" w:cs="仿宋"/>
          <w:color w:val="auto"/>
          <w:sz w:val="32"/>
          <w:szCs w:val="32"/>
          <w:highlight w:val="none"/>
          <w:lang w:val="en-US" w:eastAsia="zh-CN"/>
        </w:rPr>
        <w:t>29.50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29.50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keepNext w:val="0"/>
        <w:keepLines w:val="0"/>
        <w:pageBreakBefore w:val="0"/>
        <w:widowControl w:val="0"/>
        <w:spacing w:line="560" w:lineRule="exact"/>
        <w:jc w:val="both"/>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keepNext w:val="0"/>
        <w:keepLines w:val="0"/>
        <w:pageBreakBefore w:val="0"/>
        <w:widowControl w:val="0"/>
        <w:spacing w:line="560" w:lineRule="exact"/>
        <w:ind w:firstLine="64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keepNext w:val="0"/>
        <w:keepLines w:val="0"/>
        <w:pageBreakBefore w:val="0"/>
        <w:widowControl w:val="0"/>
        <w:numPr>
          <w:ilvl w:val="0"/>
          <w:numId w:val="3"/>
        </w:numPr>
        <w:spacing w:line="560" w:lineRule="exact"/>
        <w:ind w:left="-10" w:leftChars="0" w:firstLine="640" w:firstLineChars="0"/>
        <w:jc w:val="both"/>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仿宋_GB2312" w:eastAsia="仿宋_GB2312" w:cs="仿宋_GB2312"/>
          <w:i w:val="0"/>
          <w:iCs w:val="0"/>
          <w:caps w:val="0"/>
          <w:color w:val="333333"/>
          <w:spacing w:val="0"/>
          <w:sz w:val="32"/>
          <w:szCs w:val="32"/>
          <w:lang w:val="en-US" w:eastAsia="zh-CN"/>
        </w:rPr>
        <w:t>2023年</w:t>
      </w:r>
      <w:r>
        <w:rPr>
          <w:rFonts w:hint="eastAsia" w:ascii="仿宋_GB2312" w:hAnsi="仿宋_GB2312" w:eastAsia="仿宋_GB2312" w:cs="仿宋_GB2312"/>
          <w:sz w:val="32"/>
          <w:szCs w:val="32"/>
          <w:lang w:eastAsia="zh-CN"/>
        </w:rPr>
        <w:t>部门整体</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数</w:t>
      </w:r>
      <w:r>
        <w:rPr>
          <w:rFonts w:hint="eastAsia" w:ascii="仿宋_GB2312" w:hAnsi="仿宋_GB2312" w:eastAsia="仿宋_GB2312" w:cs="仿宋_GB2312"/>
          <w:i w:val="0"/>
          <w:iCs w:val="0"/>
          <w:caps w:val="0"/>
          <w:color w:val="333333"/>
          <w:spacing w:val="0"/>
          <w:sz w:val="32"/>
          <w:szCs w:val="32"/>
          <w:lang w:val="en-US" w:eastAsia="zh-CN"/>
        </w:rPr>
        <w:t>157.53</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年中预算</w:t>
      </w:r>
      <w:r>
        <w:rPr>
          <w:rFonts w:hint="eastAsia" w:ascii="仿宋_GB2312" w:hAnsi="仿宋_GB2312" w:eastAsia="仿宋_GB2312" w:cs="仿宋_GB2312"/>
          <w:i w:val="0"/>
          <w:iCs w:val="0"/>
          <w:caps w:val="0"/>
          <w:color w:val="333333"/>
          <w:spacing w:val="0"/>
          <w:sz w:val="32"/>
          <w:szCs w:val="32"/>
          <w:lang w:eastAsia="zh-CN"/>
        </w:rPr>
        <w:t>调整数</w:t>
      </w:r>
      <w:r>
        <w:rPr>
          <w:rFonts w:hint="eastAsia" w:ascii="仿宋_GB2312" w:hAnsi="仿宋_GB2312" w:eastAsia="仿宋_GB2312" w:cs="仿宋_GB2312"/>
          <w:i w:val="0"/>
          <w:iCs w:val="0"/>
          <w:caps w:val="0"/>
          <w:color w:val="333333"/>
          <w:spacing w:val="0"/>
          <w:sz w:val="32"/>
          <w:szCs w:val="32"/>
          <w:lang w:val="en-US" w:eastAsia="zh-CN"/>
        </w:rPr>
        <w:t>62.79</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，调整后预算数</w:t>
      </w:r>
      <w:r>
        <w:rPr>
          <w:rFonts w:hint="eastAsia" w:ascii="仿宋_GB2312" w:hAnsi="仿宋_GB2312" w:eastAsia="仿宋_GB2312" w:cs="仿宋_GB2312"/>
          <w:i w:val="0"/>
          <w:iCs w:val="0"/>
          <w:caps w:val="0"/>
          <w:color w:val="333333"/>
          <w:spacing w:val="0"/>
          <w:sz w:val="32"/>
          <w:szCs w:val="32"/>
          <w:lang w:val="en-US" w:eastAsia="zh-CN"/>
        </w:rPr>
        <w:t>220.31万元，全年执行数217.35万元，预算执行率98.65%</w:t>
      </w:r>
      <w:r>
        <w:rPr>
          <w:rFonts w:hint="eastAsia" w:ascii="仿宋_GB2312" w:hAnsi="仿宋_GB2312" w:eastAsia="仿宋_GB2312" w:cs="仿宋_GB2312"/>
          <w:i w:val="0"/>
          <w:iCs w:val="0"/>
          <w:caps w:val="0"/>
          <w:color w:val="333333"/>
          <w:spacing w:val="0"/>
          <w:sz w:val="32"/>
          <w:szCs w:val="32"/>
        </w:rPr>
        <w:t>。</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整体支出绩效自评结果为</w:t>
      </w:r>
      <w:r>
        <w:rPr>
          <w:rFonts w:hint="eastAsia" w:ascii="仿宋_GB2312" w:eastAsia="仿宋_GB2312" w:cs="仿宋_GB2312"/>
          <w:kern w:val="0"/>
          <w:sz w:val="32"/>
          <w:szCs w:val="32"/>
          <w:lang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lang w:eastAsia="zh-CN"/>
        </w:rPr>
        <w:t>产出指标完成情况分析。</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经费</w:t>
      </w:r>
      <w:r>
        <w:rPr>
          <w:rFonts w:hint="eastAsia" w:ascii="仿宋_GB2312" w:hAnsi="仿宋_GB2312" w:eastAsia="仿宋_GB2312" w:cs="仿宋_GB2312"/>
          <w:i w:val="0"/>
          <w:iCs w:val="0"/>
          <w:caps w:val="0"/>
          <w:color w:val="333333"/>
          <w:spacing w:val="0"/>
          <w:sz w:val="32"/>
          <w:szCs w:val="32"/>
          <w:lang w:val="en-US" w:eastAsia="zh-CN"/>
        </w:rPr>
        <w:t>157.53</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，实际调整后预算数</w:t>
      </w:r>
      <w:r>
        <w:rPr>
          <w:rFonts w:hint="eastAsia" w:ascii="仿宋_GB2312" w:hAnsi="仿宋_GB2312" w:eastAsia="仿宋_GB2312" w:cs="仿宋_GB2312"/>
          <w:i w:val="0"/>
          <w:iCs w:val="0"/>
          <w:caps w:val="0"/>
          <w:color w:val="333333"/>
          <w:spacing w:val="0"/>
          <w:sz w:val="32"/>
          <w:szCs w:val="32"/>
          <w:lang w:val="en-US" w:eastAsia="zh-CN"/>
        </w:rPr>
        <w:t>220.31万元，全年完成支付212.97万元</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经费支出合规，能按时支付各项款项，确保各项工作顺利开展，全面完成年度目标任务。</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（2）效益指标完成情况分析。经济效益、社会效益、生态效益和可持续影响都达到预期要求。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42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（3）满意度指标完成情况分析。服务对象对</w:t>
      </w:r>
      <w:r>
        <w:rPr>
          <w:rFonts w:hint="eastAsia" w:ascii="仿宋_GB2312" w:hAnsi="仿宋_GB2312" w:eastAsia="仿宋_GB2312" w:cs="仿宋_GB2312"/>
          <w:i w:val="0"/>
          <w:iCs w:val="0"/>
          <w:caps w:val="0"/>
          <w:color w:val="333333"/>
          <w:spacing w:val="0"/>
          <w:sz w:val="32"/>
          <w:szCs w:val="32"/>
          <w:lang w:eastAsia="zh-CN"/>
        </w:rPr>
        <w:t>政府</w:t>
      </w:r>
      <w:r>
        <w:rPr>
          <w:rFonts w:hint="eastAsia" w:ascii="仿宋_GB2312" w:hAnsi="仿宋_GB2312" w:eastAsia="仿宋_GB2312" w:cs="仿宋_GB2312"/>
          <w:i w:val="0"/>
          <w:iCs w:val="0"/>
          <w:caps w:val="0"/>
          <w:color w:val="333333"/>
          <w:spacing w:val="0"/>
          <w:sz w:val="32"/>
          <w:szCs w:val="32"/>
        </w:rPr>
        <w:t>工作的满意度达9</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%以上。</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hAnsi="仿宋_GB2312" w:eastAsia="仿宋_GB2312" w:cs="仿宋_GB2312"/>
          <w:i w:val="0"/>
          <w:iCs w:val="0"/>
          <w:caps w:val="0"/>
          <w:color w:val="333333"/>
          <w:spacing w:val="0"/>
          <w:sz w:val="32"/>
          <w:szCs w:val="32"/>
          <w:lang w:val="en-US" w:eastAsia="zh-CN"/>
        </w:rPr>
        <w:t>71.94</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6</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hAnsi="仿宋_GB2312" w:eastAsia="仿宋_GB2312" w:cs="仿宋_GB2312"/>
          <w:i w:val="0"/>
          <w:iCs w:val="0"/>
          <w:caps w:val="0"/>
          <w:color w:val="333333"/>
          <w:spacing w:val="0"/>
          <w:sz w:val="32"/>
          <w:szCs w:val="32"/>
          <w:lang w:val="en-US" w:eastAsia="zh-CN"/>
        </w:rPr>
        <w:t>71.94</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0.00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20" w:lineRule="atLeast"/>
        <w:ind w:right="0" w:rightChars="0" w:firstLine="640" w:firstLineChars="200"/>
        <w:jc w:val="both"/>
        <w:textAlignment w:val="auto"/>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71.61</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99.54</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3.00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0.41</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hint="eastAsia" w:ascii="仿宋_GB2312" w:hAnsi="仿宋_GB2312" w:eastAsia="仿宋_GB2312" w:cs="Times New Roman"/>
          <w:kern w:val="2"/>
          <w:sz w:val="32"/>
          <w:szCs w:val="32"/>
          <w:lang w:val="en-US" w:eastAsia="zh-CN" w:bidi="ar-SA"/>
        </w:rPr>
        <w:t>年初预算经费不促，财政调拔上年额度经费;</w:t>
      </w:r>
      <w:r>
        <w:rPr>
          <w:rFonts w:hint="eastAsia" w:ascii="仿宋_GB2312" w:hAnsi="Times New Roman" w:eastAsia="仿宋_GB2312" w:cs="仿宋_GB2312"/>
          <w:b w:val="0"/>
          <w:bCs w:val="0"/>
          <w:caps w:val="0"/>
          <w:color w:val="auto"/>
          <w:kern w:val="0"/>
          <w:sz w:val="32"/>
          <w:szCs w:val="32"/>
          <w:vertAlign w:val="baseline"/>
          <w:lang w:val="en-US" w:eastAsia="zh-CN" w:bidi="ar"/>
        </w:rPr>
        <w:t>下一步</w:t>
      </w:r>
      <w:r>
        <w:rPr>
          <w:rFonts w:hint="eastAsia" w:ascii="仿宋_GB2312" w:hAnsi="仿宋_GB2312" w:eastAsia="仿宋_GB2312" w:cs="Times New Roman"/>
          <w:kern w:val="2"/>
          <w:sz w:val="32"/>
          <w:szCs w:val="32"/>
          <w:lang w:val="en-US" w:eastAsia="zh-CN" w:bidi="ar-SA"/>
        </w:rPr>
        <w:t>改进措施：年初做好经费预算，厉行节约，控制经费支出。</w:t>
      </w:r>
    </w:p>
    <w:p>
      <w:pPr>
        <w:pStyle w:val="2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部分重点项目绩效自评情况：档案馆安全保管保护设施设备运行维护费根据年初设定的绩效目标，项目自评得分为100分，一等，项目全年预算数为</w:t>
      </w:r>
      <w:r>
        <w:rPr>
          <w:rFonts w:hint="eastAsia" w:ascii="仿宋_GB2312" w:eastAsia="仿宋_GB2312" w:cs="仿宋_GB2312"/>
          <w:kern w:val="0"/>
          <w:sz w:val="32"/>
          <w:szCs w:val="32"/>
          <w:lang w:val="en-US" w:eastAsia="zh-CN"/>
        </w:rPr>
        <w:t>3.00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3.00</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shd w:val="clear" w:fill="FDFDFE"/>
        </w:rPr>
        <w:t>(一)项目产出目标、效果目标的实现情况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eastAsia="zh-CN"/>
        </w:rPr>
        <w:t>　　</w:t>
      </w:r>
      <w:r>
        <w:rPr>
          <w:rFonts w:hint="eastAsia" w:ascii="仿宋" w:hAnsi="仿宋" w:eastAsia="仿宋" w:cs="仿宋"/>
          <w:i w:val="0"/>
          <w:iCs w:val="0"/>
          <w:caps w:val="0"/>
          <w:color w:val="000000"/>
          <w:spacing w:val="0"/>
          <w:sz w:val="30"/>
          <w:szCs w:val="30"/>
          <w:shd w:val="clear" w:fill="FDFDFE"/>
        </w:rPr>
        <w:t>1、产出数量</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lang w:eastAsia="zh-CN"/>
        </w:rPr>
      </w:pPr>
      <w:r>
        <w:rPr>
          <w:rFonts w:hint="eastAsia" w:ascii="仿宋" w:hAnsi="仿宋" w:eastAsia="仿宋" w:cs="仿宋"/>
          <w:i w:val="0"/>
          <w:iCs w:val="0"/>
          <w:caps w:val="0"/>
          <w:color w:val="000000"/>
          <w:spacing w:val="0"/>
          <w:sz w:val="30"/>
          <w:szCs w:val="30"/>
          <w:shd w:val="clear" w:fill="FDFDFE"/>
          <w:lang w:eastAsia="zh-CN"/>
        </w:rPr>
        <w:t>　　设施设备</w:t>
      </w:r>
      <w:r>
        <w:rPr>
          <w:rFonts w:hint="eastAsia" w:ascii="仿宋" w:hAnsi="仿宋" w:eastAsia="仿宋" w:cs="仿宋"/>
          <w:i w:val="0"/>
          <w:iCs w:val="0"/>
          <w:caps w:val="0"/>
          <w:color w:val="000000"/>
          <w:spacing w:val="0"/>
          <w:sz w:val="30"/>
          <w:szCs w:val="30"/>
          <w:shd w:val="clear" w:fill="FDFDFE"/>
          <w:lang w:val="en-US" w:eastAsia="zh-CN"/>
        </w:rPr>
        <w:t>2次维护</w:t>
      </w:r>
      <w:r>
        <w:rPr>
          <w:rFonts w:hint="eastAsia" w:ascii="仿宋" w:hAnsi="仿宋" w:eastAsia="仿宋" w:cs="仿宋"/>
          <w:i w:val="0"/>
          <w:iCs w:val="0"/>
          <w:caps w:val="0"/>
          <w:color w:val="000000"/>
          <w:spacing w:val="0"/>
          <w:sz w:val="30"/>
          <w:szCs w:val="30"/>
          <w:shd w:val="clear" w:fill="FDFDFE"/>
          <w:lang w:eastAsia="zh-CN"/>
        </w:rPr>
        <w:t>。</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val="en-US" w:eastAsia="zh-CN"/>
        </w:rPr>
        <w:t>　　2、</w:t>
      </w:r>
      <w:r>
        <w:rPr>
          <w:rFonts w:hint="eastAsia" w:ascii="仿宋" w:hAnsi="仿宋" w:eastAsia="仿宋" w:cs="仿宋"/>
          <w:i w:val="0"/>
          <w:iCs w:val="0"/>
          <w:caps w:val="0"/>
          <w:color w:val="000000"/>
          <w:spacing w:val="0"/>
          <w:sz w:val="30"/>
          <w:szCs w:val="30"/>
          <w:shd w:val="clear" w:fill="FDFDFE"/>
        </w:rPr>
        <w:t>产出质量</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default" w:ascii="仿宋" w:hAnsi="仿宋" w:eastAsia="仿宋" w:cs="仿宋"/>
          <w:i w:val="0"/>
          <w:iCs w:val="0"/>
          <w:caps w:val="0"/>
          <w:color w:val="000000"/>
          <w:spacing w:val="0"/>
          <w:sz w:val="30"/>
          <w:szCs w:val="30"/>
          <w:shd w:val="clear" w:fill="FDFDFE"/>
          <w:lang w:val="en-US" w:eastAsia="zh-CN"/>
        </w:rPr>
      </w:pPr>
      <w:r>
        <w:rPr>
          <w:rFonts w:hint="eastAsia" w:ascii="仿宋" w:hAnsi="仿宋" w:eastAsia="仿宋" w:cs="仿宋"/>
          <w:i w:val="0"/>
          <w:iCs w:val="0"/>
          <w:caps w:val="0"/>
          <w:color w:val="000000"/>
          <w:spacing w:val="0"/>
          <w:sz w:val="30"/>
          <w:szCs w:val="30"/>
          <w:shd w:val="clear" w:fill="FDFDFE"/>
          <w:lang w:eastAsia="zh-CN"/>
        </w:rPr>
        <w:t>　　设施设备维护合格率</w:t>
      </w:r>
      <w:r>
        <w:rPr>
          <w:rFonts w:hint="eastAsia" w:ascii="仿宋" w:hAnsi="仿宋" w:eastAsia="仿宋" w:cs="仿宋"/>
          <w:i w:val="0"/>
          <w:iCs w:val="0"/>
          <w:caps w:val="0"/>
          <w:color w:val="000000"/>
          <w:spacing w:val="0"/>
          <w:sz w:val="30"/>
          <w:szCs w:val="30"/>
          <w:shd w:val="clear" w:fill="FDFDFE"/>
          <w:lang w:val="en-US" w:eastAsia="zh-CN"/>
        </w:rPr>
        <w:t>100%</w:t>
      </w:r>
      <w:r>
        <w:rPr>
          <w:rFonts w:hint="eastAsia" w:ascii="仿宋" w:hAnsi="仿宋" w:eastAsia="仿宋" w:cs="仿宋"/>
          <w:i w:val="0"/>
          <w:iCs w:val="0"/>
          <w:caps w:val="0"/>
          <w:color w:val="000000"/>
          <w:spacing w:val="0"/>
          <w:sz w:val="30"/>
          <w:szCs w:val="30"/>
          <w:shd w:val="clear" w:fill="FDFDFE"/>
          <w:lang w:eastAsia="zh-CN"/>
        </w:rPr>
        <w:t>。</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val="en-US" w:eastAsia="zh-CN"/>
        </w:rPr>
        <w:t>　　3、</w:t>
      </w:r>
      <w:r>
        <w:rPr>
          <w:rFonts w:hint="eastAsia" w:ascii="仿宋" w:hAnsi="仿宋" w:eastAsia="仿宋" w:cs="仿宋"/>
          <w:i w:val="0"/>
          <w:iCs w:val="0"/>
          <w:caps w:val="0"/>
          <w:color w:val="000000"/>
          <w:spacing w:val="0"/>
          <w:sz w:val="30"/>
          <w:szCs w:val="30"/>
          <w:shd w:val="clear" w:fill="FDFDFE"/>
        </w:rPr>
        <w:t>产出时效</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lang w:eastAsia="zh-CN"/>
        </w:rPr>
      </w:pPr>
      <w:r>
        <w:rPr>
          <w:rFonts w:hint="eastAsia" w:ascii="仿宋" w:hAnsi="仿宋" w:eastAsia="仿宋" w:cs="仿宋"/>
          <w:i w:val="0"/>
          <w:iCs w:val="0"/>
          <w:caps w:val="0"/>
          <w:color w:val="000000"/>
          <w:spacing w:val="0"/>
          <w:sz w:val="30"/>
          <w:szCs w:val="30"/>
          <w:shd w:val="clear" w:fill="FDFDFE"/>
          <w:lang w:eastAsia="zh-CN"/>
        </w:rPr>
        <w:t>　　设施设备维护已于</w:t>
      </w:r>
      <w:r>
        <w:rPr>
          <w:rFonts w:hint="eastAsia" w:ascii="仿宋" w:hAnsi="仿宋" w:eastAsia="仿宋" w:cs="仿宋"/>
          <w:i w:val="0"/>
          <w:iCs w:val="0"/>
          <w:caps w:val="0"/>
          <w:color w:val="000000"/>
          <w:spacing w:val="0"/>
          <w:sz w:val="30"/>
          <w:szCs w:val="30"/>
          <w:shd w:val="clear" w:fill="FDFDFE"/>
          <w:lang w:val="en-US" w:eastAsia="zh-CN"/>
        </w:rPr>
        <w:t>2023</w:t>
      </w:r>
      <w:r>
        <w:rPr>
          <w:rFonts w:hint="eastAsia" w:ascii="仿宋" w:hAnsi="仿宋" w:eastAsia="仿宋" w:cs="仿宋"/>
          <w:i w:val="0"/>
          <w:iCs w:val="0"/>
          <w:caps w:val="0"/>
          <w:color w:val="000000" w:themeColor="text1"/>
          <w:spacing w:val="0"/>
          <w:sz w:val="30"/>
          <w:szCs w:val="30"/>
          <w:shd w:val="clear" w:fill="FDFDFE"/>
          <w:lang w:eastAsia="zh-CN"/>
          <w14:textFill>
            <w14:solidFill>
              <w14:schemeClr w14:val="tx1"/>
            </w14:solidFill>
          </w14:textFill>
        </w:rPr>
        <w:t>年</w:t>
      </w:r>
      <w:r>
        <w:rPr>
          <w:rFonts w:hint="eastAsia" w:ascii="仿宋" w:hAnsi="仿宋" w:eastAsia="仿宋" w:cs="仿宋"/>
          <w:i w:val="0"/>
          <w:iCs w:val="0"/>
          <w:caps w:val="0"/>
          <w:color w:val="000000" w:themeColor="text1"/>
          <w:spacing w:val="0"/>
          <w:sz w:val="30"/>
          <w:szCs w:val="30"/>
          <w:shd w:val="clear" w:fill="FDFDFE"/>
          <w:lang w:val="en-US" w:eastAsia="zh-CN"/>
          <w14:textFill>
            <w14:solidFill>
              <w14:schemeClr w14:val="tx1"/>
            </w14:solidFill>
          </w14:textFill>
        </w:rPr>
        <w:t>12</w:t>
      </w:r>
      <w:r>
        <w:rPr>
          <w:rFonts w:hint="eastAsia" w:ascii="仿宋" w:hAnsi="仿宋" w:eastAsia="仿宋" w:cs="仿宋"/>
          <w:i w:val="0"/>
          <w:iCs w:val="0"/>
          <w:caps w:val="0"/>
          <w:color w:val="000000" w:themeColor="text1"/>
          <w:spacing w:val="0"/>
          <w:sz w:val="30"/>
          <w:szCs w:val="30"/>
          <w:shd w:val="clear" w:fill="FDFDFE"/>
          <w:lang w:eastAsia="zh-CN"/>
          <w14:textFill>
            <w14:solidFill>
              <w14:schemeClr w14:val="tx1"/>
            </w14:solidFill>
          </w14:textFill>
        </w:rPr>
        <w:t>月</w:t>
      </w:r>
      <w:r>
        <w:rPr>
          <w:rFonts w:hint="eastAsia" w:ascii="仿宋" w:hAnsi="仿宋" w:eastAsia="仿宋" w:cs="仿宋"/>
          <w:i w:val="0"/>
          <w:iCs w:val="0"/>
          <w:caps w:val="0"/>
          <w:color w:val="000000" w:themeColor="text1"/>
          <w:spacing w:val="0"/>
          <w:sz w:val="30"/>
          <w:szCs w:val="30"/>
          <w:shd w:val="clear" w:fill="FDFDFE"/>
          <w:lang w:val="en-US" w:eastAsia="zh-CN"/>
          <w14:textFill>
            <w14:solidFill>
              <w14:schemeClr w14:val="tx1"/>
            </w14:solidFill>
          </w14:textFill>
        </w:rPr>
        <w:t>31</w:t>
      </w:r>
      <w:r>
        <w:rPr>
          <w:rFonts w:hint="eastAsia" w:ascii="仿宋" w:hAnsi="仿宋" w:eastAsia="仿宋" w:cs="仿宋"/>
          <w:i w:val="0"/>
          <w:iCs w:val="0"/>
          <w:caps w:val="0"/>
          <w:color w:val="000000" w:themeColor="text1"/>
          <w:spacing w:val="0"/>
          <w:sz w:val="30"/>
          <w:szCs w:val="30"/>
          <w:shd w:val="clear" w:fill="FDFDFE"/>
          <w:lang w:eastAsia="zh-CN"/>
          <w14:textFill>
            <w14:solidFill>
              <w14:schemeClr w14:val="tx1"/>
            </w14:solidFill>
          </w14:textFill>
        </w:rPr>
        <w:t>日</w:t>
      </w:r>
      <w:r>
        <w:rPr>
          <w:rFonts w:hint="eastAsia" w:ascii="仿宋" w:hAnsi="仿宋" w:eastAsia="仿宋" w:cs="仿宋"/>
          <w:i w:val="0"/>
          <w:iCs w:val="0"/>
          <w:caps w:val="0"/>
          <w:color w:val="000000" w:themeColor="text1"/>
          <w:spacing w:val="0"/>
          <w:sz w:val="30"/>
          <w:szCs w:val="30"/>
          <w:shd w:val="clear" w:fill="FDFDFE"/>
          <w:lang w:val="en-US" w:eastAsia="zh-CN"/>
          <w14:textFill>
            <w14:solidFill>
              <w14:schemeClr w14:val="tx1"/>
            </w14:solidFill>
          </w14:textFill>
        </w:rPr>
        <w:t>前完成</w:t>
      </w:r>
      <w:r>
        <w:rPr>
          <w:rFonts w:hint="eastAsia" w:ascii="仿宋" w:hAnsi="仿宋" w:eastAsia="仿宋" w:cs="仿宋"/>
          <w:i w:val="0"/>
          <w:iCs w:val="0"/>
          <w:caps w:val="0"/>
          <w:color w:val="000000"/>
          <w:spacing w:val="0"/>
          <w:sz w:val="30"/>
          <w:szCs w:val="30"/>
          <w:shd w:val="clear" w:fill="FDFDFE"/>
          <w:lang w:eastAsia="zh-CN"/>
        </w:rPr>
        <w:t>，以达成年度指标。</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val="en-US" w:eastAsia="zh-CN"/>
        </w:rPr>
        <w:t>　　4、</w:t>
      </w:r>
      <w:r>
        <w:rPr>
          <w:rFonts w:hint="eastAsia" w:ascii="仿宋" w:hAnsi="仿宋" w:eastAsia="仿宋" w:cs="仿宋"/>
          <w:i w:val="0"/>
          <w:iCs w:val="0"/>
          <w:caps w:val="0"/>
          <w:color w:val="000000"/>
          <w:spacing w:val="0"/>
          <w:sz w:val="30"/>
          <w:szCs w:val="30"/>
          <w:shd w:val="clear" w:fill="FDFDFE"/>
        </w:rPr>
        <w:t>产出成本</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420" w:leftChars="0" w:right="0" w:rightChars="0"/>
        <w:jc w:val="both"/>
        <w:textAlignment w:val="auto"/>
        <w:rPr>
          <w:rFonts w:hint="default" w:ascii="仿宋" w:hAnsi="仿宋" w:eastAsia="仿宋" w:cs="仿宋"/>
          <w:i w:val="0"/>
          <w:iCs w:val="0"/>
          <w:caps w:val="0"/>
          <w:color w:val="000000"/>
          <w:spacing w:val="0"/>
          <w:sz w:val="30"/>
          <w:szCs w:val="30"/>
          <w:shd w:val="clear" w:fill="FDFDFE"/>
          <w:lang w:val="en-US" w:eastAsia="zh-CN"/>
        </w:rPr>
      </w:pPr>
      <w:r>
        <w:rPr>
          <w:rFonts w:hint="eastAsia" w:ascii="仿宋" w:hAnsi="仿宋" w:eastAsia="仿宋" w:cs="仿宋"/>
          <w:i w:val="0"/>
          <w:iCs w:val="0"/>
          <w:caps w:val="0"/>
          <w:color w:val="000000"/>
          <w:spacing w:val="0"/>
          <w:sz w:val="30"/>
          <w:szCs w:val="30"/>
          <w:shd w:val="clear" w:fill="FDFDFE"/>
          <w:lang w:eastAsia="zh-CN"/>
        </w:rPr>
        <w:t>　　项目成本</w:t>
      </w:r>
      <w:r>
        <w:rPr>
          <w:rFonts w:hint="eastAsia" w:ascii="仿宋" w:hAnsi="仿宋" w:eastAsia="仿宋" w:cs="仿宋"/>
          <w:i w:val="0"/>
          <w:iCs w:val="0"/>
          <w:caps w:val="0"/>
          <w:color w:val="000000"/>
          <w:spacing w:val="0"/>
          <w:sz w:val="30"/>
          <w:szCs w:val="30"/>
          <w:shd w:val="clear" w:fill="FDFDFE"/>
          <w:lang w:val="en-US" w:eastAsia="zh-CN"/>
        </w:rPr>
        <w:t>3.00万元，已支出3.00万元。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rPr>
      </w:pPr>
      <w:r>
        <w:rPr>
          <w:rFonts w:hint="eastAsia" w:ascii="仿宋" w:hAnsi="仿宋" w:eastAsia="仿宋" w:cs="仿宋"/>
          <w:i w:val="0"/>
          <w:iCs w:val="0"/>
          <w:caps w:val="0"/>
          <w:color w:val="000000"/>
          <w:spacing w:val="0"/>
          <w:sz w:val="30"/>
          <w:szCs w:val="30"/>
          <w:shd w:val="clear" w:fill="FDFDFE"/>
          <w:lang w:eastAsia="zh-CN"/>
        </w:rPr>
        <w:t>（二）</w:t>
      </w:r>
      <w:r>
        <w:rPr>
          <w:rFonts w:hint="eastAsia" w:ascii="仿宋" w:hAnsi="仿宋" w:eastAsia="仿宋" w:cs="仿宋"/>
          <w:i w:val="0"/>
          <w:iCs w:val="0"/>
          <w:caps w:val="0"/>
          <w:color w:val="000000"/>
          <w:spacing w:val="0"/>
          <w:sz w:val="30"/>
          <w:szCs w:val="30"/>
          <w:shd w:val="clear" w:fill="FDFDFE"/>
        </w:rPr>
        <w:t>项目组织实施的实际情况与目标的差异情况说明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仿宋" w:hAnsi="仿宋" w:eastAsia="仿宋" w:cs="仿宋"/>
          <w:i w:val="0"/>
          <w:iCs w:val="0"/>
          <w:caps w:val="0"/>
          <w:color w:val="000000"/>
          <w:spacing w:val="0"/>
          <w:sz w:val="30"/>
          <w:szCs w:val="30"/>
          <w:shd w:val="clear" w:fill="FDFDFE"/>
          <w:lang w:eastAsia="zh-CN"/>
        </w:rPr>
      </w:pPr>
      <w:r>
        <w:rPr>
          <w:rFonts w:hint="eastAsia" w:ascii="仿宋" w:hAnsi="仿宋" w:eastAsia="仿宋" w:cs="仿宋"/>
          <w:i w:val="0"/>
          <w:iCs w:val="0"/>
          <w:caps w:val="0"/>
          <w:color w:val="000000"/>
          <w:spacing w:val="0"/>
          <w:sz w:val="30"/>
          <w:szCs w:val="30"/>
          <w:shd w:val="clear" w:fill="FDFDFE"/>
          <w:lang w:eastAsia="zh-CN"/>
        </w:rPr>
        <w:t>　　不存在差异</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hAnsi="Times New Roman" w:eastAsia="仿宋_GB2312" w:cs="仿宋_GB2312"/>
          <w:b w:val="0"/>
          <w:bCs w:val="0"/>
          <w:caps w:val="0"/>
          <w:color w:val="auto"/>
          <w:kern w:val="0"/>
          <w:sz w:val="32"/>
          <w:szCs w:val="32"/>
          <w:highlight w:val="none"/>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组织对“档案馆业务建设经费”等6个项目进行了部门评价，评价结果</w:t>
      </w:r>
      <w:r>
        <w:rPr>
          <w:rFonts w:hint="eastAsia" w:ascii="仿宋_GB2312" w:eastAsia="仿宋_GB2312" w:cs="仿宋_GB2312"/>
          <w:kern w:val="0"/>
          <w:sz w:val="32"/>
          <w:szCs w:val="32"/>
          <w:lang w:val="en-US" w:eastAsia="zh-CN"/>
        </w:rPr>
        <w:t>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71.61</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个项目评为二等，涉及资金3.00万元。从评价情况来看:</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档案馆业务建设经费</w:t>
      </w:r>
      <w:r>
        <w:rPr>
          <w:rFonts w:hint="eastAsia" w:ascii="仿宋" w:hAnsi="仿宋" w:eastAsia="仿宋" w:cs="仿宋"/>
          <w:color w:val="000000" w:themeColor="text1"/>
          <w:sz w:val="32"/>
          <w:szCs w:val="32"/>
          <w:highlight w:val="none"/>
          <w:lang w:val="en-US" w:eastAsia="zh-CN"/>
          <w14:textFill>
            <w14:solidFill>
              <w14:schemeClr w14:val="tx1"/>
            </w14:solidFill>
          </w14:textFill>
        </w:rPr>
        <w:t>,预算执行率100%,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_GB2312" w:hAnsi="Times New Roman" w:eastAsia="仿宋_GB2312" w:cs="仿宋_GB2312"/>
          <w:b w:val="0"/>
          <w:bCs w:val="0"/>
          <w:caps w:val="0"/>
          <w:color w:val="auto"/>
          <w:kern w:val="0"/>
          <w:sz w:val="32"/>
          <w:szCs w:val="32"/>
          <w:vertAlign w:val="baseline"/>
          <w:lang w:val="en-US" w:eastAsia="zh-CN" w:bidi="ar"/>
        </w:rPr>
        <w:t>档案馆数字化建设</w:t>
      </w:r>
      <w:r>
        <w:rPr>
          <w:rFonts w:hint="eastAsia" w:ascii="仿宋" w:hAnsi="仿宋" w:eastAsia="仿宋" w:cs="仿宋"/>
          <w:color w:val="000000" w:themeColor="text1"/>
          <w:sz w:val="32"/>
          <w:szCs w:val="32"/>
          <w:highlight w:val="none"/>
          <w:lang w:val="en-US" w:eastAsia="zh-CN"/>
          <w14:textFill>
            <w14:solidFill>
              <w14:schemeClr w14:val="tx1"/>
            </w14:solidFill>
          </w14:textFill>
        </w:rPr>
        <w:t>经费,预算执行率100%,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_GB2312" w:hAnsi="Times New Roman" w:eastAsia="仿宋_GB2312" w:cs="仿宋_GB2312"/>
          <w:b w:val="0"/>
          <w:bCs w:val="0"/>
          <w:caps w:val="0"/>
          <w:color w:val="auto"/>
          <w:kern w:val="0"/>
          <w:sz w:val="32"/>
          <w:szCs w:val="32"/>
          <w:vertAlign w:val="baseline"/>
          <w:lang w:val="en-US" w:eastAsia="zh-CN" w:bidi="ar"/>
        </w:rPr>
        <w:t>档案馆安全保管保护设施设备运行维护费</w:t>
      </w:r>
      <w:r>
        <w:rPr>
          <w:rFonts w:hint="eastAsia" w:ascii="仿宋" w:hAnsi="仿宋" w:eastAsia="仿宋" w:cs="仿宋"/>
          <w:color w:val="000000" w:themeColor="text1"/>
          <w:sz w:val="32"/>
          <w:szCs w:val="32"/>
          <w:highlight w:val="none"/>
          <w:lang w:val="en-US" w:eastAsia="zh-CN"/>
          <w14:textFill>
            <w14:solidFill>
              <w14:schemeClr w14:val="tx1"/>
            </w14:solidFill>
          </w14:textFill>
        </w:rPr>
        <w:t>,预算执行率100%,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_GB2312" w:hAnsi="Times New Roman" w:eastAsia="仿宋_GB2312" w:cs="仿宋_GB2312"/>
          <w:b w:val="0"/>
          <w:bCs w:val="0"/>
          <w:caps w:val="0"/>
          <w:color w:val="auto"/>
          <w:kern w:val="0"/>
          <w:sz w:val="32"/>
          <w:szCs w:val="32"/>
          <w:vertAlign w:val="baseline"/>
          <w:lang w:val="en-US" w:eastAsia="zh-CN" w:bidi="ar"/>
        </w:rPr>
        <w:t>档案馆电费</w:t>
      </w:r>
      <w:r>
        <w:rPr>
          <w:rFonts w:hint="eastAsia" w:ascii="仿宋" w:hAnsi="仿宋" w:eastAsia="仿宋" w:cs="仿宋"/>
          <w:color w:val="000000" w:themeColor="text1"/>
          <w:sz w:val="32"/>
          <w:szCs w:val="32"/>
          <w:highlight w:val="none"/>
          <w:lang w:val="en-US" w:eastAsia="zh-CN"/>
          <w14:textFill>
            <w14:solidFill>
              <w14:schemeClr w14:val="tx1"/>
            </w14:solidFill>
          </w14:textFill>
        </w:rPr>
        <w:t>,预算执行率61.58%,</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88.81</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,二等</w:t>
      </w:r>
      <w:r>
        <w:rPr>
          <w:rFonts w:hint="eastAsia" w:ascii="仿宋" w:hAnsi="仿宋" w:eastAsia="仿宋" w:cs="仿宋"/>
          <w:color w:val="000000" w:themeColor="text1"/>
          <w:sz w:val="32"/>
          <w:szCs w:val="32"/>
          <w:highlight w:val="none"/>
          <w14:textFill>
            <w14:solidFill>
              <w14:schemeClr w14:val="tx1"/>
            </w14:solidFill>
          </w14:textFill>
        </w:rPr>
        <w:t>。发现的主要问题及原因：</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sz w:val="32"/>
          <w:szCs w:val="32"/>
          <w:highlight w:val="none"/>
          <w14:textFill>
            <w14:solidFill>
              <w14:schemeClr w14:val="tx1"/>
            </w14:solidFill>
          </w14:textFill>
        </w:rPr>
        <w:t>活动经费没有支付。下一步改进措施：</w:t>
      </w:r>
      <w:r>
        <w:rPr>
          <w:rFonts w:hint="eastAsia" w:ascii="仿宋" w:hAnsi="仿宋" w:eastAsia="仿宋" w:cs="仿宋"/>
          <w:color w:val="000000" w:themeColor="text1"/>
          <w:sz w:val="32"/>
          <w:szCs w:val="32"/>
          <w:highlight w:val="none"/>
          <w:lang w:eastAsia="zh-CN"/>
          <w14:textFill>
            <w14:solidFill>
              <w14:schemeClr w14:val="tx1"/>
            </w14:solidFill>
          </w14:textFill>
        </w:rPr>
        <w:t>要按规定按时支付</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(5)奖励性补贴,预算执行率100%,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auto"/>
          <w:sz w:val="32"/>
          <w:szCs w:val="32"/>
          <w:highlight w:val="none"/>
          <w:lang w:val="en-US" w:eastAsia="zh-CN"/>
        </w:rPr>
        <w:t>,一等</w:t>
      </w:r>
      <w:r>
        <w:rPr>
          <w:rFonts w:hint="eastAsia" w:ascii="仿宋" w:hAnsi="仿宋" w:eastAsia="仿宋" w:cs="仿宋"/>
          <w:color w:val="000000" w:themeColor="text1"/>
          <w:sz w:val="32"/>
          <w:szCs w:val="32"/>
          <w:highlight w:val="none"/>
          <w14:textFill>
            <w14:solidFill>
              <w14:schemeClr w14:val="tx1"/>
            </w14:solidFill>
          </w14:textFill>
        </w:rPr>
        <w:t>。</w:t>
      </w:r>
      <w:bookmarkStart w:id="7" w:name="_GoBack"/>
      <w:bookmarkEnd w:id="7"/>
    </w:p>
    <w:p>
      <w:pPr>
        <w:numPr>
          <w:ilvl w:val="0"/>
          <w:numId w:val="0"/>
        </w:numPr>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（6）奖励性补贴（非三保）,预算执行率100%,</w:t>
      </w:r>
      <w:r>
        <w:rPr>
          <w:rFonts w:hint="eastAsia" w:ascii="仿宋" w:hAnsi="仿宋" w:eastAsia="仿宋" w:cs="仿宋"/>
          <w:color w:val="000000" w:themeColor="text1"/>
          <w:sz w:val="32"/>
          <w:szCs w:val="32"/>
          <w:highlight w:val="none"/>
          <w14:textFill>
            <w14:solidFill>
              <w14:schemeClr w14:val="tx1"/>
            </w14:solidFill>
          </w14:textFill>
        </w:rPr>
        <w:t>项目自评得分为</w:t>
      </w:r>
      <w:r>
        <w:rPr>
          <w:rFonts w:hint="eastAsia" w:ascii="仿宋" w:hAnsi="仿宋" w:eastAsia="仿宋" w:cs="仿宋"/>
          <w:color w:val="000000" w:themeColor="text1"/>
          <w:sz w:val="32"/>
          <w:szCs w:val="32"/>
          <w:highlight w:val="none"/>
          <w:lang w:val="en-US" w:eastAsia="zh-CN"/>
          <w14:textFill>
            <w14:solidFill>
              <w14:schemeClr w14:val="tx1"/>
            </w14:solidFill>
          </w14:textFill>
        </w:rPr>
        <w:t>100</w:t>
      </w:r>
      <w:r>
        <w:rPr>
          <w:rFonts w:hint="eastAsia" w:ascii="仿宋" w:hAnsi="仿宋" w:eastAsia="仿宋" w:cs="仿宋"/>
          <w:color w:val="000000" w:themeColor="text1"/>
          <w:sz w:val="32"/>
          <w:szCs w:val="32"/>
          <w:highlight w:val="none"/>
          <w14:textFill>
            <w14:solidFill>
              <w14:schemeClr w14:val="tx1"/>
            </w14:solidFill>
          </w14:textFill>
        </w:rPr>
        <w:t>分</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highlight w:val="none"/>
          <w:vertAlign w:val="baseline"/>
          <w:lang w:val="en-US" w:eastAsia="zh-CN" w:bidi="ar"/>
        </w:rPr>
        <w:t>一等</w:t>
      </w:r>
      <w:r>
        <w:rPr>
          <w:rFonts w:hint="eastAsia" w:ascii="仿宋" w:hAnsi="仿宋" w:eastAsia="仿宋" w:cs="仿宋"/>
          <w:color w:val="000000" w:themeColor="text1"/>
          <w:sz w:val="32"/>
          <w:szCs w:val="32"/>
          <w:highlight w:val="none"/>
          <w14:textFill>
            <w14:solidFill>
              <w14:schemeClr w14:val="tx1"/>
            </w14:solidFill>
          </w14:textFill>
        </w:rPr>
        <w:t>。</w:t>
      </w:r>
    </w:p>
    <w:p>
      <w:pPr>
        <w:pStyle w:val="2"/>
        <w:rPr>
          <w:rFonts w:hint="eastAsia"/>
        </w:rPr>
      </w:pPr>
    </w:p>
    <w:p>
      <w:pPr>
        <w:ind w:firstLine="320" w:firstLineChars="100"/>
        <w:jc w:val="left"/>
        <w:rPr>
          <w:rFonts w:hint="eastAsia" w:ascii="仿宋" w:hAnsi="仿宋" w:eastAsia="仿宋" w:cs="仿宋"/>
          <w:color w:val="auto"/>
          <w:sz w:val="32"/>
          <w:szCs w:val="32"/>
          <w:lang w:val="en-US" w:eastAsia="zh-CN"/>
        </w:rPr>
      </w:pPr>
      <w:r>
        <w:rPr>
          <w:rFonts w:hint="eastAsia" w:ascii="仿宋_GB2312" w:hAnsi="仿宋_GB2312" w:eastAsia="仿宋_GB2312" w:cs="仿宋_GB2312"/>
          <w:sz w:val="32"/>
          <w:szCs w:val="32"/>
          <w:highlight w:val="none"/>
          <w:lang w:eastAsia="zh-CN"/>
        </w:rPr>
        <w:t>附：</w:t>
      </w:r>
      <w:r>
        <w:rPr>
          <w:rFonts w:hint="eastAsia" w:ascii="仿宋" w:hAnsi="仿宋" w:eastAsia="仿宋" w:cs="仿宋"/>
          <w:color w:val="auto"/>
          <w:sz w:val="32"/>
          <w:szCs w:val="32"/>
        </w:rPr>
        <w:t>《项目支出绩效自评表》</w:t>
      </w:r>
      <w:r>
        <w:rPr>
          <w:rFonts w:hint="eastAsia" w:ascii="仿宋" w:hAnsi="仿宋" w:eastAsia="仿宋" w:cs="仿宋"/>
          <w:color w:val="auto"/>
          <w:sz w:val="32"/>
          <w:szCs w:val="32"/>
          <w:lang w:val="en-US" w:eastAsia="zh-CN"/>
        </w:rPr>
        <w:t>:</w:t>
      </w:r>
    </w:p>
    <w:p>
      <w:pPr>
        <w:ind w:firstLine="320" w:firstLineChars="100"/>
        <w:jc w:val="left"/>
        <w:rPr>
          <w:rFonts w:hint="eastAsia" w:ascii="仿宋" w:hAnsi="仿宋" w:eastAsia="仿宋" w:cs="仿宋"/>
          <w:color w:val="auto"/>
          <w:sz w:val="32"/>
          <w:szCs w:val="32"/>
          <w:lang w:val="en-US" w:eastAsia="zh-CN"/>
        </w:rPr>
      </w:pPr>
    </w:p>
    <w:p>
      <w:pPr>
        <w:ind w:firstLine="320" w:firstLineChars="100"/>
        <w:jc w:val="left"/>
        <w:rPr>
          <w:rFonts w:hint="eastAsia" w:ascii="仿宋" w:hAnsi="仿宋" w:eastAsia="仿宋" w:cs="仿宋"/>
          <w:color w:val="000000" w:themeColor="text1"/>
          <w:sz w:val="32"/>
          <w:szCs w:val="32"/>
          <w:highlight w:val="none"/>
          <w14:textFill>
            <w14:solidFill>
              <w14:schemeClr w14:val="tx1"/>
            </w14:solidFill>
          </w14:textFill>
        </w:rPr>
      </w:pPr>
    </w:p>
    <w:p>
      <w:pPr>
        <w:pStyle w:val="30"/>
        <w:keepNext w:val="0"/>
        <w:keepLines w:val="0"/>
        <w:pageBreakBefore w:val="0"/>
        <w:widowControl w:val="0"/>
        <w:spacing w:after="0" w:line="560" w:lineRule="exact"/>
        <w:ind w:firstLine="640"/>
        <w:rPr>
          <w:rFonts w:hint="eastAsia" w:ascii="仿宋_GB2312" w:hAnsi="仿宋_GB2312" w:eastAsia="仿宋_GB2312" w:cs="Times New Roman"/>
          <w:color w:val="auto"/>
          <w:sz w:val="32"/>
          <w:szCs w:val="32"/>
          <w:highlight w:val="none"/>
          <w:lang w:val="en-US" w:eastAsia="zh-CN"/>
        </w:rPr>
      </w:pPr>
    </w:p>
    <w:p>
      <w:pPr>
        <w:pStyle w:val="30"/>
        <w:keepNext w:val="0"/>
        <w:keepLines w:val="0"/>
        <w:pageBreakBefore w:val="0"/>
        <w:widowControl w:val="0"/>
        <w:spacing w:after="0" w:line="560" w:lineRule="exact"/>
        <w:ind w:firstLine="640"/>
        <w:rPr>
          <w:rFonts w:hint="eastAsia" w:ascii="仿宋_GB2312" w:hAnsi="仿宋_GB2312" w:eastAsia="仿宋_GB2312" w:cs="Times New Roman"/>
          <w:color w:val="auto"/>
          <w:sz w:val="32"/>
          <w:szCs w:val="32"/>
          <w:highlight w:val="none"/>
          <w:lang w:val="en-US" w:eastAsia="zh-CN"/>
        </w:rPr>
        <w:sectPr>
          <w:pgSz w:w="16838" w:h="11906"/>
          <w:pgMar w:top="1800" w:right="1440" w:bottom="1800" w:left="1440" w:header="851" w:footer="992" w:gutter="0"/>
          <w:cols w:space="0" w:num="1"/>
        </w:sectPr>
      </w:pPr>
    </w:p>
    <w:p>
      <w:pPr>
        <w:keepNext w:val="0"/>
        <w:keepLines w:val="0"/>
        <w:pageBreakBefore w:val="0"/>
        <w:widowControl w:val="0"/>
        <w:spacing w:line="560" w:lineRule="exact"/>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rPr>
        <w:t>环江毛南族自治县财政部门当年拨付的资金。</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keepNext w:val="0"/>
        <w:keepLines w:val="0"/>
        <w:pageBreakBefore w:val="0"/>
        <w:widowControl w:val="0"/>
        <w:spacing w:line="560" w:lineRule="exact"/>
        <w:ind w:firstLine="640"/>
        <w:jc w:val="both"/>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keepNext w:val="0"/>
        <w:keepLines w:val="0"/>
        <w:pageBreakBefore w:val="0"/>
        <w:widowControl w:val="0"/>
        <w:spacing w:line="560" w:lineRule="exact"/>
        <w:ind w:firstLine="640"/>
        <w:jc w:val="both"/>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spacing w:line="560" w:lineRule="exact"/>
        <w:ind w:firstLine="64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spacing w:line="560" w:lineRule="exact"/>
        <w:ind w:firstLine="640"/>
        <w:jc w:val="both"/>
        <w:rPr>
          <w:rFonts w:hint="eastAsia" w:ascii="仿宋" w:hAnsi="仿宋" w:eastAsia="仿宋" w:cs="仿宋"/>
          <w:sz w:val="32"/>
          <w:szCs w:val="32"/>
          <w:highlight w:val="none"/>
        </w:rPr>
      </w:pPr>
    </w:p>
    <w:p>
      <w:pPr>
        <w:keepNext w:val="0"/>
        <w:keepLines w:val="0"/>
        <w:pageBreakBefore w:val="0"/>
        <w:spacing w:line="360" w:lineRule="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附表：</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环江</w:t>
      </w:r>
      <w:r>
        <w:rPr>
          <w:rFonts w:hint="eastAsia" w:ascii="仿宋_GB2312" w:hAnsi="仿宋_GB2312" w:eastAsia="仿宋_GB2312" w:cs="仿宋_GB2312"/>
          <w:spacing w:val="0"/>
          <w:sz w:val="32"/>
          <w:szCs w:val="32"/>
          <w:lang w:eastAsia="zh-CN"/>
        </w:rPr>
        <w:t>毛南族自治</w:t>
      </w:r>
      <w:r>
        <w:rPr>
          <w:rFonts w:hint="eastAsia" w:ascii="仿宋_GB2312" w:hAnsi="仿宋_GB2312" w:eastAsia="仿宋_GB2312" w:cs="仿宋_GB2312"/>
          <w:spacing w:val="0"/>
          <w:sz w:val="32"/>
          <w:szCs w:val="32"/>
        </w:rPr>
        <w:t>县</w:t>
      </w:r>
      <w:r>
        <w:rPr>
          <w:rFonts w:hint="eastAsia" w:ascii="仿宋_GB2312" w:hAnsi="仿宋_GB2312" w:eastAsia="仿宋_GB2312" w:cs="仿宋_GB2312"/>
          <w:spacing w:val="0"/>
          <w:sz w:val="32"/>
          <w:szCs w:val="32"/>
          <w:lang w:val="en-US" w:eastAsia="zh-CN"/>
        </w:rPr>
        <w:t>档案馆</w:t>
      </w:r>
      <w:r>
        <w:rPr>
          <w:rFonts w:hint="eastAsia" w:ascii="仿宋_GB2312" w:hAnsi="仿宋_GB2312" w:eastAsia="仿宋_GB2312" w:cs="仿宋_GB2312"/>
          <w:spacing w:val="0"/>
          <w:sz w:val="32"/>
          <w:szCs w:val="32"/>
        </w:rPr>
        <w:t>20</w:t>
      </w:r>
      <w:r>
        <w:rPr>
          <w:rFonts w:hint="eastAsia" w:ascii="仿宋_GB2312" w:hAnsi="仿宋_GB2312" w:eastAsia="仿宋_GB2312" w:cs="仿宋_GB2312"/>
          <w:spacing w:val="0"/>
          <w:sz w:val="32"/>
          <w:szCs w:val="32"/>
          <w:lang w:val="en-US" w:eastAsia="zh-CN"/>
        </w:rPr>
        <w:t>21</w:t>
      </w:r>
      <w:r>
        <w:rPr>
          <w:rFonts w:hint="eastAsia" w:ascii="仿宋_GB2312" w:hAnsi="仿宋_GB2312" w:eastAsia="仿宋_GB2312" w:cs="仿宋_GB2312"/>
          <w:spacing w:val="0"/>
          <w:sz w:val="32"/>
          <w:szCs w:val="32"/>
        </w:rPr>
        <w:t>年部门决算公开报表</w:t>
      </w:r>
    </w:p>
    <w:p>
      <w:pPr>
        <w:keepNext w:val="0"/>
        <w:keepLines w:val="0"/>
        <w:pageBreakBefore w:val="0"/>
        <w:spacing w:line="360" w:lineRule="auto"/>
        <w:ind w:firstLine="960"/>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支出绩效自评表</w:t>
      </w:r>
    </w:p>
    <w:p>
      <w:pPr>
        <w:keepNext w:val="0"/>
        <w:keepLines w:val="0"/>
        <w:pageBreakBefore w:val="0"/>
        <w:widowControl w:val="0"/>
        <w:spacing w:line="560" w:lineRule="exact"/>
        <w:jc w:val="both"/>
        <w:rPr>
          <w:rFonts w:hint="eastAsia" w:ascii="仿宋" w:hAnsi="仿宋" w:eastAsia="仿宋" w:cs="仿宋"/>
          <w:sz w:val="32"/>
          <w:szCs w:val="32"/>
          <w:highlight w:val="none"/>
          <w:lang w:val="en-US" w:eastAsia="zh-CN"/>
        </w:rPr>
      </w:pPr>
    </w:p>
    <w:p>
      <w:pPr>
        <w:keepNext w:val="0"/>
        <w:keepLines w:val="0"/>
        <w:pageBreakBefore w:val="0"/>
        <w:widowControl w:val="0"/>
        <w:spacing w:line="560" w:lineRule="exact"/>
        <w:ind w:firstLine="4480"/>
        <w:jc w:val="both"/>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p>
    <w:sectPr>
      <w:pgSz w:w="11906" w:h="16838" w:orient="landscape"/>
      <w:pgMar w:top="1440" w:right="1800" w:bottom="1440" w:left="1800" w:header="851" w:footer="992" w:gutter="0"/>
      <w:cols w:space="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1" w:lineRule="auto"/>
      <w:ind w:left="9"/>
      <w:rPr>
        <w:rFonts w:ascii="仿宋" w:hAnsi="仿宋" w:eastAsia="仿宋" w:cs="仿宋"/>
        <w:sz w:val="30"/>
        <w:szCs w:val="3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420"/>
      </w:pPr>
      <w:rPr>
        <w:rFonts w:hint="eastAsia"/>
        <w:color w:val="auto"/>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suff w:val="nothing"/>
      <w:lvlText w:val="（%1）"/>
      <w:lvlJc w:val="left"/>
      <w:pPr>
        <w:ind w:left="0" w:firstLine="420"/>
      </w:pPr>
      <w:rPr>
        <w:rFonts w:hint="eastAsia"/>
        <w:color w:val="auto"/>
        <w:sz w:val="32"/>
        <w:szCs w:val="32"/>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59ADCABA"/>
    <w:multiLevelType w:val="multilevel"/>
    <w:tmpl w:val="59ADCABA"/>
    <w:lvl w:ilvl="0" w:tentative="0">
      <w:start w:val="1"/>
      <w:numFmt w:val="chineseCounting"/>
      <w:suff w:val="nothing"/>
      <w:lvlText w:val="（%1）"/>
      <w:lvlJc w:val="left"/>
      <w:pPr>
        <w:ind w:left="-10"/>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7812DDD2"/>
    <w:multiLevelType w:val="singleLevel"/>
    <w:tmpl w:val="7812DDD2"/>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E186C"/>
    <w:rsid w:val="01F643AC"/>
    <w:rsid w:val="044C4AA5"/>
    <w:rsid w:val="0CF42F5B"/>
    <w:rsid w:val="0E280947"/>
    <w:rsid w:val="18824089"/>
    <w:rsid w:val="1C493F61"/>
    <w:rsid w:val="1E9B0BF4"/>
    <w:rsid w:val="1F1E0B74"/>
    <w:rsid w:val="23656071"/>
    <w:rsid w:val="36635990"/>
    <w:rsid w:val="3929134B"/>
    <w:rsid w:val="3E7652BF"/>
    <w:rsid w:val="42B963AE"/>
    <w:rsid w:val="4B6C4630"/>
    <w:rsid w:val="504F2B7E"/>
    <w:rsid w:val="53EB0E51"/>
    <w:rsid w:val="5CD728E8"/>
    <w:rsid w:val="62EF56C7"/>
    <w:rsid w:val="69733998"/>
    <w:rsid w:val="69D66391"/>
    <w:rsid w:val="752305D9"/>
    <w:rsid w:val="76F94311"/>
    <w:rsid w:val="7EC64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sz w:val="48"/>
      <w:szCs w:val="48"/>
    </w:rPr>
  </w:style>
  <w:style w:type="paragraph" w:styleId="4">
    <w:name w:val="heading 2"/>
    <w:basedOn w:val="1"/>
    <w:next w:val="1"/>
    <w:link w:val="39"/>
    <w:unhideWhenUsed/>
    <w:qFormat/>
    <w:uiPriority w:val="9"/>
    <w:pPr>
      <w:keepNext/>
      <w:keepLines/>
      <w:spacing w:before="360" w:after="200"/>
      <w:outlineLvl w:val="1"/>
    </w:pPr>
    <w:rPr>
      <w:rFonts w:ascii="等线" w:hAnsi="等线" w:eastAsia="等线" w:cs="等线"/>
      <w:sz w:val="34"/>
    </w:rPr>
  </w:style>
  <w:style w:type="paragraph" w:styleId="2">
    <w:name w:val="heading 3"/>
    <w:basedOn w:val="1"/>
    <w:next w:val="1"/>
    <w:qFormat/>
    <w:uiPriority w:val="0"/>
    <w:pPr>
      <w:keepNext/>
      <w:keepLines/>
      <w:spacing w:line="360" w:lineRule="auto"/>
      <w:ind w:firstLine="600"/>
      <w:outlineLvl w:val="2"/>
    </w:pPr>
    <w:rPr>
      <w:rFonts w:ascii="Times New Roman" w:hAnsi="仿宋" w:eastAsia="黑体" w:cs="Times New Roman"/>
      <w:bCs/>
      <w:spacing w:val="0"/>
      <w:szCs w:val="32"/>
    </w:rPr>
  </w:style>
  <w:style w:type="paragraph" w:styleId="5">
    <w:name w:val="heading 4"/>
    <w:basedOn w:val="1"/>
    <w:next w:val="1"/>
    <w:link w:val="41"/>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2"/>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3"/>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4"/>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6"/>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Body Text"/>
    <w:basedOn w:val="1"/>
    <w:qFormat/>
    <w:uiPriority w:val="0"/>
    <w:pPr>
      <w:spacing w:after="120"/>
    </w:p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3"/>
    <w:semiHidden/>
    <w:unhideWhenUsed/>
    <w:qFormat/>
    <w:uiPriority w:val="99"/>
    <w:pPr>
      <w:spacing w:after="0" w:line="240" w:lineRule="auto"/>
    </w:pPr>
    <w:rPr>
      <w:sz w:val="20"/>
    </w:rPr>
  </w:style>
  <w:style w:type="paragraph" w:styleId="18">
    <w:name w:val="footer"/>
    <w:basedOn w:val="1"/>
    <w:link w:val="186"/>
    <w:qFormat/>
    <w:uiPriority w:val="0"/>
    <w:pPr>
      <w:tabs>
        <w:tab w:val="center" w:pos="4153"/>
        <w:tab w:val="right" w:pos="8306"/>
      </w:tabs>
      <w:jc w:val="left"/>
    </w:pPr>
    <w:rPr>
      <w:sz w:val="18"/>
      <w:szCs w:val="18"/>
    </w:rPr>
  </w:style>
  <w:style w:type="paragraph" w:styleId="19">
    <w:name w:val="header"/>
    <w:basedOn w:val="1"/>
    <w:link w:val="185"/>
    <w:qFormat/>
    <w:uiPriority w:val="0"/>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9"/>
    <w:qFormat/>
    <w:uiPriority w:val="11"/>
    <w:pPr>
      <w:spacing w:before="200" w:after="200"/>
    </w:pPr>
    <w:rPr>
      <w:sz w:val="24"/>
      <w:szCs w:val="24"/>
    </w:rPr>
  </w:style>
  <w:style w:type="paragraph" w:styleId="23">
    <w:name w:val="footnote text"/>
    <w:basedOn w:val="1"/>
    <w:link w:val="182"/>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Autospacing="1" w:afterAutospacing="1"/>
      <w:jc w:val="left"/>
    </w:pPr>
    <w:rPr>
      <w:rFonts w:cs="Times New Roman"/>
      <w:sz w:val="24"/>
    </w:rPr>
  </w:style>
  <w:style w:type="paragraph" w:styleId="29">
    <w:name w:val="Title"/>
    <w:basedOn w:val="1"/>
    <w:next w:val="1"/>
    <w:link w:val="48"/>
    <w:qFormat/>
    <w:uiPriority w:val="10"/>
    <w:pPr>
      <w:spacing w:before="300" w:after="200"/>
      <w:contextualSpacing/>
    </w:pPr>
    <w:rPr>
      <w:sz w:val="48"/>
      <w:szCs w:val="48"/>
    </w:rPr>
  </w:style>
  <w:style w:type="paragraph" w:styleId="30">
    <w:name w:val="Body Text First Indent"/>
    <w:basedOn w:val="13"/>
    <w:qFormat/>
    <w:uiPriority w:val="0"/>
    <w:pPr>
      <w:ind w:firstLine="420"/>
    </w:p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basedOn w:val="33"/>
    <w:semiHidden/>
    <w:unhideWhenUsed/>
    <w:qFormat/>
    <w:uiPriority w:val="99"/>
    <w:rPr>
      <w:vertAlign w:val="superscript"/>
    </w:rPr>
  </w:style>
  <w:style w:type="character" w:styleId="35">
    <w:name w:val="Emphasis"/>
    <w:basedOn w:val="33"/>
    <w:qFormat/>
    <w:uiPriority w:val="0"/>
    <w:rPr>
      <w:i/>
    </w:rPr>
  </w:style>
  <w:style w:type="character" w:styleId="36">
    <w:name w:val="Hyperlink"/>
    <w:unhideWhenUsed/>
    <w:qFormat/>
    <w:uiPriority w:val="99"/>
    <w:rPr>
      <w:color w:val="0563C1" w:themeColor="hyperlink"/>
      <w:u w:val="single"/>
      <w14:textFill>
        <w14:solidFill>
          <w14:schemeClr w14:val="hlink"/>
        </w14:solidFill>
      </w14:textFill>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等线" w:hAnsi="等线" w:eastAsia="等线" w:cs="等线"/>
      <w:sz w:val="40"/>
      <w:szCs w:val="40"/>
    </w:rPr>
  </w:style>
  <w:style w:type="character" w:customStyle="1" w:styleId="39">
    <w:name w:val="Heading 2 Char"/>
    <w:basedOn w:val="33"/>
    <w:link w:val="4"/>
    <w:qFormat/>
    <w:uiPriority w:val="9"/>
    <w:rPr>
      <w:rFonts w:ascii="等线" w:hAnsi="等线" w:eastAsia="等线" w:cs="等线"/>
      <w:sz w:val="34"/>
    </w:rPr>
  </w:style>
  <w:style w:type="character" w:customStyle="1" w:styleId="40">
    <w:name w:val="Heading 3 Char"/>
    <w:basedOn w:val="33"/>
    <w:qFormat/>
    <w:uiPriority w:val="9"/>
    <w:rPr>
      <w:rFonts w:ascii="等线" w:hAnsi="等线" w:eastAsia="等线" w:cs="等线"/>
      <w:sz w:val="30"/>
      <w:szCs w:val="30"/>
    </w:rPr>
  </w:style>
  <w:style w:type="character" w:customStyle="1" w:styleId="41">
    <w:name w:val="Heading 4 Char"/>
    <w:basedOn w:val="33"/>
    <w:link w:val="5"/>
    <w:qFormat/>
    <w:uiPriority w:val="9"/>
    <w:rPr>
      <w:rFonts w:ascii="等线" w:hAnsi="等线" w:eastAsia="等线" w:cs="等线"/>
      <w:b/>
      <w:bCs/>
      <w:sz w:val="26"/>
      <w:szCs w:val="26"/>
    </w:rPr>
  </w:style>
  <w:style w:type="character" w:customStyle="1" w:styleId="42">
    <w:name w:val="Heading 5 Char"/>
    <w:basedOn w:val="33"/>
    <w:link w:val="6"/>
    <w:qFormat/>
    <w:uiPriority w:val="9"/>
    <w:rPr>
      <w:rFonts w:ascii="等线" w:hAnsi="等线" w:eastAsia="等线" w:cs="等线"/>
      <w:b/>
      <w:bCs/>
      <w:sz w:val="24"/>
      <w:szCs w:val="24"/>
    </w:rPr>
  </w:style>
  <w:style w:type="character" w:customStyle="1" w:styleId="43">
    <w:name w:val="Heading 6 Char"/>
    <w:basedOn w:val="33"/>
    <w:link w:val="7"/>
    <w:qFormat/>
    <w:uiPriority w:val="9"/>
    <w:rPr>
      <w:rFonts w:ascii="等线" w:hAnsi="等线" w:eastAsia="等线" w:cs="等线"/>
      <w:b/>
      <w:bCs/>
      <w:sz w:val="22"/>
      <w:szCs w:val="22"/>
    </w:rPr>
  </w:style>
  <w:style w:type="character" w:customStyle="1" w:styleId="44">
    <w:name w:val="Heading 7 Char"/>
    <w:basedOn w:val="33"/>
    <w:link w:val="8"/>
    <w:qFormat/>
    <w:uiPriority w:val="9"/>
    <w:rPr>
      <w:rFonts w:ascii="等线" w:hAnsi="等线" w:eastAsia="等线" w:cs="等线"/>
      <w:b/>
      <w:bCs/>
      <w:i/>
      <w:iCs/>
      <w:sz w:val="22"/>
      <w:szCs w:val="22"/>
    </w:rPr>
  </w:style>
  <w:style w:type="character" w:customStyle="1" w:styleId="45">
    <w:name w:val="Heading 8 Char"/>
    <w:basedOn w:val="33"/>
    <w:link w:val="9"/>
    <w:qFormat/>
    <w:uiPriority w:val="9"/>
    <w:rPr>
      <w:rFonts w:ascii="等线" w:hAnsi="等线" w:eastAsia="等线" w:cs="等线"/>
      <w:i/>
      <w:iCs/>
      <w:sz w:val="22"/>
      <w:szCs w:val="22"/>
    </w:rPr>
  </w:style>
  <w:style w:type="character" w:customStyle="1" w:styleId="46">
    <w:name w:val="Heading 9 Char"/>
    <w:basedOn w:val="33"/>
    <w:link w:val="10"/>
    <w:qFormat/>
    <w:uiPriority w:val="9"/>
    <w:rPr>
      <w:rFonts w:ascii="等线" w:hAnsi="等线" w:eastAsia="等线" w:cs="等线"/>
      <w:i/>
      <w:iCs/>
      <w:sz w:val="21"/>
      <w:szCs w:val="21"/>
    </w:r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3"/>
    <w:link w:val="29"/>
    <w:qFormat/>
    <w:uiPriority w:val="10"/>
    <w:rPr>
      <w:sz w:val="48"/>
      <w:szCs w:val="48"/>
    </w:rPr>
  </w:style>
  <w:style w:type="character" w:customStyle="1" w:styleId="49">
    <w:name w:val="Subtitle Char"/>
    <w:basedOn w:val="33"/>
    <w:link w:val="22"/>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3"/>
    <w:qFormat/>
    <w:uiPriority w:val="99"/>
  </w:style>
  <w:style w:type="character" w:customStyle="1" w:styleId="55">
    <w:name w:val="Footer Char"/>
    <w:basedOn w:val="33"/>
    <w:qFormat/>
    <w:uiPriority w:val="99"/>
  </w:style>
  <w:style w:type="character" w:customStyle="1" w:styleId="56">
    <w:name w:val="Caption Char"/>
    <w:qFormat/>
    <w:uiPriority w:val="99"/>
  </w:style>
  <w:style w:type="table" w:customStyle="1" w:styleId="57">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70">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1">
    <w:name w:val="Grid Table 2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2">
    <w:name w:val="Grid Table 2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3">
    <w:name w:val="Grid Table 2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4">
    <w:name w:val="Grid Table 2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5">
    <w:name w:val="Grid Table 2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6">
    <w:name w:val="Grid Table 2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7">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3 - Accent 1"/>
    <w:basedOn w:val="31"/>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9">
    <w:name w:val="Grid Table 3 - Accent 2"/>
    <w:basedOn w:val="31"/>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0">
    <w:name w:val="Grid Table 3 - Accent 3"/>
    <w:basedOn w:val="31"/>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1">
    <w:name w:val="Grid Table 3 - Accent 4"/>
    <w:basedOn w:val="31"/>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2">
    <w:name w:val="Grid Table 3 - Accent 5"/>
    <w:basedOn w:val="31"/>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3">
    <w:name w:val="Grid Table 3 - Accent 6"/>
    <w:basedOn w:val="31"/>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4">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4 - Accent 1"/>
    <w:basedOn w:val="31"/>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6">
    <w:name w:val="Grid Table 4 - Accent 2"/>
    <w:basedOn w:val="31"/>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7">
    <w:name w:val="Grid Table 4 - Accent 3"/>
    <w:basedOn w:val="31"/>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8">
    <w:name w:val="Grid Table 4 - Accent 4"/>
    <w:basedOn w:val="31"/>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9">
    <w:name w:val="Grid Table 4 - Accent 5"/>
    <w:basedOn w:val="31"/>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90">
    <w:name w:val="Grid Table 4 - Accent 6"/>
    <w:basedOn w:val="31"/>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91">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2">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3">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4">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5">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6">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7">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8">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1"/>
    <w:basedOn w:val="31"/>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6 Colorful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6 Colorful - Accent 3"/>
    <w:basedOn w:val="31"/>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6 Colorful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6 Colorful - Accent 5"/>
    <w:basedOn w:val="31"/>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4">
    <w:name w:val="Grid Table 6 Colorful - Accent 6"/>
    <w:basedOn w:val="31"/>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5">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1"/>
    <w:basedOn w:val="31"/>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7 Colorful - Accent 2"/>
    <w:basedOn w:val="31"/>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7 Colorful - Accent 3"/>
    <w:basedOn w:val="31"/>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7 Colorful - Accent 4"/>
    <w:basedOn w:val="31"/>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7 Colorful - Accent 5"/>
    <w:basedOn w:val="31"/>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11">
    <w:name w:val="Grid Table 7 Colorful - Accent 6"/>
    <w:basedOn w:val="31"/>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2">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3">
    <w:name w:val="List Table 1 Light - Accent 1"/>
    <w:basedOn w:val="31"/>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4">
    <w:name w:val="List Table 1 Light - Accent 2"/>
    <w:basedOn w:val="31"/>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5">
    <w:name w:val="List Table 1 Light - Accent 3"/>
    <w:basedOn w:val="31"/>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6">
    <w:name w:val="List Table 1 Light - Accent 4"/>
    <w:basedOn w:val="31"/>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7">
    <w:name w:val="List Table 1 Light - Accent 5"/>
    <w:basedOn w:val="31"/>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8">
    <w:name w:val="List Table 1 Light - Accent 6"/>
    <w:basedOn w:val="31"/>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9">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2 - Accent 1"/>
    <w:basedOn w:val="31"/>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21">
    <w:name w:val="List Table 2 - Accent 2"/>
    <w:basedOn w:val="31"/>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2">
    <w:name w:val="List Table 2 - Accent 3"/>
    <w:basedOn w:val="31"/>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3">
    <w:name w:val="List Table 2 - Accent 4"/>
    <w:basedOn w:val="31"/>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4">
    <w:name w:val="List Table 2 - Accent 5"/>
    <w:basedOn w:val="31"/>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5">
    <w:name w:val="List Table 2 - Accent 6"/>
    <w:basedOn w:val="31"/>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6">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basedOn w:val="31"/>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8">
    <w:name w:val="List Table 3 - Accent 2"/>
    <w:basedOn w:val="31"/>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basedOn w:val="31"/>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basedOn w:val="31"/>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basedOn w:val="31"/>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basedOn w:val="31"/>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3">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4 - Accent 1"/>
    <w:basedOn w:val="31"/>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5">
    <w:name w:val="List Table 4 - Accent 2"/>
    <w:basedOn w:val="31"/>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6">
    <w:name w:val="List Table 4 - Accent 3"/>
    <w:basedOn w:val="31"/>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7">
    <w:name w:val="List Table 4 - Accent 4"/>
    <w:basedOn w:val="31"/>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8">
    <w:name w:val="List Table 4 - Accent 5"/>
    <w:basedOn w:val="31"/>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9">
    <w:name w:val="List Table 4 - Accent 6"/>
    <w:basedOn w:val="31"/>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40">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1">
    <w:name w:val="List Table 5 Dark - Accent 1"/>
    <w:basedOn w:val="31"/>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2">
    <w:name w:val="List Table 5 Dark - Accent 2"/>
    <w:basedOn w:val="31"/>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3">
    <w:name w:val="List Table 5 Dark - Accent 3"/>
    <w:basedOn w:val="31"/>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4">
    <w:name w:val="List Table 5 Dark - Accent 4"/>
    <w:basedOn w:val="31"/>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5">
    <w:name w:val="List Table 5 Dark - Accent 5"/>
    <w:basedOn w:val="31"/>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6">
    <w:name w:val="List Table 5 Dark - Accent 6"/>
    <w:basedOn w:val="31"/>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7">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8">
    <w:name w:val="List Table 6 Colorful - Accent 1"/>
    <w:basedOn w:val="31"/>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9">
    <w:name w:val="List Table 6 Colorful - Accent 2"/>
    <w:basedOn w:val="31"/>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6 Colorful - Accent 3"/>
    <w:basedOn w:val="31"/>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4"/>
    <w:basedOn w:val="31"/>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5"/>
    <w:basedOn w:val="31"/>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6 Colorful - Accent 6"/>
    <w:basedOn w:val="31"/>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5">
    <w:name w:val="List Table 7 Colorful - Accent 1"/>
    <w:basedOn w:val="31"/>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6">
    <w:name w:val="List Table 7 Colorful - Accent 2"/>
    <w:basedOn w:val="31"/>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7 Colorful - Accent 3"/>
    <w:basedOn w:val="31"/>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4"/>
    <w:basedOn w:val="31"/>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5"/>
    <w:basedOn w:val="31"/>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6"/>
    <w:basedOn w:val="31"/>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2">
    <w:name w:val="Lined - Accent 1"/>
    <w:basedOn w:val="31"/>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3">
    <w:name w:val="Lined - Accent 2"/>
    <w:basedOn w:val="31"/>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4">
    <w:name w:val="Lined - Accent 3"/>
    <w:basedOn w:val="31"/>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5">
    <w:name w:val="Lined - Accent 4"/>
    <w:basedOn w:val="31"/>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6">
    <w:name w:val="Lined - Accent 5"/>
    <w:basedOn w:val="31"/>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7">
    <w:name w:val="Lined - Accent 6"/>
    <w:basedOn w:val="31"/>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8">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Bordered &amp; Lined - Accent 1"/>
    <w:basedOn w:val="31"/>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70">
    <w:name w:val="Bordered &amp; Lined - Accent 2"/>
    <w:basedOn w:val="31"/>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71">
    <w:name w:val="Bordered &amp; Lined - Accent 3"/>
    <w:basedOn w:val="31"/>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2">
    <w:name w:val="Bordered &amp; Lined - Accent 4"/>
    <w:basedOn w:val="31"/>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3">
    <w:name w:val="Bordered &amp; Lined - Accent 5"/>
    <w:basedOn w:val="31"/>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4">
    <w:name w:val="Bordered &amp; Lined - Accent 6"/>
    <w:basedOn w:val="31"/>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5">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basedOn w:val="31"/>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7">
    <w:name w:val="Bordered - Accent 2"/>
    <w:basedOn w:val="31"/>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8">
    <w:name w:val="Bordered - Accent 3"/>
    <w:basedOn w:val="31"/>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9">
    <w:name w:val="Bordered - Accent 4"/>
    <w:basedOn w:val="31"/>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80">
    <w:name w:val="Bordered - Accent 5"/>
    <w:basedOn w:val="31"/>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81">
    <w:name w:val="Bordered - Accent 6"/>
    <w:basedOn w:val="31"/>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2">
    <w:name w:val="Footnote Text Char"/>
    <w:link w:val="23"/>
    <w:qFormat/>
    <w:uiPriority w:val="99"/>
    <w:rPr>
      <w:sz w:val="18"/>
    </w:rPr>
  </w:style>
  <w:style w:type="character" w:customStyle="1" w:styleId="183">
    <w:name w:val="Endnote Text Char"/>
    <w:link w:val="17"/>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character" w:customStyle="1" w:styleId="185">
    <w:name w:val="页眉 Char"/>
    <w:basedOn w:val="33"/>
    <w:link w:val="19"/>
    <w:qFormat/>
    <w:uiPriority w:val="0"/>
    <w:rPr>
      <w:rFonts w:asciiTheme="minorHAnsi" w:hAnsiTheme="minorHAnsi" w:eastAsiaTheme="minorEastAsia" w:cstheme="minorBidi"/>
      <w:sz w:val="18"/>
      <w:szCs w:val="18"/>
    </w:rPr>
  </w:style>
  <w:style w:type="character" w:customStyle="1" w:styleId="186">
    <w:name w:val="页脚 Char"/>
    <w:basedOn w:val="33"/>
    <w:link w:val="18"/>
    <w:qFormat/>
    <w:uiPriority w:val="0"/>
    <w:rPr>
      <w:rFonts w:asciiTheme="minorHAnsi" w:hAnsiTheme="minorHAnsi" w:eastAsiaTheme="minorEastAsia" w:cstheme="minorBidi"/>
      <w:sz w:val="18"/>
      <w:szCs w:val="18"/>
    </w:rPr>
  </w:style>
  <w:style w:type="paragraph" w:styleId="18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spc="0" baseline="0">
                <a:solidFill>
                  <a:schemeClr val="tx1">
                    <a:lumMod val="65000"/>
                    <a:lumOff val="35000"/>
                  </a:schemeClr>
                </a:solidFill>
                <a:latin typeface="+mn-lt"/>
                <a:ea typeface="+mn-ea"/>
                <a:cs typeface="+mn-cs"/>
              </a:defRPr>
            </a:pPr>
            <a:r>
              <a:rPr lang="en-US"/>
              <a:t>决算收入支出图表</a:t>
            </a:r>
            <a:endParaRPr lang="zh-CN"/>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一般公共预算财政拨款收入212.97万元</c:v>
                </c:pt>
              </c:strCache>
            </c:strRef>
          </c:cat>
          <c:val>
            <c:numRef>
              <c:f>Sheet1!$B$2</c:f>
              <c:numCache>
                <c:formatCode>General</c:formatCode>
                <c:ptCount val="1"/>
                <c:pt idx="0">
                  <c:v>212.97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spc="0" baseline="0">
                <a:solidFill>
                  <a:schemeClr val="tx1">
                    <a:lumMod val="65000"/>
                    <a:lumOff val="35000"/>
                  </a:schemeClr>
                </a:solidFill>
                <a:latin typeface="+mn-lt"/>
                <a:ea typeface="+mn-ea"/>
                <a:cs typeface="+mn-cs"/>
              </a:defRPr>
            </a:pPr>
            <a:r>
              <a:rPr lang="en-US"/>
              <a:t>支出决算图表</a:t>
            </a:r>
            <a:endParaRPr lang="zh-CN"/>
          </a:p>
        </c:rich>
      </c:tx>
      <c:layout/>
      <c:overlay val="0"/>
      <c:spPr>
        <a:noFill/>
        <a:ln>
          <a:noFill/>
        </a:ln>
        <a:effectLst/>
      </c:spPr>
    </c:title>
    <c:autoTitleDeleted val="0"/>
    <c:plotArea>
      <c:layout>
        <c:manualLayout>
          <c:layoutTarget val="inner"/>
          <c:xMode val="edge"/>
          <c:yMode val="edge"/>
          <c:x val="0.0757880247763248"/>
          <c:y val="0.170353477765108"/>
          <c:w val="0.893929800412939"/>
          <c:h val="0.61309007981756"/>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Sheet1!$B$2:$B$5</c:f>
              <c:numCache>
                <c:formatCode>General</c:formatCode>
                <c:ptCount val="4"/>
                <c:pt idx="0">
                  <c:v>169.17</c:v>
                </c:pt>
                <c:pt idx="1">
                  <c:v>14.36</c:v>
                </c:pt>
                <c:pt idx="2">
                  <c:v>10.84</c:v>
                </c:pt>
                <c:pt idx="3">
                  <c:v>18.64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pt idx="3">
                  <c:v>其他支出</c:v>
                </c:pt>
              </c:strCache>
            </c:strRef>
          </c:cat>
          <c:val>
            <c:numRef>
              <c:f>Sheet1!$C$2:$C$5</c:f>
              <c:numCache>
                <c:formatCode>General</c:formatCode>
                <c:ptCount val="4"/>
                <c:pt idx="0">
                  <c:v>135.99</c:v>
                </c:pt>
                <c:pt idx="1">
                  <c:v>10.09</c:v>
                </c:pt>
                <c:pt idx="2">
                  <c:v>7.06</c:v>
                </c:pt>
                <c:pt idx="3">
                  <c:v>19.14</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2012601</c:v>
                </c:pt>
                <c:pt idx="1">
                  <c:v>2012604</c:v>
                </c:pt>
                <c:pt idx="2">
                  <c:v>2012999</c:v>
                </c:pt>
                <c:pt idx="3">
                  <c:v>201x</c:v>
                </c:pt>
              </c:strCache>
            </c:strRef>
          </c:cat>
          <c:val>
            <c:numRef>
              <c:f>Sheet1!$B$2:$B$5</c:f>
              <c:numCache>
                <c:formatCode>General</c:formatCode>
                <c:ptCount val="4"/>
                <c:pt idx="0">
                  <c:v>114.05</c:v>
                </c:pt>
                <c:pt idx="1">
                  <c:v>53.3</c:v>
                </c:pt>
                <c:pt idx="2">
                  <c:v>1.77</c:v>
                </c:pt>
                <c:pt idx="3">
                  <c:v>169.12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manualLayout>
          <c:layoutTarget val="inner"/>
          <c:xMode val="edge"/>
          <c:yMode val="edge"/>
          <c:x val="0.0947353483751951"/>
          <c:y val="0.337260034904014"/>
          <c:w val="0.901007520930893"/>
          <c:h val="0.595855148342059"/>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10.84</c:v>
                </c:pt>
                <c:pt idx="1">
                  <c:v>10.84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2210201</c:v>
                </c:pt>
              </c:numCache>
            </c:numRef>
          </c:cat>
          <c:val>
            <c:numRef>
              <c:f>Sheet1!$B$2</c:f>
              <c:numCache>
                <c:formatCode>General</c:formatCode>
                <c:ptCount val="1"/>
                <c:pt idx="0">
                  <c:v>10.84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manualLayout>
          <c:layoutTarget val="inner"/>
          <c:xMode val="edge"/>
          <c:yMode val="edge"/>
          <c:x val="0.0625230594579254"/>
          <c:y val="0.163507109004739"/>
          <c:w val="0.904129416773095"/>
          <c:h val="0.646011058451817"/>
        </c:manualLayout>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18.64</c:v>
                </c:pt>
                <c:pt idx="1">
                  <c:v>18.64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37.35</c:v>
                </c:pt>
                <c:pt idx="1">
                  <c:v>56.01</c:v>
                </c:pt>
                <c:pt idx="2">
                  <c:v>20.27</c:v>
                </c:pt>
                <c:pt idx="3">
                  <c:v>18.79</c:v>
                </c:pt>
                <c:pt idx="4">
                  <c:v>0</c:v>
                </c:pt>
                <c:pt idx="5">
                  <c:v>14.36</c:v>
                </c:pt>
                <c:pt idx="6">
                  <c:v>0</c:v>
                </c:pt>
                <c:pt idx="7">
                  <c:v>5.59</c:v>
                </c:pt>
                <c:pt idx="8">
                  <c:v>0</c:v>
                </c:pt>
                <c:pt idx="9">
                  <c:v>0.76</c:v>
                </c:pt>
                <c:pt idx="10">
                  <c:v>10.84</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0.04</c:v>
                </c:pt>
                <c:pt idx="1">
                  <c:v>0</c:v>
                </c:pt>
                <c:pt idx="2">
                  <c:v>0</c:v>
                </c:pt>
                <c:pt idx="3">
                  <c:v>0</c:v>
                </c:pt>
                <c:pt idx="4">
                  <c:v>0.15</c:v>
                </c:pt>
                <c:pt idx="5">
                  <c:v>0.23</c:v>
                </c:pt>
                <c:pt idx="6">
                  <c:v>1.49</c:v>
                </c:pt>
                <c:pt idx="7">
                  <c:v>0</c:v>
                </c:pt>
                <c:pt idx="8">
                  <c:v>0</c:v>
                </c:pt>
                <c:pt idx="9">
                  <c:v>0</c:v>
                </c:pt>
                <c:pt idx="10">
                  <c:v>0</c:v>
                </c:pt>
                <c:pt idx="11">
                  <c:v>0</c:v>
                </c:pt>
                <c:pt idx="12">
                  <c:v>0</c:v>
                </c:pt>
                <c:pt idx="13">
                  <c:v>0</c:v>
                </c:pt>
                <c:pt idx="14">
                  <c:v>0</c:v>
                </c:pt>
                <c:pt idx="15">
                  <c:v>0</c:v>
                </c:pt>
                <c:pt idx="16">
                  <c:v>0</c:v>
                </c:pt>
                <c:pt idx="17">
                  <c:v>0</c:v>
                </c:pt>
                <c:pt idx="18">
                  <c:v>0</c:v>
                </c:pt>
                <c:pt idx="19">
                  <c:v>0.19</c:v>
                </c:pt>
                <c:pt idx="20">
                  <c:v>0</c:v>
                </c:pt>
                <c:pt idx="21">
                  <c:v>1.77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9.43</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等线" panose="02010600030101010101" charset="-122"/>
                <a:ea typeface="等线" panose="02010600030101010101" charset="-122"/>
                <a:cs typeface="Arial" panose="020B0604020202020204" pitchFamily="2"/>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cs:chartArea>
  <cs:dataLabel>
    <cs:lnRef idx="0"/>
    <cs:fillRef idx="0"/>
    <cs:effectRef idx="0"/>
    <cs:fontRef idx="minor">
      <a:schemeClr val="tx1">
        <a:lumMod val="75000"/>
        <a:lumOff val="2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spc="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2741</Words>
  <Characters>3962</Characters>
  <TotalTime>206</TotalTime>
  <ScaleCrop>false</ScaleCrop>
  <LinksUpToDate>false</LinksUpToDate>
  <CharactersWithSpaces>4011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2024-12-30T07:23:37Z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BE5AA5CD7AAF4E988EC7330D57C3C307_13</vt:lpwstr>
  </property>
  <property fmtid="{D5CDD505-2E9C-101B-9397-08002B2CF9AE}" pid="4" name="KSOTemplateDocerSaveRecord">
    <vt:lpwstr>eyJoZGlkIjoiMzI0ZjUxZDk3NTRkYzAwZDNmZTU4NjdmOTIxYTE3YTgiLCJ1c2VySWQiOiI2MTUyODU2NjQifQ==</vt:lpwstr>
  </property>
</Properties>
</file>