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center"/>
        <w:rPr>
          <w:rFonts w:hint="eastAsia" w:ascii="黑体" w:hAnsi="黑体" w:eastAsia="黑体" w:cs="黑体"/>
          <w:b/>
          <w:bCs/>
          <w:sz w:val="52"/>
          <w:szCs w:val="52"/>
        </w:rPr>
      </w:pPr>
      <w:r>
        <w:rPr>
          <w:rFonts w:hint="eastAsia" w:ascii="黑体" w:hAnsi="黑体" w:eastAsia="黑体" w:cs="黑体"/>
          <w:b/>
          <w:bCs/>
          <w:sz w:val="52"/>
          <w:szCs w:val="52"/>
        </w:rPr>
        <w:t>环江毛南族自治县川山镇中心小学202</w:t>
      </w:r>
      <w:r>
        <w:rPr>
          <w:rFonts w:ascii="黑体" w:hAnsi="黑体" w:eastAsia="黑体" w:cs="黑体"/>
          <w:b/>
          <w:bCs/>
          <w:sz w:val="52"/>
          <w:szCs w:val="52"/>
        </w:rPr>
        <w:t>3</w:t>
      </w:r>
      <w:r>
        <w:rPr>
          <w:rFonts w:hint="eastAsia" w:ascii="黑体" w:hAnsi="黑体" w:eastAsia="黑体" w:cs="黑体"/>
          <w:b/>
          <w:bCs/>
          <w:sz w:val="52"/>
          <w:szCs w:val="52"/>
        </w:rPr>
        <w:t>年度部门决算</w:t>
      </w:r>
    </w:p>
    <w:p>
      <w:pPr>
        <w:jc w:val="center"/>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ind w:firstLine="1620" w:firstLineChars="450"/>
        <w:jc w:val="left"/>
        <w:rPr>
          <w:rFonts w:ascii="珠穆朗玛—乌金苏通体" w:hAnsi="珠穆朗玛—乌金苏通体" w:eastAsia="黑体" w:cs="珠穆朗玛—乌金苏通体"/>
          <w:kern w:val="0"/>
          <w:sz w:val="36"/>
          <w:szCs w:val="36"/>
        </w:rPr>
      </w:pPr>
      <w:r>
        <w:rPr>
          <w:rFonts w:hint="eastAsia" w:ascii="黑体" w:eastAsia="黑体" w:cs="黑体"/>
          <w:kern w:val="0"/>
          <w:sz w:val="36"/>
          <w:szCs w:val="36"/>
        </w:rPr>
        <w:t>单位负责人：</w:t>
      </w:r>
      <w:r>
        <w:rPr>
          <w:rFonts w:ascii="珠穆朗玛—乌金苏通体" w:hAnsi="珠穆朗玛—乌金苏通体" w:eastAsia="黑体" w:cs="珠穆朗玛—乌金苏通体"/>
          <w:kern w:val="0"/>
          <w:sz w:val="36"/>
          <w:szCs w:val="36"/>
        </w:rPr>
        <w:t>莫永吉</w:t>
      </w:r>
    </w:p>
    <w:p>
      <w:pPr>
        <w:jc w:val="left"/>
        <w:rPr>
          <w:rFonts w:hint="eastAsia" w:ascii="仿宋" w:hAnsi="仿宋" w:eastAsia="仿宋" w:cs="仿宋"/>
          <w:sz w:val="32"/>
          <w:szCs w:val="32"/>
        </w:rPr>
      </w:pPr>
    </w:p>
    <w:p>
      <w:pPr>
        <w:jc w:val="center"/>
        <w:rPr>
          <w:rFonts w:hint="eastAsia" w:ascii="黑体" w:hAnsi="黑体" w:eastAsia="黑体" w:cs="黑体"/>
          <w:b/>
          <w:bCs/>
          <w:sz w:val="36"/>
          <w:szCs w:val="36"/>
        </w:rPr>
      </w:pPr>
      <w:r>
        <w:rPr>
          <w:rFonts w:hint="eastAsia" w:ascii="黑体" w:hAnsi="黑体" w:eastAsia="黑体" w:cs="黑体"/>
          <w:b/>
          <w:bCs/>
          <w:sz w:val="36"/>
          <w:szCs w:val="36"/>
        </w:rPr>
        <w:t>　2023年1</w:t>
      </w:r>
      <w:r>
        <w:rPr>
          <w:rFonts w:ascii="黑体" w:hAnsi="黑体" w:eastAsia="黑体" w:cs="黑体"/>
          <w:b/>
          <w:bCs/>
          <w:sz w:val="36"/>
          <w:szCs w:val="36"/>
        </w:rPr>
        <w:t>2</w:t>
      </w:r>
      <w:r>
        <w:rPr>
          <w:rFonts w:hint="eastAsia" w:ascii="黑体" w:hAnsi="黑体" w:eastAsia="黑体" w:cs="黑体"/>
          <w:b/>
          <w:bCs/>
          <w:sz w:val="36"/>
          <w:szCs w:val="36"/>
        </w:rPr>
        <w:t>月3日</w:t>
      </w:r>
      <w:bookmarkStart w:id="6" w:name="_GoBack"/>
      <w:bookmarkEnd w:id="6"/>
    </w:p>
    <w:p>
      <w:pPr>
        <w:rPr>
          <w:rFonts w:hint="eastAsia" w:ascii="仿宋" w:hAnsi="仿宋" w:eastAsia="仿宋" w:cs="仿宋"/>
          <w:sz w:val="32"/>
          <w:szCs w:val="32"/>
        </w:rPr>
      </w:pPr>
      <w:r>
        <w:rPr>
          <w:rFonts w:ascii="仿宋" w:hAnsi="仿宋" w:eastAsia="仿宋" w:cs="仿宋"/>
          <w:sz w:val="32"/>
          <w:szCs w:val="32"/>
        </w:rPr>
        <w:br w:type="page"/>
      </w:r>
    </w:p>
    <w:p>
      <w:pPr>
        <w:jc w:val="center"/>
        <w:rPr>
          <w:rFonts w:hint="eastAsia" w:ascii="黑体" w:hAnsi="黑体" w:eastAsia="黑体" w:cs="黑体"/>
          <w:b/>
          <w:bCs/>
          <w:sz w:val="36"/>
          <w:szCs w:val="36"/>
        </w:rPr>
      </w:pPr>
      <w:r>
        <w:rPr>
          <w:rFonts w:hint="eastAsia" w:ascii="黑体" w:hAnsi="黑体" w:eastAsia="黑体" w:cs="黑体"/>
          <w:b/>
          <w:bCs/>
          <w:sz w:val="36"/>
          <w:szCs w:val="36"/>
        </w:rPr>
        <w:t>目   录</w:t>
      </w:r>
    </w:p>
    <w:p>
      <w:pPr>
        <w:spacing w:line="500" w:lineRule="exact"/>
        <w:jc w:val="left"/>
        <w:rPr>
          <w:rFonts w:hint="eastAsia"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环江毛南族自治县川山镇中心小学</w:t>
      </w:r>
      <w:r>
        <w:rPr>
          <w:rFonts w:hint="eastAsia" w:ascii="黑体" w:hAnsi="黑体" w:eastAsia="黑体" w:cs="黑体"/>
          <w:sz w:val="32"/>
          <w:szCs w:val="32"/>
        </w:rPr>
        <w:t>概况</w:t>
      </w:r>
    </w:p>
    <w:p>
      <w:pPr>
        <w:jc w:val="left"/>
        <w:rPr>
          <w:rFonts w:hint="eastAsia" w:ascii="仿宋" w:hAnsi="仿宋" w:eastAsia="仿宋" w:cs="仿宋"/>
          <w:sz w:val="32"/>
          <w:szCs w:val="32"/>
        </w:rPr>
      </w:pPr>
      <w:r>
        <w:rPr>
          <w:rFonts w:hint="eastAsia" w:ascii="仿宋" w:hAnsi="仿宋" w:eastAsia="仿宋" w:cs="仿宋"/>
          <w:sz w:val="32"/>
          <w:szCs w:val="32"/>
        </w:rPr>
        <w:t>一、</w:t>
      </w:r>
      <w:r>
        <w:rPr>
          <w:rFonts w:hint="eastAsia" w:ascii="仿宋_GB2312" w:eastAsia="仿宋_GB2312"/>
          <w:sz w:val="32"/>
          <w:szCs w:val="32"/>
        </w:rPr>
        <w:t>本单位职责</w:t>
      </w:r>
    </w:p>
    <w:p>
      <w:pPr>
        <w:jc w:val="left"/>
        <w:rPr>
          <w:rFonts w:hint="eastAsia" w:ascii="仿宋" w:hAnsi="仿宋" w:eastAsia="仿宋" w:cs="仿宋"/>
          <w:sz w:val="32"/>
          <w:szCs w:val="32"/>
        </w:rPr>
      </w:pPr>
      <w:r>
        <w:rPr>
          <w:rFonts w:hint="eastAsia" w:ascii="仿宋" w:hAnsi="仿宋" w:eastAsia="仿宋" w:cs="仿宋"/>
          <w:sz w:val="32"/>
          <w:szCs w:val="32"/>
        </w:rPr>
        <w:t>二、机构设置情况</w:t>
      </w:r>
    </w:p>
    <w:p>
      <w:pPr>
        <w:spacing w:line="500" w:lineRule="exact"/>
        <w:jc w:val="left"/>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环江毛南族自治县川山镇中心小学</w:t>
      </w:r>
      <w:r>
        <w:rPr>
          <w:rFonts w:hint="eastAsia" w:ascii="黑体" w:hAnsi="黑体" w:eastAsia="黑体" w:cs="黑体"/>
          <w:sz w:val="32"/>
          <w:szCs w:val="32"/>
        </w:rPr>
        <w:t>202</w:t>
      </w:r>
      <w:r>
        <w:rPr>
          <w:rFonts w:ascii="黑体" w:hAnsi="黑体" w:eastAsia="黑体" w:cs="黑体"/>
          <w:sz w:val="32"/>
          <w:szCs w:val="32"/>
        </w:rPr>
        <w:t>3</w:t>
      </w:r>
      <w:r>
        <w:rPr>
          <w:rFonts w:hint="eastAsia" w:ascii="黑体" w:hAnsi="黑体" w:eastAsia="黑体" w:cs="黑体"/>
          <w:sz w:val="32"/>
          <w:szCs w:val="32"/>
        </w:rPr>
        <w:t>年度部门决算报表</w:t>
      </w:r>
    </w:p>
    <w:p>
      <w:pPr>
        <w:spacing w:line="520" w:lineRule="exact"/>
        <w:rPr>
          <w:rFonts w:ascii="仿宋_GB2312" w:eastAsia="仿宋_GB2312"/>
          <w:sz w:val="32"/>
          <w:szCs w:val="32"/>
        </w:rPr>
      </w:pPr>
      <w:r>
        <w:rPr>
          <w:rFonts w:hint="eastAsia" w:ascii="仿宋_GB2312" w:eastAsia="仿宋_GB2312"/>
          <w:sz w:val="32"/>
          <w:szCs w:val="32"/>
        </w:rPr>
        <w:t>表一：收入支出决算总表</w:t>
      </w:r>
    </w:p>
    <w:p>
      <w:pPr>
        <w:spacing w:line="520" w:lineRule="exact"/>
        <w:rPr>
          <w:rFonts w:ascii="仿宋_GB2312" w:eastAsia="仿宋_GB2312"/>
          <w:sz w:val="32"/>
          <w:szCs w:val="32"/>
        </w:rPr>
      </w:pPr>
      <w:r>
        <w:rPr>
          <w:rFonts w:hint="eastAsia" w:ascii="仿宋_GB2312" w:eastAsia="仿宋_GB2312"/>
          <w:sz w:val="32"/>
          <w:szCs w:val="32"/>
        </w:rPr>
        <w:t>表二：收入决算表</w:t>
      </w:r>
    </w:p>
    <w:p>
      <w:pPr>
        <w:spacing w:line="520" w:lineRule="exact"/>
        <w:rPr>
          <w:rFonts w:ascii="仿宋_GB2312" w:eastAsia="仿宋_GB2312"/>
          <w:sz w:val="32"/>
          <w:szCs w:val="32"/>
        </w:rPr>
      </w:pPr>
      <w:r>
        <w:rPr>
          <w:rFonts w:hint="eastAsia" w:ascii="仿宋_GB2312" w:eastAsia="仿宋_GB2312"/>
          <w:sz w:val="32"/>
          <w:szCs w:val="32"/>
        </w:rPr>
        <w:t>表三：支出决算表</w:t>
      </w:r>
    </w:p>
    <w:p>
      <w:pPr>
        <w:spacing w:line="520" w:lineRule="exact"/>
        <w:rPr>
          <w:rFonts w:ascii="仿宋_GB2312" w:eastAsia="仿宋_GB2312"/>
          <w:sz w:val="32"/>
          <w:szCs w:val="32"/>
        </w:rPr>
      </w:pPr>
      <w:r>
        <w:rPr>
          <w:rFonts w:hint="eastAsia" w:ascii="仿宋_GB2312" w:eastAsia="仿宋_GB2312"/>
          <w:sz w:val="32"/>
          <w:szCs w:val="32"/>
        </w:rPr>
        <w:t>表四：财政拨款收入支出决算总表</w:t>
      </w:r>
    </w:p>
    <w:p>
      <w:pPr>
        <w:spacing w:line="520" w:lineRule="exact"/>
        <w:rPr>
          <w:rFonts w:ascii="仿宋_GB2312" w:eastAsia="仿宋_GB2312"/>
          <w:sz w:val="32"/>
          <w:szCs w:val="32"/>
        </w:rPr>
      </w:pPr>
      <w:r>
        <w:rPr>
          <w:rFonts w:hint="eastAsia" w:ascii="仿宋_GB2312" w:eastAsia="仿宋_GB2312"/>
          <w:sz w:val="32"/>
          <w:szCs w:val="32"/>
        </w:rPr>
        <w:t>表五：一般公共预算财政拨款支出决算表</w:t>
      </w:r>
    </w:p>
    <w:p>
      <w:pPr>
        <w:spacing w:line="520" w:lineRule="exact"/>
        <w:rPr>
          <w:rFonts w:ascii="仿宋_GB2312" w:eastAsia="仿宋_GB2312"/>
          <w:sz w:val="32"/>
          <w:szCs w:val="32"/>
        </w:rPr>
      </w:pPr>
      <w:r>
        <w:rPr>
          <w:rFonts w:hint="eastAsia" w:ascii="仿宋_GB2312" w:eastAsia="仿宋_GB2312"/>
          <w:sz w:val="32"/>
          <w:szCs w:val="32"/>
        </w:rPr>
        <w:t>表六：一般公共预算财政拨款基本支出决算明细表</w:t>
      </w:r>
    </w:p>
    <w:p>
      <w:pPr>
        <w:spacing w:line="520" w:lineRule="exact"/>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20" w:lineRule="exact"/>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20" w:lineRule="exact"/>
        <w:rPr>
          <w:rFonts w:ascii="仿宋_GB2312" w:eastAsia="仿宋_GB2312"/>
          <w:sz w:val="32"/>
          <w:szCs w:val="32"/>
        </w:rPr>
      </w:pPr>
      <w:r>
        <w:rPr>
          <w:rFonts w:hint="eastAsia" w:ascii="仿宋_GB2312" w:eastAsia="仿宋_GB2312"/>
          <w:sz w:val="32"/>
          <w:szCs w:val="32"/>
        </w:rPr>
        <w:t>表九：财政拨款“三公”经费支出决算表</w:t>
      </w:r>
    </w:p>
    <w:p>
      <w:pPr>
        <w:spacing w:line="520" w:lineRule="exact"/>
        <w:jc w:val="left"/>
        <w:rPr>
          <w:rFonts w:hint="eastAsia"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环江毛南族自治县川山镇中心小学</w:t>
      </w:r>
      <w:r>
        <w:rPr>
          <w:rFonts w:hint="eastAsia" w:ascii="黑体" w:hAnsi="黑体" w:eastAsia="黑体" w:cs="黑体"/>
          <w:sz w:val="32"/>
          <w:szCs w:val="32"/>
        </w:rPr>
        <w:t>202</w:t>
      </w:r>
      <w:r>
        <w:rPr>
          <w:rFonts w:ascii="黑体" w:hAnsi="黑体" w:eastAsia="黑体" w:cs="黑体"/>
          <w:sz w:val="32"/>
          <w:szCs w:val="32"/>
        </w:rPr>
        <w:t>3</w:t>
      </w:r>
      <w:r>
        <w:rPr>
          <w:rFonts w:hint="eastAsia" w:ascii="黑体" w:hAnsi="黑体" w:eastAsia="黑体" w:cs="黑体"/>
          <w:sz w:val="32"/>
          <w:szCs w:val="32"/>
        </w:rPr>
        <w:t>年度部门决算情况说明</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ascii="仿宋_GB2312" w:eastAsia="仿宋_GB2312"/>
          <w:kern w:val="0"/>
          <w:sz w:val="32"/>
          <w:szCs w:val="32"/>
        </w:rPr>
        <w:t>3</w:t>
      </w:r>
      <w:r>
        <w:rPr>
          <w:rFonts w:hint="eastAsia" w:ascii="仿宋_GB2312" w:eastAsia="仿宋_GB2312" w:cs="仿宋_GB2312"/>
          <w:kern w:val="0"/>
          <w:sz w:val="32"/>
          <w:szCs w:val="32"/>
        </w:rPr>
        <w:t>年度收入支出决算总体情况。</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ascii="仿宋_GB2312" w:eastAsia="仿宋_GB2312"/>
          <w:kern w:val="0"/>
          <w:sz w:val="32"/>
          <w:szCs w:val="32"/>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三、202</w:t>
      </w:r>
      <w:r>
        <w:rPr>
          <w:rFonts w:ascii="仿宋_GB2312" w:eastAsia="仿宋_GB2312" w:cs="仿宋_GB2312"/>
          <w:kern w:val="0"/>
          <w:sz w:val="32"/>
          <w:szCs w:val="32"/>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ascii="仿宋_GB2312" w:eastAsia="仿宋_GB2312"/>
          <w:kern w:val="0"/>
          <w:sz w:val="32"/>
          <w:szCs w:val="32"/>
        </w:rPr>
        <w:t>3</w:t>
      </w:r>
      <w:r>
        <w:rPr>
          <w:rFonts w:hint="eastAsia" w:ascii="仿宋_GB2312" w:eastAsia="仿宋_GB2312" w:cs="仿宋_GB2312"/>
          <w:kern w:val="0"/>
          <w:sz w:val="32"/>
          <w:szCs w:val="32"/>
        </w:rPr>
        <w:t>年度政府性基金支出决算情况。</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五、202</w:t>
      </w:r>
      <w:r>
        <w:rPr>
          <w:rFonts w:ascii="仿宋_GB2312" w:eastAsia="仿宋_GB2312" w:cs="仿宋_GB2312"/>
          <w:kern w:val="0"/>
          <w:sz w:val="32"/>
          <w:szCs w:val="32"/>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spacing w:line="52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spacing w:line="520" w:lineRule="exact"/>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spacing w:line="520" w:lineRule="exact"/>
        <w:jc w:val="left"/>
        <w:rPr>
          <w:rFonts w:hint="eastAsia" w:ascii="黑体" w:hAnsi="黑体" w:eastAsia="黑体" w:cs="黑体"/>
          <w:sz w:val="32"/>
          <w:szCs w:val="32"/>
        </w:rPr>
      </w:pPr>
      <w:r>
        <w:rPr>
          <w:rFonts w:hint="eastAsia" w:ascii="黑体" w:hAnsi="黑体" w:eastAsia="黑体" w:cs="黑体"/>
          <w:sz w:val="32"/>
          <w:szCs w:val="32"/>
        </w:rPr>
        <w:t>第四部分：名词解释</w:t>
      </w:r>
    </w:p>
    <w:p>
      <w:pPr>
        <w:jc w:val="center"/>
        <w:rPr>
          <w:rFonts w:hint="eastAsia"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环江毛南族自治县川山镇中心小学</w:t>
      </w:r>
      <w:r>
        <w:rPr>
          <w:rFonts w:hint="eastAsia" w:ascii="黑体" w:hAnsi="黑体" w:eastAsia="黑体" w:cs="黑体"/>
          <w:b/>
          <w:bCs/>
          <w:sz w:val="32"/>
          <w:szCs w:val="32"/>
        </w:rPr>
        <w:t>概况</w:t>
      </w:r>
    </w:p>
    <w:p>
      <w:pPr>
        <w:spacing w:line="600" w:lineRule="exact"/>
        <w:jc w:val="left"/>
        <w:rPr>
          <w:rFonts w:hint="eastAsia" w:ascii="仿宋" w:hAnsi="仿宋" w:eastAsia="仿宋" w:cs="仿宋"/>
          <w:sz w:val="32"/>
          <w:szCs w:val="32"/>
        </w:rPr>
      </w:pPr>
      <w:r>
        <w:rPr>
          <w:rFonts w:hint="eastAsia" w:ascii="黑体" w:hAnsi="黑体" w:eastAsia="黑体" w:cs="黑体"/>
          <w:sz w:val="32"/>
          <w:szCs w:val="32"/>
        </w:rPr>
        <w:t>一、</w:t>
      </w:r>
      <w:r>
        <w:rPr>
          <w:rFonts w:hint="eastAsia" w:ascii="黑体" w:hAnsi="黑体" w:eastAsia="黑体"/>
          <w:sz w:val="32"/>
          <w:szCs w:val="32"/>
        </w:rPr>
        <w:t>本单位职责</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（一）贯彻执行党和国家的教育方针、政策和法律法规；拟订全县教育改革与发展规划并组织实施。</w:t>
      </w:r>
    </w:p>
    <w:p>
      <w:pPr>
        <w:spacing w:line="60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（二）编制本镇小学教育事业发展规划并检查实施情况，向自治县人民政府和上级教育部门作出报告。</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（三）督促检查全镇小学贯彻执行教育方针、政策、法令、法规和上级的各项规定；评估指导全镇小学教育教学工作。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（四）负责推进义务教育均衡发展和促进教育公平，负责义务教育的宏观指导与协调和教育工作。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（五）负责组织全镇小学做好期考的考务工作、招生录取一年级新生和小学学籍管理工作。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（六）按照中央关于全面推进素质教育要求，负责教育教学管理、教育教学改革及教育教学科学研究工作，检查指导全镇小学实施素质教育工作，并组织推广先进的教育教学经验。</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（七）检查指导学校教育教学设备的装备、管理和使用工作。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（八）检查指导全镇小学开展电化教育和信息化教学工作。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（九）负责全县教师初级专业技术职务资格的评审，中、高级专业技术职务资格的申报工作。按照管理权限对教师进行考核、聘任、奖惩、晋升等工作。</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（十）负责全镇小学校教学教育常规管理评估工作，指导全镇小学德育、体育、卫生、艺术、安全工作以及团组织和少先队工作。</w:t>
      </w:r>
    </w:p>
    <w:p>
      <w:pPr>
        <w:spacing w:line="60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（十一）负责指导全镇小学学生资助管理工作。</w:t>
      </w:r>
    </w:p>
    <w:p>
      <w:pPr>
        <w:spacing w:line="600" w:lineRule="exact"/>
        <w:rPr>
          <w:rFonts w:hint="eastAsia" w:ascii="仿宋_GB2312" w:hAnsi="宋体" w:eastAsia="仿宋_GB2312" w:cs="宋体"/>
          <w:sz w:val="32"/>
          <w:szCs w:val="32"/>
        </w:rPr>
      </w:pPr>
      <w:r>
        <w:rPr>
          <w:rFonts w:hint="eastAsia" w:ascii="仿宋_GB2312" w:hAnsi="宋体" w:eastAsia="仿宋_GB2312" w:cs="宋体"/>
          <w:sz w:val="32"/>
          <w:szCs w:val="32"/>
        </w:rPr>
        <w:t>  （十二）负责语言文字和指导推广普通话工作。</w:t>
      </w:r>
    </w:p>
    <w:p>
      <w:pPr>
        <w:spacing w:line="600" w:lineRule="exact"/>
        <w:ind w:firstLine="640"/>
        <w:jc w:val="left"/>
        <w:rPr>
          <w:rFonts w:hint="eastAsia" w:ascii="仿宋_GB2312" w:hAnsi="宋体" w:eastAsia="仿宋_GB2312" w:cs="宋体"/>
          <w:sz w:val="32"/>
          <w:szCs w:val="32"/>
        </w:rPr>
      </w:pPr>
      <w:r>
        <w:rPr>
          <w:rFonts w:hint="eastAsia" w:ascii="仿宋_GB2312" w:hAnsi="宋体" w:eastAsia="仿宋_GB2312" w:cs="宋体"/>
          <w:sz w:val="32"/>
          <w:szCs w:val="32"/>
        </w:rPr>
        <w:t>（十三）完成自治县人民政府交办的其他工作。</w:t>
      </w:r>
    </w:p>
    <w:p>
      <w:pPr>
        <w:spacing w:line="600" w:lineRule="exact"/>
        <w:jc w:val="left"/>
        <w:rPr>
          <w:rFonts w:hint="eastAsia" w:ascii="仿宋" w:hAnsi="仿宋" w:eastAsia="仿宋" w:cs="仿宋"/>
          <w:sz w:val="32"/>
          <w:szCs w:val="32"/>
        </w:rPr>
      </w:pPr>
      <w:r>
        <w:rPr>
          <w:rFonts w:hint="eastAsia" w:ascii="黑体" w:hAnsi="黑体" w:eastAsia="黑体" w:cs="黑体"/>
          <w:sz w:val="32"/>
          <w:szCs w:val="32"/>
        </w:rPr>
        <w:t>二、</w:t>
      </w:r>
      <w:r>
        <w:rPr>
          <w:rFonts w:hint="eastAsia" w:ascii="黑体" w:hAnsi="黑体" w:eastAsia="黑体"/>
          <w:sz w:val="32"/>
          <w:szCs w:val="32"/>
        </w:rPr>
        <w:t>机构设置情况</w:t>
      </w:r>
    </w:p>
    <w:p>
      <w:pPr>
        <w:spacing w:line="600" w:lineRule="exact"/>
        <w:jc w:val="left"/>
        <w:rPr>
          <w:rFonts w:hint="eastAsia" w:ascii="黑体" w:hAnsi="黑体" w:eastAsia="黑体" w:cs="黑体"/>
          <w:sz w:val="32"/>
          <w:szCs w:val="32"/>
        </w:rPr>
      </w:pPr>
      <w:r>
        <w:rPr>
          <w:rFonts w:hint="eastAsia" w:ascii="仿宋_GB2312" w:eastAsia="仿宋_GB2312" w:cs="仿宋_GB2312"/>
          <w:kern w:val="0"/>
          <w:sz w:val="32"/>
          <w:szCs w:val="32"/>
        </w:rPr>
        <w:t xml:space="preserve">    川山镇中心小学有六个内设机构，分别为：书记办公室、校长办公室、行政办公室、财务办公室、教务处办公室、政教处办公室；下属机构有3个，其中中心校1个，村校2个；</w:t>
      </w:r>
      <w:r>
        <w:rPr>
          <w:rFonts w:hint="eastAsia" w:ascii="仿宋_GB2312" w:hAnsi="宋体" w:eastAsia="仿宋_GB2312" w:cs="宋体"/>
          <w:sz w:val="32"/>
          <w:szCs w:val="32"/>
        </w:rPr>
        <w:t>2023年全镇小学事业编制数144人。实有在职人数142人，其中行政在职0人，事业在职142人，退休人员155人,学校专职保安人员7人，食堂钟点工22人。</w:t>
      </w:r>
      <w:r>
        <w:rPr>
          <w:rFonts w:hint="eastAsia" w:ascii="仿宋" w:hAnsi="仿宋" w:eastAsia="仿宋" w:cs="仿宋"/>
          <w:sz w:val="32"/>
          <w:szCs w:val="32"/>
        </w:rPr>
        <w:t>按照部门决算编报要求，单独编制本部门决算。</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sectPr>
          <w:pgSz w:w="11906" w:h="16838"/>
          <w:pgMar w:top="1440" w:right="1418" w:bottom="1440" w:left="1797" w:header="851" w:footer="992" w:gutter="0"/>
          <w:cols w:space="425" w:num="1"/>
          <w:docGrid w:type="lines" w:linePitch="312" w:charSpace="0"/>
        </w:sectPr>
      </w:pPr>
    </w:p>
    <w:p>
      <w:pPr>
        <w:jc w:val="center"/>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环江毛南族自治县川山镇中心小学</w:t>
      </w:r>
      <w:r>
        <w:rPr>
          <w:rFonts w:hint="eastAsia" w:ascii="黑体" w:hAnsi="黑体" w:eastAsia="黑体" w:cs="黑体"/>
          <w:sz w:val="32"/>
          <w:szCs w:val="32"/>
        </w:rPr>
        <w:t xml:space="preserve"> 202</w:t>
      </w:r>
      <w:r>
        <w:rPr>
          <w:rFonts w:ascii="黑体" w:hAnsi="黑体" w:eastAsia="黑体" w:cs="黑体"/>
          <w:sz w:val="32"/>
          <w:szCs w:val="32"/>
        </w:rPr>
        <w:t>3</w:t>
      </w:r>
      <w:r>
        <w:rPr>
          <w:rFonts w:hint="eastAsia" w:ascii="黑体" w:hAnsi="黑体" w:eastAsia="黑体" w:cs="黑体"/>
          <w:sz w:val="32"/>
          <w:szCs w:val="32"/>
        </w:rPr>
        <w:t>年度部门决算报表</w:t>
      </w:r>
    </w:p>
    <w:tbl>
      <w:tblPr>
        <w:tblStyle w:val="7"/>
        <w:tblW w:w="14120" w:type="dxa"/>
        <w:tblInd w:w="5" w:type="dxa"/>
        <w:tblLayout w:type="fixed"/>
        <w:tblCellMar>
          <w:top w:w="0" w:type="dxa"/>
          <w:left w:w="108" w:type="dxa"/>
          <w:bottom w:w="0" w:type="dxa"/>
          <w:right w:w="108" w:type="dxa"/>
        </w:tblCellMar>
      </w:tblPr>
      <w:tblGrid>
        <w:gridCol w:w="91"/>
        <w:gridCol w:w="3448"/>
        <w:gridCol w:w="992"/>
        <w:gridCol w:w="553"/>
        <w:gridCol w:w="673"/>
        <w:gridCol w:w="759"/>
        <w:gridCol w:w="544"/>
        <w:gridCol w:w="3283"/>
        <w:gridCol w:w="1708"/>
        <w:gridCol w:w="78"/>
        <w:gridCol w:w="627"/>
        <w:gridCol w:w="1275"/>
        <w:gridCol w:w="89"/>
      </w:tblGrid>
      <w:tr>
        <w:tblPrEx>
          <w:tblCellMar>
            <w:top w:w="0" w:type="dxa"/>
            <w:left w:w="108" w:type="dxa"/>
            <w:bottom w:w="0" w:type="dxa"/>
            <w:right w:w="108" w:type="dxa"/>
          </w:tblCellMar>
        </w:tblPrEx>
        <w:trPr>
          <w:gridBefore w:val="1"/>
          <w:gridAfter w:val="1"/>
          <w:wBefore w:w="91" w:type="dxa"/>
          <w:wAfter w:w="89" w:type="dxa"/>
          <w:trHeight w:val="606" w:hRule="atLeast"/>
        </w:trPr>
        <w:tc>
          <w:tcPr>
            <w:tcW w:w="13940" w:type="dxa"/>
            <w:gridSpan w:val="11"/>
            <w:tcBorders>
              <w:top w:val="nil"/>
              <w:left w:val="nil"/>
              <w:bottom w:val="nil"/>
              <w:right w:val="nil"/>
            </w:tcBorders>
            <w:shd w:val="clear" w:color="auto" w:fill="auto"/>
            <w:noWrap/>
            <w:vAlign w:val="bottom"/>
          </w:tcPr>
          <w:p>
            <w:pPr>
              <w:jc w:val="left"/>
              <w:rPr>
                <w:rFonts w:hint="eastAsia" w:ascii="仿宋" w:hAnsi="仿宋" w:eastAsia="仿宋" w:cs="仿宋"/>
                <w:sz w:val="24"/>
              </w:rPr>
            </w:pPr>
            <w:r>
              <w:rPr>
                <w:rFonts w:hint="eastAsia" w:ascii="仿宋" w:hAnsi="仿宋" w:eastAsia="仿宋" w:cs="仿宋"/>
                <w:sz w:val="24"/>
              </w:rPr>
              <w:t>表一：收入支出决算总表</w:t>
            </w:r>
          </w:p>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gridBefore w:val="1"/>
          <w:gridAfter w:val="1"/>
          <w:wBefore w:w="91" w:type="dxa"/>
          <w:wAfter w:w="89" w:type="dxa"/>
          <w:trHeight w:val="301" w:hRule="atLeast"/>
        </w:trPr>
        <w:tc>
          <w:tcPr>
            <w:tcW w:w="34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85"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2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8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gridSpan w:val="2"/>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gridBefore w:val="1"/>
          <w:gridAfter w:val="1"/>
          <w:wBefore w:w="91" w:type="dxa"/>
          <w:wAfter w:w="89" w:type="dxa"/>
          <w:trHeight w:val="301" w:hRule="atLeast"/>
        </w:trPr>
        <w:tc>
          <w:tcPr>
            <w:tcW w:w="6425" w:type="dxa"/>
            <w:gridSpan w:val="5"/>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382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8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gridSpan w:val="2"/>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0" w:hRule="atLeast"/>
        </w:trPr>
        <w:tc>
          <w:tcPr>
            <w:tcW w:w="7060"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7060" w:type="dxa"/>
            <w:gridSpan w:val="6"/>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303"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364"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03"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64"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3,781.92</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四、上级补助收入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五、事业收入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2,939.35</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六、经营收入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七、附属单位上缴收入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八、其他收入</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314.34</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使用非财政拨款结余（含专用结余）</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084"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673"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3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4991"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70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36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r>
      <w:tr>
        <w:tblPrEx>
          <w:tblCellMar>
            <w:top w:w="0" w:type="dxa"/>
            <w:left w:w="108" w:type="dxa"/>
            <w:bottom w:w="0" w:type="dxa"/>
            <w:right w:w="108" w:type="dxa"/>
          </w:tblCellMar>
        </w:tblPrEx>
        <w:trPr>
          <w:trHeight w:val="300" w:hRule="atLeast"/>
        </w:trPr>
        <w:tc>
          <w:tcPr>
            <w:tcW w:w="14120" w:type="dxa"/>
            <w:gridSpan w:val="13"/>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注：1.本表反映部门本年度的总收支和年末结转结余情况。</w:t>
            </w:r>
          </w:p>
        </w:tc>
      </w:tr>
      <w:tr>
        <w:tblPrEx>
          <w:tblCellMar>
            <w:top w:w="0" w:type="dxa"/>
            <w:left w:w="108" w:type="dxa"/>
            <w:bottom w:w="0" w:type="dxa"/>
            <w:right w:w="108" w:type="dxa"/>
          </w:tblCellMar>
        </w:tblPrEx>
        <w:trPr>
          <w:trHeight w:val="300" w:hRule="atLeast"/>
        </w:trPr>
        <w:tc>
          <w:tcPr>
            <w:tcW w:w="14120" w:type="dxa"/>
            <w:gridSpan w:val="1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2.本套报表金额单位转换时可能存在尾数误差。</w:t>
            </w:r>
          </w:p>
        </w:tc>
      </w:tr>
    </w:tbl>
    <w:p>
      <w:pPr>
        <w:rPr>
          <w:rFonts w:hint="eastAsia" w:ascii="宋体" w:hAnsi="宋体" w:eastAsia="宋体" w:cs="宋体"/>
          <w:color w:val="000000"/>
          <w:kern w:val="0"/>
          <w:sz w:val="30"/>
          <w:szCs w:val="30"/>
          <w:lang w:bidi="ar"/>
        </w:rPr>
      </w:pPr>
    </w:p>
    <w:tbl>
      <w:tblPr>
        <w:tblStyle w:val="7"/>
        <w:tblW w:w="14143" w:type="dxa"/>
        <w:tblInd w:w="5" w:type="dxa"/>
        <w:tblLayout w:type="fixed"/>
        <w:tblCellMar>
          <w:top w:w="0" w:type="dxa"/>
          <w:left w:w="108" w:type="dxa"/>
          <w:bottom w:w="0" w:type="dxa"/>
          <w:right w:w="108" w:type="dxa"/>
        </w:tblCellMar>
      </w:tblPr>
      <w:tblGrid>
        <w:gridCol w:w="77"/>
        <w:gridCol w:w="1009"/>
        <w:gridCol w:w="1635"/>
        <w:gridCol w:w="240"/>
        <w:gridCol w:w="240"/>
        <w:gridCol w:w="1575"/>
        <w:gridCol w:w="87"/>
        <w:gridCol w:w="1042"/>
        <w:gridCol w:w="101"/>
        <w:gridCol w:w="1147"/>
        <w:gridCol w:w="166"/>
        <w:gridCol w:w="976"/>
        <w:gridCol w:w="888"/>
        <w:gridCol w:w="508"/>
        <w:gridCol w:w="381"/>
        <w:gridCol w:w="508"/>
        <w:gridCol w:w="1014"/>
        <w:gridCol w:w="2426"/>
        <w:gridCol w:w="123"/>
      </w:tblGrid>
      <w:tr>
        <w:tblPrEx>
          <w:tblCellMar>
            <w:top w:w="0" w:type="dxa"/>
            <w:left w:w="108" w:type="dxa"/>
            <w:bottom w:w="0" w:type="dxa"/>
            <w:right w:w="108" w:type="dxa"/>
          </w:tblCellMar>
        </w:tblPrEx>
        <w:trPr>
          <w:gridBefore w:val="1"/>
          <w:gridAfter w:val="1"/>
          <w:wBefore w:w="77" w:type="dxa"/>
          <w:wAfter w:w="123" w:type="dxa"/>
          <w:trHeight w:val="839" w:hRule="atLeast"/>
        </w:trPr>
        <w:tc>
          <w:tcPr>
            <w:tcW w:w="13943" w:type="dxa"/>
            <w:gridSpan w:val="17"/>
            <w:tcBorders>
              <w:top w:val="nil"/>
              <w:left w:val="nil"/>
              <w:bottom w:val="nil"/>
              <w:right w:val="nil"/>
            </w:tcBorders>
            <w:shd w:val="clear" w:color="auto" w:fill="auto"/>
            <w:noWrap/>
            <w:vAlign w:val="bottom"/>
          </w:tcPr>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表二：收入决算表</w:t>
            </w:r>
          </w:p>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gridBefore w:val="1"/>
          <w:gridAfter w:val="1"/>
          <w:wBefore w:w="77" w:type="dxa"/>
          <w:wAfter w:w="123" w:type="dxa"/>
          <w:trHeight w:val="278" w:hRule="atLeast"/>
        </w:trPr>
        <w:tc>
          <w:tcPr>
            <w:tcW w:w="264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48" w:type="dxa"/>
            <w:gridSpan w:val="3"/>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gridBefore w:val="1"/>
          <w:gridAfter w:val="1"/>
          <w:wBefore w:w="77" w:type="dxa"/>
          <w:wAfter w:w="123" w:type="dxa"/>
          <w:trHeight w:val="278" w:hRule="atLeast"/>
        </w:trPr>
        <w:tc>
          <w:tcPr>
            <w:tcW w:w="7076" w:type="dxa"/>
            <w:gridSpan w:val="9"/>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14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8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48" w:type="dxa"/>
            <w:gridSpan w:val="3"/>
            <w:tcBorders>
              <w:top w:val="nil"/>
              <w:left w:val="nil"/>
              <w:bottom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3" w:hRule="atLeast"/>
        </w:trPr>
        <w:tc>
          <w:tcPr>
            <w:tcW w:w="4776"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129"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414" w:type="dxa"/>
            <w:gridSpan w:val="3"/>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1396"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事业收入</w:t>
            </w:r>
          </w:p>
        </w:tc>
        <w:tc>
          <w:tcPr>
            <w:tcW w:w="889"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经营收入</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2549"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086"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3690" w:type="dxa"/>
            <w:gridSpan w:val="4"/>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1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41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3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10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69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1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41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3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10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690"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1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41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3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57" w:hRule="atLeast"/>
        </w:trPr>
        <w:tc>
          <w:tcPr>
            <w:tcW w:w="4776"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129"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14" w:type="dxa"/>
            <w:gridSpan w:val="3"/>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76"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96"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889"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14"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549"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trHeight w:val="357" w:hRule="atLeast"/>
        </w:trPr>
        <w:tc>
          <w:tcPr>
            <w:tcW w:w="4776"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3,783.86</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3,783.86</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2,915.84</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2,915.84</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17.39</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17.39</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2050999</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其他教育费附加安排的支出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08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3690"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12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141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976"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1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54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 w:hRule="atLeast"/>
        </w:trPr>
        <w:tc>
          <w:tcPr>
            <w:tcW w:w="14143" w:type="dxa"/>
            <w:gridSpan w:val="19"/>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w:t>
            </w:r>
          </w:p>
        </w:tc>
      </w:tr>
    </w:tbl>
    <w:p>
      <w:pPr>
        <w:rPr>
          <w:rFonts w:hint="eastAsia" w:ascii="仿宋" w:hAnsi="仿宋" w:eastAsia="仿宋" w:cs="仿宋"/>
          <w:sz w:val="24"/>
        </w:rPr>
      </w:pPr>
    </w:p>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表三：支出决算表</w:t>
      </w:r>
    </w:p>
    <w:tbl>
      <w:tblPr>
        <w:tblStyle w:val="7"/>
        <w:tblW w:w="14064" w:type="dxa"/>
        <w:tblInd w:w="5" w:type="dxa"/>
        <w:tblLayout w:type="fixed"/>
        <w:tblCellMar>
          <w:top w:w="0" w:type="dxa"/>
          <w:left w:w="108" w:type="dxa"/>
          <w:bottom w:w="0" w:type="dxa"/>
          <w:right w:w="108" w:type="dxa"/>
        </w:tblCellMar>
      </w:tblPr>
      <w:tblGrid>
        <w:gridCol w:w="79"/>
        <w:gridCol w:w="1014"/>
        <w:gridCol w:w="180"/>
        <w:gridCol w:w="56"/>
        <w:gridCol w:w="268"/>
        <w:gridCol w:w="2840"/>
        <w:gridCol w:w="623"/>
        <w:gridCol w:w="979"/>
        <w:gridCol w:w="157"/>
        <w:gridCol w:w="1262"/>
        <w:gridCol w:w="184"/>
        <w:gridCol w:w="1084"/>
        <w:gridCol w:w="519"/>
        <w:gridCol w:w="617"/>
        <w:gridCol w:w="986"/>
        <w:gridCol w:w="186"/>
        <w:gridCol w:w="1417"/>
        <w:gridCol w:w="1613"/>
      </w:tblGrid>
      <w:tr>
        <w:tblPrEx>
          <w:tblCellMar>
            <w:top w:w="0" w:type="dxa"/>
            <w:left w:w="108" w:type="dxa"/>
            <w:bottom w:w="0" w:type="dxa"/>
            <w:right w:w="108" w:type="dxa"/>
          </w:tblCellMar>
        </w:tblPrEx>
        <w:trPr>
          <w:gridBefore w:val="1"/>
          <w:wBefore w:w="79" w:type="dxa"/>
          <w:trHeight w:val="579" w:hRule="atLeast"/>
        </w:trPr>
        <w:tc>
          <w:tcPr>
            <w:tcW w:w="13985" w:type="dxa"/>
            <w:gridSpan w:val="17"/>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gridBefore w:val="1"/>
          <w:wBefore w:w="79" w:type="dxa"/>
          <w:trHeight w:val="290" w:hRule="atLeast"/>
        </w:trPr>
        <w:tc>
          <w:tcPr>
            <w:tcW w:w="101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6"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68"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46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136"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26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268"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136"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172"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0" w:type="dxa"/>
            <w:gridSpan w:val="2"/>
            <w:tcBorders>
              <w:top w:val="nil"/>
              <w:left w:val="nil"/>
              <w:bottom w:val="nil"/>
              <w:right w:val="nil"/>
            </w:tcBorders>
            <w:shd w:val="clear" w:color="auto" w:fill="auto"/>
            <w:noWrap/>
            <w:vAlign w:val="center"/>
          </w:tcPr>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gridBefore w:val="1"/>
          <w:wBefore w:w="79" w:type="dxa"/>
          <w:trHeight w:val="290" w:hRule="atLeast"/>
        </w:trPr>
        <w:tc>
          <w:tcPr>
            <w:tcW w:w="8647" w:type="dxa"/>
            <w:gridSpan w:val="11"/>
            <w:tcBorders>
              <w:top w:val="nil"/>
              <w:left w:val="nil"/>
              <w:bottom w:val="nil"/>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136"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172"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0" w:type="dxa"/>
            <w:gridSpan w:val="2"/>
            <w:tcBorders>
              <w:top w:val="nil"/>
              <w:left w:val="nil"/>
              <w:bottom w:val="nil"/>
              <w:right w:val="nil"/>
            </w:tcBorders>
            <w:shd w:val="clear" w:color="auto" w:fill="auto"/>
            <w:noWrap/>
            <w:vAlign w:val="center"/>
          </w:tcPr>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9" w:hRule="atLeast"/>
        </w:trPr>
        <w:tc>
          <w:tcPr>
            <w:tcW w:w="4437"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602"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603" w:type="dxa"/>
            <w:gridSpan w:val="3"/>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1603"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13" w:hRule="atLeast"/>
        </w:trPr>
        <w:tc>
          <w:tcPr>
            <w:tcW w:w="1273" w:type="dxa"/>
            <w:gridSpan w:val="3"/>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3164" w:type="dxa"/>
            <w:gridSpan w:val="3"/>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60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3" w:hRule="atLeast"/>
        </w:trPr>
        <w:tc>
          <w:tcPr>
            <w:tcW w:w="127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16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3" w:hRule="atLeast"/>
        </w:trPr>
        <w:tc>
          <w:tcPr>
            <w:tcW w:w="127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16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79" w:hRule="atLeast"/>
        </w:trPr>
        <w:tc>
          <w:tcPr>
            <w:tcW w:w="4437"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602"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3" w:type="dxa"/>
            <w:gridSpan w:val="3"/>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603"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603"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603" w:type="dxa"/>
            <w:gridSpan w:val="2"/>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613"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279" w:hRule="atLeast"/>
        </w:trPr>
        <w:tc>
          <w:tcPr>
            <w:tcW w:w="4437"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3,783.86</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3,208.73</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575.13</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2,915.84</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2,365.73</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550.11</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17.39</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0.43</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16.96</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2050999</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其他教育费附加安排的支出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273"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3164" w:type="dxa"/>
            <w:gridSpan w:val="3"/>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60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1603"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0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1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9" w:hRule="atLeast"/>
        </w:trPr>
        <w:tc>
          <w:tcPr>
            <w:tcW w:w="14064" w:type="dxa"/>
            <w:gridSpan w:val="18"/>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注：本表反映部门本年度各项支出情况。</w:t>
            </w:r>
          </w:p>
        </w:tc>
      </w:tr>
    </w:tbl>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表四：财政拨款收入支出决算总表</w:t>
      </w:r>
    </w:p>
    <w:tbl>
      <w:tblPr>
        <w:tblStyle w:val="7"/>
        <w:tblW w:w="5281" w:type="pct"/>
        <w:tblInd w:w="0" w:type="dxa"/>
        <w:tblLayout w:type="fixed"/>
        <w:tblCellMar>
          <w:top w:w="0" w:type="dxa"/>
          <w:left w:w="108" w:type="dxa"/>
          <w:bottom w:w="0" w:type="dxa"/>
          <w:right w:w="108" w:type="dxa"/>
        </w:tblCellMar>
      </w:tblPr>
      <w:tblGrid>
        <w:gridCol w:w="2592"/>
        <w:gridCol w:w="314"/>
        <w:gridCol w:w="475"/>
        <w:gridCol w:w="71"/>
        <w:gridCol w:w="778"/>
        <w:gridCol w:w="517"/>
        <w:gridCol w:w="2635"/>
        <w:gridCol w:w="608"/>
        <w:gridCol w:w="347"/>
        <w:gridCol w:w="527"/>
        <w:gridCol w:w="192"/>
        <w:gridCol w:w="782"/>
        <w:gridCol w:w="240"/>
        <w:gridCol w:w="177"/>
        <w:gridCol w:w="1248"/>
        <w:gridCol w:w="1593"/>
        <w:gridCol w:w="1875"/>
      </w:tblGrid>
      <w:tr>
        <w:tblPrEx>
          <w:tblCellMar>
            <w:top w:w="0" w:type="dxa"/>
            <w:left w:w="108" w:type="dxa"/>
            <w:bottom w:w="0" w:type="dxa"/>
            <w:right w:w="108" w:type="dxa"/>
          </w:tblCellMar>
        </w:tblPrEx>
        <w:trPr>
          <w:trHeight w:val="536" w:hRule="atLeast"/>
        </w:trPr>
        <w:tc>
          <w:tcPr>
            <w:tcW w:w="5000" w:type="pct"/>
            <w:gridSpan w:val="17"/>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8" w:hRule="atLeast"/>
        </w:trPr>
        <w:tc>
          <w:tcPr>
            <w:tcW w:w="971"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Arial" w:hAnsi="Arial" w:cs="Arial"/>
                <w:color w:val="000000"/>
                <w:sz w:val="20"/>
                <w:szCs w:val="20"/>
              </w:rPr>
              <w:t xml:space="preserve"> </w:t>
            </w:r>
          </w:p>
        </w:tc>
        <w:tc>
          <w:tcPr>
            <w:tcW w:w="15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4"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9"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25"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31" w:type="pct"/>
            <w:gridSpan w:val="4"/>
            <w:tcBorders>
              <w:top w:val="nil"/>
              <w:left w:val="nil"/>
              <w:bottom w:val="nil"/>
              <w:right w:val="nil"/>
            </w:tcBorders>
            <w:shd w:val="clear" w:color="auto" w:fill="auto"/>
            <w:noWrap/>
            <w:vAlign w:val="bottom"/>
          </w:tcPr>
          <w:p>
            <w:pPr>
              <w:widowControl/>
              <w:wordWrap w:val="0"/>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t>公开0</w:t>
            </w:r>
            <w:r>
              <w:rPr>
                <w:rFonts w:ascii="宋体" w:hAnsi="宋体" w:eastAsia="宋体" w:cs="宋体"/>
                <w:color w:val="000000"/>
                <w:kern w:val="0"/>
                <w:sz w:val="20"/>
                <w:szCs w:val="20"/>
                <w:lang w:bidi="ar"/>
              </w:rPr>
              <w:t>4</w:t>
            </w:r>
            <w:r>
              <w:rPr>
                <w:rFonts w:hint="eastAsia" w:ascii="宋体" w:hAnsi="宋体" w:eastAsia="宋体" w:cs="宋体"/>
                <w:color w:val="000000"/>
                <w:kern w:val="0"/>
                <w:sz w:val="20"/>
                <w:szCs w:val="20"/>
                <w:lang w:bidi="ar"/>
              </w:rPr>
              <w:t xml:space="preserve">表 </w:t>
            </w:r>
            <w:r>
              <w:rPr>
                <w:rFonts w:ascii="宋体" w:hAnsi="宋体" w:eastAsia="宋体" w:cs="宋体"/>
                <w:color w:val="000000"/>
                <w:kern w:val="0"/>
                <w:sz w:val="20"/>
                <w:szCs w:val="20"/>
                <w:lang w:bidi="ar"/>
              </w:rPr>
              <w:t xml:space="preserve"> </w:t>
            </w:r>
          </w:p>
        </w:tc>
      </w:tr>
      <w:tr>
        <w:tblPrEx>
          <w:tblCellMar>
            <w:top w:w="0" w:type="dxa"/>
            <w:left w:w="108" w:type="dxa"/>
            <w:bottom w:w="0" w:type="dxa"/>
            <w:right w:w="108" w:type="dxa"/>
          </w:tblCellMar>
        </w:tblPrEx>
        <w:trPr>
          <w:trHeight w:val="268" w:hRule="atLeast"/>
        </w:trPr>
        <w:tc>
          <w:tcPr>
            <w:tcW w:w="2962" w:type="pct"/>
            <w:gridSpan w:val="10"/>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325"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31" w:type="pct"/>
            <w:gridSpan w:val="4"/>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9" w:hRule="atLeast"/>
        </w:trPr>
        <w:tc>
          <w:tcPr>
            <w:tcW w:w="1587" w:type="pct"/>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     入</w:t>
            </w:r>
          </w:p>
        </w:tc>
        <w:tc>
          <w:tcPr>
            <w:tcW w:w="3412" w:type="pct"/>
            <w:gridSpan w:val="11"/>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572" w:hRule="atLeast"/>
        </w:trPr>
        <w:tc>
          <w:tcPr>
            <w:tcW w:w="866"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288" w:type="pct"/>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432" w:type="pct"/>
            <w:gridSpan w:val="2"/>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1199" w:type="pct"/>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240" w:type="pct"/>
            <w:gridSpan w:val="2"/>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399" w:type="pct"/>
            <w:gridSpan w:val="3"/>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417"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一般公共预算</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财政拨款</w:t>
            </w:r>
          </w:p>
        </w:tc>
        <w:tc>
          <w:tcPr>
            <w:tcW w:w="530"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政府性基金预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算财政拨款</w:t>
            </w:r>
          </w:p>
        </w:tc>
        <w:tc>
          <w:tcPr>
            <w:tcW w:w="625"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国有资本经营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预算财政拨款</w:t>
            </w:r>
          </w:p>
        </w:tc>
      </w:tr>
      <w:tr>
        <w:tblPrEx>
          <w:tblCellMar>
            <w:top w:w="0" w:type="dxa"/>
            <w:left w:w="108" w:type="dxa"/>
            <w:bottom w:w="0" w:type="dxa"/>
            <w:right w:w="108" w:type="dxa"/>
          </w:tblCellMar>
        </w:tblPrEx>
        <w:trPr>
          <w:trHeight w:val="312" w:hRule="atLeast"/>
        </w:trPr>
        <w:tc>
          <w:tcPr>
            <w:tcW w:w="866"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88"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32"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19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40"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9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17"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530"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625" w:type="pct"/>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2"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9"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17" w:type="pct"/>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530" w:type="pct"/>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625" w:type="pct"/>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3,781.92</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2,939.35</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2,939.35</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314.34</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3,781.92</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年末财政拨款结转和结余</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一般公共预算财政拨款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国有资本经营预算财政拨款</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866"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288"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432" w:type="pct"/>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1199" w:type="pct"/>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240" w:type="pct"/>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399" w:type="pct"/>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3,783.86</w:t>
            </w:r>
          </w:p>
        </w:tc>
        <w:tc>
          <w:tcPr>
            <w:tcW w:w="417"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3,781.92</w:t>
            </w:r>
          </w:p>
        </w:tc>
        <w:tc>
          <w:tcPr>
            <w:tcW w:w="530"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625"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9" w:hRule="atLeast"/>
        </w:trPr>
        <w:tc>
          <w:tcPr>
            <w:tcW w:w="4374" w:type="pct"/>
            <w:gridSpan w:val="16"/>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tc>
        <w:tc>
          <w:tcPr>
            <w:tcW w:w="625" w:type="pct"/>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表五：一般公共预算财政拨款支出决算表</w:t>
      </w:r>
    </w:p>
    <w:tbl>
      <w:tblPr>
        <w:tblStyle w:val="7"/>
        <w:tblW w:w="13980" w:type="dxa"/>
        <w:tblInd w:w="96" w:type="dxa"/>
        <w:tblLayout w:type="fixed"/>
        <w:tblCellMar>
          <w:top w:w="0" w:type="dxa"/>
          <w:left w:w="108" w:type="dxa"/>
          <w:bottom w:w="0" w:type="dxa"/>
          <w:right w:w="108" w:type="dxa"/>
        </w:tblCellMar>
      </w:tblPr>
      <w:tblGrid>
        <w:gridCol w:w="13"/>
        <w:gridCol w:w="317"/>
        <w:gridCol w:w="303"/>
        <w:gridCol w:w="367"/>
        <w:gridCol w:w="3668"/>
        <w:gridCol w:w="2792"/>
        <w:gridCol w:w="4429"/>
        <w:gridCol w:w="1938"/>
        <w:gridCol w:w="153"/>
      </w:tblGrid>
      <w:tr>
        <w:tblPrEx>
          <w:tblCellMar>
            <w:top w:w="0" w:type="dxa"/>
            <w:left w:w="108" w:type="dxa"/>
            <w:bottom w:w="0" w:type="dxa"/>
            <w:right w:w="108" w:type="dxa"/>
          </w:tblCellMar>
        </w:tblPrEx>
        <w:trPr>
          <w:trHeight w:val="483" w:hRule="atLeast"/>
        </w:trPr>
        <w:tc>
          <w:tcPr>
            <w:tcW w:w="13980" w:type="dxa"/>
            <w:gridSpan w:val="9"/>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gridBefore w:val="1"/>
          <w:gridAfter w:val="1"/>
          <w:wBefore w:w="13" w:type="dxa"/>
          <w:wAfter w:w="153" w:type="dxa"/>
          <w:trHeight w:val="576" w:hRule="atLeast"/>
        </w:trPr>
        <w:tc>
          <w:tcPr>
            <w:tcW w:w="317" w:type="dxa"/>
            <w:tcBorders>
              <w:top w:val="nil"/>
              <w:left w:val="nil"/>
              <w:bottom w:val="nil"/>
              <w:right w:val="nil"/>
            </w:tcBorders>
            <w:shd w:val="clear" w:color="auto" w:fill="auto"/>
            <w:noWrap/>
            <w:vAlign w:val="center"/>
          </w:tcPr>
          <w:p>
            <w:pPr>
              <w:widowControl/>
              <w:jc w:val="left"/>
              <w:rPr>
                <w:rFonts w:ascii="Times New Roman" w:hAnsi="Times New Roman" w:cs="Times New Roman"/>
                <w:kern w:val="0"/>
                <w:sz w:val="20"/>
                <w:szCs w:val="20"/>
              </w:rPr>
            </w:pPr>
            <w:r>
              <w:rPr>
                <w:rFonts w:hint="eastAsia" w:ascii="Times New Roman" w:hAnsi="Times New Roman" w:cs="Times New Roman"/>
                <w:kern w:val="0"/>
                <w:sz w:val="20"/>
                <w:szCs w:val="20"/>
              </w:rPr>
              <w:t xml:space="preserve"> </w:t>
            </w:r>
            <w:r>
              <w:rPr>
                <w:rFonts w:ascii="Times New Roman" w:hAnsi="Times New Roman" w:cs="Times New Roman"/>
                <w:kern w:val="0"/>
                <w:sz w:val="20"/>
                <w:szCs w:val="20"/>
              </w:rPr>
              <w:t xml:space="preserve">               </w:t>
            </w:r>
          </w:p>
          <w:p>
            <w:pPr>
              <w:widowControl/>
              <w:jc w:val="left"/>
              <w:rPr>
                <w:rFonts w:ascii="Times New Roman" w:hAnsi="Times New Roman" w:cs="Times New Roman"/>
                <w:kern w:val="0"/>
                <w:sz w:val="20"/>
                <w:szCs w:val="20"/>
              </w:rPr>
            </w:pPr>
          </w:p>
          <w:p>
            <w:pPr>
              <w:widowControl/>
              <w:jc w:val="left"/>
              <w:rPr>
                <w:rFonts w:ascii="Times New Roman" w:hAnsi="Times New Roman" w:cs="Times New Roman"/>
                <w:kern w:val="0"/>
                <w:sz w:val="20"/>
                <w:szCs w:val="20"/>
              </w:rPr>
            </w:pPr>
          </w:p>
        </w:tc>
        <w:tc>
          <w:tcPr>
            <w:tcW w:w="303"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6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668"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79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429"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38"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公开05表</w:t>
            </w:r>
          </w:p>
        </w:tc>
      </w:tr>
      <w:tr>
        <w:tblPrEx>
          <w:tblCellMar>
            <w:top w:w="0" w:type="dxa"/>
            <w:left w:w="108" w:type="dxa"/>
            <w:bottom w:w="0" w:type="dxa"/>
            <w:right w:w="108" w:type="dxa"/>
          </w:tblCellMar>
        </w:tblPrEx>
        <w:trPr>
          <w:gridBefore w:val="1"/>
          <w:gridAfter w:val="1"/>
          <w:wBefore w:w="13" w:type="dxa"/>
          <w:wAfter w:w="153" w:type="dxa"/>
          <w:trHeight w:val="300" w:hRule="atLeast"/>
        </w:trPr>
        <w:tc>
          <w:tcPr>
            <w:tcW w:w="4655" w:type="dxa"/>
            <w:gridSpan w:val="4"/>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部门：环江毛南族自治县川山镇中心小学</w:t>
            </w:r>
          </w:p>
        </w:tc>
        <w:tc>
          <w:tcPr>
            <w:tcW w:w="2792" w:type="dxa"/>
            <w:tcBorders>
              <w:top w:val="nil"/>
              <w:left w:val="nil"/>
              <w:bottom w:val="nil"/>
              <w:right w:val="nil"/>
            </w:tcBorders>
            <w:shd w:val="clear" w:color="auto" w:fill="auto"/>
            <w:noWrap/>
            <w:vAlign w:val="center"/>
          </w:tcPr>
          <w:p>
            <w:pPr>
              <w:widowControl/>
              <w:jc w:val="left"/>
              <w:rPr>
                <w:rFonts w:hint="eastAsia" w:ascii="宋体" w:hAnsi="宋体" w:eastAsia="宋体" w:cs="宋体"/>
                <w:kern w:val="0"/>
                <w:sz w:val="18"/>
                <w:szCs w:val="18"/>
              </w:rPr>
            </w:pPr>
          </w:p>
        </w:tc>
        <w:tc>
          <w:tcPr>
            <w:tcW w:w="4429"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38"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4655"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9159" w:type="dxa"/>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gridBefore w:val="1"/>
          <w:gridAfter w:val="1"/>
          <w:wBefore w:w="13" w:type="dxa"/>
          <w:wAfter w:w="153" w:type="dxa"/>
          <w:trHeight w:val="328" w:hRule="atLeast"/>
        </w:trPr>
        <w:tc>
          <w:tcPr>
            <w:tcW w:w="987" w:type="dxa"/>
            <w:gridSpan w:val="3"/>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3668" w:type="dxa"/>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2792"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4429"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938"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gridBefore w:val="1"/>
          <w:gridAfter w:val="1"/>
          <w:wBefore w:w="13" w:type="dxa"/>
          <w:wAfter w:w="153" w:type="dxa"/>
          <w:trHeight w:val="328" w:hRule="atLeast"/>
        </w:trPr>
        <w:tc>
          <w:tcPr>
            <w:tcW w:w="98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6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79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42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93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gridBefore w:val="1"/>
          <w:gridAfter w:val="1"/>
          <w:wBefore w:w="13" w:type="dxa"/>
          <w:wAfter w:w="153" w:type="dxa"/>
          <w:trHeight w:val="328" w:hRule="atLeast"/>
        </w:trPr>
        <w:tc>
          <w:tcPr>
            <w:tcW w:w="98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6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79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429"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93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gridBefore w:val="1"/>
          <w:gridAfter w:val="1"/>
          <w:wBefore w:w="13" w:type="dxa"/>
          <w:wAfter w:w="153" w:type="dxa"/>
          <w:trHeight w:val="442" w:hRule="atLeast"/>
        </w:trPr>
        <w:tc>
          <w:tcPr>
            <w:tcW w:w="4655"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792"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42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38"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gridBefore w:val="1"/>
          <w:gridAfter w:val="1"/>
          <w:wBefore w:w="13" w:type="dxa"/>
          <w:wAfter w:w="153" w:type="dxa"/>
          <w:trHeight w:val="426" w:hRule="atLeast"/>
        </w:trPr>
        <w:tc>
          <w:tcPr>
            <w:tcW w:w="4655"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3,781.92</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3,208.73</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573.19</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2,915.84</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2,365.73</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550.11</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17.39</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0.43</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16.96</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2050999</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其他教育费附加安排的支出</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2.70</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987"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3668"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27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4429"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312.39</w:t>
            </w:r>
          </w:p>
        </w:tc>
        <w:tc>
          <w:tcPr>
            <w:tcW w:w="1938"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gridBefore w:val="1"/>
          <w:gridAfter w:val="1"/>
          <w:wBefore w:w="13" w:type="dxa"/>
          <w:wAfter w:w="153" w:type="dxa"/>
          <w:trHeight w:val="315" w:hRule="atLeast"/>
        </w:trPr>
        <w:tc>
          <w:tcPr>
            <w:tcW w:w="13814" w:type="dxa"/>
            <w:gridSpan w:val="7"/>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注：本表反映部门本年度一般公共预算财政拨款支出情况。</w:t>
            </w:r>
          </w:p>
        </w:tc>
      </w:tr>
    </w:tbl>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表六：一般公共预算财政拨款基本支出决算表</w:t>
      </w:r>
    </w:p>
    <w:tbl>
      <w:tblPr>
        <w:tblStyle w:val="7"/>
        <w:tblW w:w="14182" w:type="dxa"/>
        <w:tblInd w:w="5" w:type="dxa"/>
        <w:tblLayout w:type="fixed"/>
        <w:tblCellMar>
          <w:top w:w="0" w:type="dxa"/>
          <w:left w:w="108" w:type="dxa"/>
          <w:bottom w:w="0" w:type="dxa"/>
          <w:right w:w="108" w:type="dxa"/>
        </w:tblCellMar>
      </w:tblPr>
      <w:tblGrid>
        <w:gridCol w:w="67"/>
        <w:gridCol w:w="661"/>
        <w:gridCol w:w="233"/>
        <w:gridCol w:w="2390"/>
        <w:gridCol w:w="375"/>
        <w:gridCol w:w="359"/>
        <w:gridCol w:w="629"/>
        <w:gridCol w:w="118"/>
        <w:gridCol w:w="967"/>
        <w:gridCol w:w="494"/>
        <w:gridCol w:w="630"/>
        <w:gridCol w:w="629"/>
        <w:gridCol w:w="665"/>
        <w:gridCol w:w="425"/>
        <w:gridCol w:w="425"/>
        <w:gridCol w:w="1276"/>
        <w:gridCol w:w="2977"/>
        <w:gridCol w:w="862"/>
      </w:tblGrid>
      <w:tr>
        <w:tblPrEx>
          <w:tblCellMar>
            <w:top w:w="0" w:type="dxa"/>
            <w:left w:w="108" w:type="dxa"/>
            <w:bottom w:w="0" w:type="dxa"/>
            <w:right w:w="108" w:type="dxa"/>
          </w:tblCellMar>
        </w:tblPrEx>
        <w:trPr>
          <w:gridBefore w:val="1"/>
          <w:wBefore w:w="67" w:type="dxa"/>
          <w:trHeight w:val="515" w:hRule="atLeast"/>
        </w:trPr>
        <w:tc>
          <w:tcPr>
            <w:tcW w:w="14115" w:type="dxa"/>
            <w:gridSpan w:val="17"/>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gridBefore w:val="1"/>
          <w:wBefore w:w="67" w:type="dxa"/>
          <w:trHeight w:val="257" w:hRule="atLeast"/>
        </w:trPr>
        <w:tc>
          <w:tcPr>
            <w:tcW w:w="6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9"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540" w:type="dxa"/>
            <w:gridSpan w:val="4"/>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gridBefore w:val="1"/>
          <w:wBefore w:w="67" w:type="dxa"/>
          <w:trHeight w:val="476" w:hRule="atLeast"/>
        </w:trPr>
        <w:tc>
          <w:tcPr>
            <w:tcW w:w="6226" w:type="dxa"/>
            <w:gridSpan w:val="9"/>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6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630" w:type="dxa"/>
            <w:gridSpan w:val="6"/>
            <w:tcBorders>
              <w:top w:val="nil"/>
              <w:left w:val="nil"/>
              <w:bottom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88" w:hRule="atLeast"/>
        </w:trPr>
        <w:tc>
          <w:tcPr>
            <w:tcW w:w="4832" w:type="dxa"/>
            <w:gridSpan w:val="8"/>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w:t>
            </w:r>
          </w:p>
        </w:tc>
        <w:tc>
          <w:tcPr>
            <w:tcW w:w="9350" w:type="dxa"/>
            <w:gridSpan w:val="10"/>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961"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2765" w:type="dxa"/>
            <w:gridSpan w:val="2"/>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106"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967"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2418" w:type="dxa"/>
            <w:gridSpan w:val="4"/>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850" w:type="dxa"/>
            <w:gridSpan w:val="2"/>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1276"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2977"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862"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312" w:hRule="atLeast"/>
        </w:trPr>
        <w:tc>
          <w:tcPr>
            <w:tcW w:w="96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76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10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6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418" w:type="dxa"/>
            <w:gridSpan w:val="4"/>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85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97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工资福利支出</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2,973.71</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商品和服务支出</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307</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债务利息及费用支出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30101</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基本工资</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1,012.23</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30201</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30701</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国内债务付息</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30102</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津贴补贴</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232.62</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30202</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印刷费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30702</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国外债务付息</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30103</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奖金</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674.87</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30203</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咨询费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资本性支出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30106</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伙食补助费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30204</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手续费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31001</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房屋建筑物购建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30107</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绩效工资</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436.87</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30205</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水费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31002</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办公设备购置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30108</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机关事业单位基本养老保险缴费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279.69</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30206</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电费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31003</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专用设备购置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30109</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职业年金缴费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30207</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邮电费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31005</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基础设施建设</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30110</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职工基本医疗保险缴费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113.46</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30208</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取暖费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31006</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大型修缮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30111</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公务员医疗补助缴费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30209</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物业管理费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31007</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信息网络及软件购置更新</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30112</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其他社会保障缴费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14.14</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30211</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差旅费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31008</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物资储备</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30113</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209.84</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30212</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因公出国（境）费用</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31009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土地补偿</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30114</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医疗费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30213</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维修（护）费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31010</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安置补助</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30199</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其他工资福利支出</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30214</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租赁费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31011</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地上附着物和青苗补偿</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对个人和家庭的补助</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194.37</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30215</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会议费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31012</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拆迁补偿</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30301</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离休费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30216</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培训费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31013</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公务用车购置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30302</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退休费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30217</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公务接待费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31019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其他交通工具购置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30303</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退职（役）费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30218</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专用材料费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31021</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文物和陈列品购置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30304</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抚恤金</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25.09</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30224</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被装购置费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31022</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无形资产购置</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30305</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生活补助</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169.26</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30225</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专用燃料费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31099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其他资本性支出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30306</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救济费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30226</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劳务费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30307</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医疗费补助</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30227</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委托业务费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39907</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国家赔偿费用支出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30308</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助学金</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30228</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工会经费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39908</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30309</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奖励金</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30229</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福利费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39909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经常性赠与</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30310</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个人农业生产补贴</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30231</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公务用车运行维护费</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39910</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资本性赠与</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30311</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代缴社会保险费</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30239</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其他交通费用</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39999</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其他支出</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30399</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其他对个人和家庭的补助</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0.02</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30240</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税金及附加费用</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961" w:type="dxa"/>
            <w:gridSpan w:val="3"/>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65" w:type="dxa"/>
            <w:gridSpan w:val="2"/>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30299</w:t>
            </w:r>
          </w:p>
        </w:tc>
        <w:tc>
          <w:tcPr>
            <w:tcW w:w="2418"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其他商品和服务支出</w:t>
            </w:r>
          </w:p>
        </w:tc>
        <w:tc>
          <w:tcPr>
            <w:tcW w:w="85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76"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77" w:type="dxa"/>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26" w:type="dxa"/>
            <w:gridSpan w:val="5"/>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人员经费合计</w:t>
            </w:r>
          </w:p>
        </w:tc>
        <w:tc>
          <w:tcPr>
            <w:tcW w:w="110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3,168.08</w:t>
            </w:r>
          </w:p>
        </w:tc>
        <w:tc>
          <w:tcPr>
            <w:tcW w:w="8488" w:type="dxa"/>
            <w:gridSpan w:val="9"/>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公用经费合计</w:t>
            </w:r>
          </w:p>
        </w:tc>
        <w:tc>
          <w:tcPr>
            <w:tcW w:w="86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40.65</w:t>
            </w:r>
          </w:p>
        </w:tc>
      </w:tr>
      <w:tr>
        <w:tblPrEx>
          <w:tblCellMar>
            <w:top w:w="0" w:type="dxa"/>
            <w:left w:w="108" w:type="dxa"/>
            <w:bottom w:w="0" w:type="dxa"/>
            <w:right w:w="108" w:type="dxa"/>
          </w:tblCellMar>
        </w:tblPrEx>
        <w:trPr>
          <w:trHeight w:val="288" w:hRule="atLeast"/>
        </w:trPr>
        <w:tc>
          <w:tcPr>
            <w:tcW w:w="14182" w:type="dxa"/>
            <w:gridSpan w:val="18"/>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表七：政府性基金预算财政拨款收入支出决算表</w:t>
      </w:r>
    </w:p>
    <w:tbl>
      <w:tblPr>
        <w:tblStyle w:val="7"/>
        <w:tblW w:w="14124" w:type="dxa"/>
        <w:tblInd w:w="5" w:type="dxa"/>
        <w:tblLayout w:type="fixed"/>
        <w:tblCellMar>
          <w:top w:w="0" w:type="dxa"/>
          <w:left w:w="108" w:type="dxa"/>
          <w:bottom w:w="0" w:type="dxa"/>
          <w:right w:w="108" w:type="dxa"/>
        </w:tblCellMar>
      </w:tblPr>
      <w:tblGrid>
        <w:gridCol w:w="85"/>
        <w:gridCol w:w="870"/>
        <w:gridCol w:w="345"/>
        <w:gridCol w:w="246"/>
        <w:gridCol w:w="687"/>
        <w:gridCol w:w="1522"/>
        <w:gridCol w:w="918"/>
        <w:gridCol w:w="930"/>
        <w:gridCol w:w="644"/>
        <w:gridCol w:w="905"/>
        <w:gridCol w:w="669"/>
        <w:gridCol w:w="372"/>
        <w:gridCol w:w="458"/>
        <w:gridCol w:w="744"/>
        <w:gridCol w:w="372"/>
        <w:gridCol w:w="458"/>
        <w:gridCol w:w="744"/>
        <w:gridCol w:w="419"/>
        <w:gridCol w:w="458"/>
        <w:gridCol w:w="698"/>
        <w:gridCol w:w="1236"/>
        <w:gridCol w:w="344"/>
      </w:tblGrid>
      <w:tr>
        <w:tblPrEx>
          <w:tblCellMar>
            <w:top w:w="0" w:type="dxa"/>
            <w:left w:w="108" w:type="dxa"/>
            <w:bottom w:w="0" w:type="dxa"/>
            <w:right w:w="108" w:type="dxa"/>
          </w:tblCellMar>
        </w:tblPrEx>
        <w:trPr>
          <w:gridBefore w:val="1"/>
          <w:gridAfter w:val="1"/>
          <w:wBefore w:w="85" w:type="dxa"/>
          <w:wAfter w:w="344" w:type="dxa"/>
          <w:trHeight w:val="486" w:hRule="atLeast"/>
        </w:trPr>
        <w:tc>
          <w:tcPr>
            <w:tcW w:w="13695" w:type="dxa"/>
            <w:gridSpan w:val="20"/>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gridBefore w:val="1"/>
          <w:gridAfter w:val="1"/>
          <w:wBefore w:w="85" w:type="dxa"/>
          <w:wAfter w:w="344" w:type="dxa"/>
          <w:trHeight w:val="242" w:hRule="atLeast"/>
        </w:trPr>
        <w:tc>
          <w:tcPr>
            <w:tcW w:w="1215"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8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48"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4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99"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1"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34" w:type="dxa"/>
            <w:gridSpan w:val="2"/>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gridBefore w:val="1"/>
          <w:gridAfter w:val="1"/>
          <w:wBefore w:w="85" w:type="dxa"/>
          <w:wAfter w:w="344" w:type="dxa"/>
          <w:trHeight w:val="242" w:hRule="atLeast"/>
        </w:trPr>
        <w:tc>
          <w:tcPr>
            <w:tcW w:w="8108" w:type="dxa"/>
            <w:gridSpan w:val="11"/>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574"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1"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2" w:type="dxa"/>
            <w:gridSpan w:val="3"/>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2" w:hRule="atLeast"/>
        </w:trPr>
        <w:tc>
          <w:tcPr>
            <w:tcW w:w="4673"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4723" w:type="dxa"/>
            <w:gridSpan w:val="9"/>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1580"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955"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3718" w:type="dxa"/>
            <w:gridSpan w:val="5"/>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574"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575"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15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718"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718" w:type="dxa"/>
            <w:gridSpan w:val="5"/>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7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5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72" w:hRule="atLeast"/>
        </w:trPr>
        <w:tc>
          <w:tcPr>
            <w:tcW w:w="4673"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74"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74"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74" w:type="dxa"/>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74" w:type="dxa"/>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75" w:type="dxa"/>
            <w:gridSpan w:val="3"/>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80"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272" w:hRule="atLeast"/>
        </w:trPr>
        <w:tc>
          <w:tcPr>
            <w:tcW w:w="4673"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5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1.95</w:t>
            </w:r>
          </w:p>
        </w:tc>
        <w:tc>
          <w:tcPr>
            <w:tcW w:w="157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1.95</w:t>
            </w:r>
          </w:p>
        </w:tc>
        <w:tc>
          <w:tcPr>
            <w:tcW w:w="157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575"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1.95</w:t>
            </w:r>
          </w:p>
        </w:tc>
        <w:tc>
          <w:tcPr>
            <w:tcW w:w="158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272" w:hRule="atLeast"/>
        </w:trPr>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3718"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5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57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574"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5"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1.95</w:t>
            </w:r>
          </w:p>
        </w:tc>
        <w:tc>
          <w:tcPr>
            <w:tcW w:w="158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2" w:hRule="atLeast"/>
        </w:trPr>
        <w:tc>
          <w:tcPr>
            <w:tcW w:w="14124" w:type="dxa"/>
            <w:gridSpan w:val="22"/>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表八：国有资本经营预算财政拨款支出决算表</w:t>
      </w:r>
    </w:p>
    <w:tbl>
      <w:tblPr>
        <w:tblStyle w:val="7"/>
        <w:tblW w:w="13919" w:type="dxa"/>
        <w:tblInd w:w="0" w:type="dxa"/>
        <w:tblLayout w:type="fixed"/>
        <w:tblCellMar>
          <w:top w:w="0" w:type="dxa"/>
          <w:left w:w="108" w:type="dxa"/>
          <w:bottom w:w="0" w:type="dxa"/>
          <w:right w:w="108" w:type="dxa"/>
        </w:tblCellMar>
      </w:tblPr>
      <w:tblGrid>
        <w:gridCol w:w="13919"/>
      </w:tblGrid>
      <w:tr>
        <w:trPr>
          <w:trHeight w:val="4238" w:hRule="atLeast"/>
        </w:trPr>
        <w:tc>
          <w:tcPr>
            <w:tcW w:w="13919" w:type="dxa"/>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 xml:space="preserve"> </w:t>
            </w:r>
            <w:r>
              <w:rPr>
                <w:rFonts w:ascii="宋体" w:hAnsi="宋体" w:eastAsia="宋体" w:cs="宋体"/>
                <w:color w:val="000000"/>
                <w:kern w:val="0"/>
                <w:sz w:val="32"/>
                <w:szCs w:val="32"/>
                <w:lang w:bidi="ar"/>
              </w:rPr>
              <w:t xml:space="preserve">            </w:t>
            </w:r>
            <w:r>
              <w:rPr>
                <w:rFonts w:hint="eastAsia" w:ascii="宋体" w:hAnsi="宋体" w:eastAsia="宋体" w:cs="宋体"/>
                <w:color w:val="000000"/>
                <w:kern w:val="0"/>
                <w:sz w:val="32"/>
                <w:szCs w:val="32"/>
                <w:lang w:bidi="ar"/>
              </w:rPr>
              <w:t>国有资本经营预算财政拨款支出决算表</w:t>
            </w:r>
          </w:p>
          <w:tbl>
            <w:tblPr>
              <w:tblStyle w:val="7"/>
              <w:tblW w:w="13767" w:type="dxa"/>
              <w:tblInd w:w="0" w:type="dxa"/>
              <w:tblLayout w:type="fixed"/>
              <w:tblCellMar>
                <w:top w:w="0" w:type="dxa"/>
                <w:left w:w="108" w:type="dxa"/>
                <w:bottom w:w="0" w:type="dxa"/>
                <w:right w:w="108" w:type="dxa"/>
              </w:tblCellMar>
            </w:tblPr>
            <w:tblGrid>
              <w:gridCol w:w="339"/>
              <w:gridCol w:w="339"/>
              <w:gridCol w:w="650"/>
              <w:gridCol w:w="4373"/>
              <w:gridCol w:w="3359"/>
              <w:gridCol w:w="2657"/>
              <w:gridCol w:w="1986"/>
            </w:tblGrid>
            <w:tr>
              <w:tblPrEx>
                <w:tblCellMar>
                  <w:top w:w="0" w:type="dxa"/>
                  <w:left w:w="108" w:type="dxa"/>
                  <w:bottom w:w="0" w:type="dxa"/>
                  <w:right w:w="108" w:type="dxa"/>
                </w:tblCellMar>
              </w:tblPrEx>
              <w:trPr>
                <w:trHeight w:val="285" w:hRule="atLeast"/>
              </w:trPr>
              <w:tc>
                <w:tcPr>
                  <w:tcW w:w="34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4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65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439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37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67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95"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公开08表</w:t>
                  </w:r>
                </w:p>
              </w:tc>
            </w:tr>
            <w:tr>
              <w:tblPrEx>
                <w:tblCellMar>
                  <w:top w:w="0" w:type="dxa"/>
                  <w:left w:w="108" w:type="dxa"/>
                  <w:bottom w:w="0" w:type="dxa"/>
                  <w:right w:w="108" w:type="dxa"/>
                </w:tblCellMar>
              </w:tblPrEx>
              <w:trPr>
                <w:trHeight w:val="285" w:hRule="atLeast"/>
              </w:trPr>
              <w:tc>
                <w:tcPr>
                  <w:tcW w:w="5727" w:type="dxa"/>
                  <w:gridSpan w:val="4"/>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部门：环江毛南族自治县川山镇中心小学</w:t>
                  </w:r>
                </w:p>
              </w:tc>
              <w:tc>
                <w:tcPr>
                  <w:tcW w:w="3375" w:type="dxa"/>
                  <w:tcBorders>
                    <w:top w:val="nil"/>
                    <w:left w:val="nil"/>
                    <w:bottom w:val="nil"/>
                    <w:right w:val="nil"/>
                  </w:tcBorders>
                  <w:shd w:val="clear" w:color="auto" w:fill="auto"/>
                  <w:noWrap/>
                  <w:vAlign w:val="center"/>
                </w:tcPr>
                <w:p>
                  <w:pPr>
                    <w:widowControl/>
                    <w:jc w:val="left"/>
                    <w:rPr>
                      <w:rFonts w:hint="eastAsia" w:ascii="宋体" w:hAnsi="宋体" w:eastAsia="宋体" w:cs="宋体"/>
                      <w:kern w:val="0"/>
                      <w:sz w:val="18"/>
                      <w:szCs w:val="18"/>
                    </w:rPr>
                  </w:pPr>
                </w:p>
              </w:tc>
              <w:tc>
                <w:tcPr>
                  <w:tcW w:w="267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95"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420" w:hRule="atLeast"/>
              </w:trPr>
              <w:tc>
                <w:tcPr>
                  <w:tcW w:w="5727"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8040" w:type="dxa"/>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332" w:type="dxa"/>
                  <w:gridSpan w:val="3"/>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4395" w:type="dxa"/>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3375"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670"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995"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39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37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67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99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133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439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337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267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99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5727"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337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9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420" w:hRule="atLeast"/>
              </w:trPr>
              <w:tc>
                <w:tcPr>
                  <w:tcW w:w="5727" w:type="dxa"/>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67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300" w:hRule="atLeast"/>
              </w:trPr>
              <w:tc>
                <w:tcPr>
                  <w:tcW w:w="1332"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95"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67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9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13767" w:type="dxa"/>
                  <w:gridSpan w:val="7"/>
                  <w:tcBorders>
                    <w:top w:val="single" w:color="000000" w:sz="4" w:space="0"/>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注：本表反映部门本年度国有资本经营预算财政拨款支出情况。</w:t>
                  </w:r>
                </w:p>
              </w:tc>
            </w:tr>
          </w:tbl>
          <w:p>
            <w:pPr>
              <w:widowControl/>
              <w:textAlignment w:val="bottom"/>
              <w:rPr>
                <w:rFonts w:hint="eastAsia" w:ascii="宋体" w:hAnsi="宋体" w:eastAsia="宋体" w:cs="宋体"/>
                <w:color w:val="000000"/>
                <w:sz w:val="30"/>
                <w:szCs w:val="30"/>
              </w:rPr>
            </w:pPr>
          </w:p>
        </w:tc>
      </w:tr>
    </w:tbl>
    <w:p>
      <w:pPr>
        <w:widowControl/>
        <w:jc w:val="left"/>
        <w:textAlignment w:val="center"/>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2023</w:t>
      </w:r>
      <w:r>
        <w:rPr>
          <w:rFonts w:hint="eastAsia" w:ascii="宋体" w:hAnsi="宋体" w:eastAsia="宋体" w:cs="宋体"/>
          <w:color w:val="000000" w:themeColor="text1"/>
          <w:szCs w:val="21"/>
          <w:lang w:bidi="ar"/>
          <w14:textFill>
            <w14:solidFill>
              <w14:schemeClr w14:val="tx1"/>
            </w14:solidFill>
          </w14:textFill>
        </w:rPr>
        <w:t>年度没有国有资本经营预算财政拨款收入，也没有国有资本经营预算财政拨款安排的支出，故本表无数据。</w:t>
      </w:r>
    </w:p>
    <w:p>
      <w:pPr>
        <w:widowControl/>
        <w:jc w:val="left"/>
        <w:textAlignment w:val="center"/>
        <w:rPr>
          <w:rFonts w:hint="eastAsia" w:ascii="宋体" w:hAnsi="宋体" w:eastAsia="宋体" w:cs="宋体"/>
          <w:color w:val="000000"/>
          <w:kern w:val="0"/>
          <w:sz w:val="22"/>
          <w:szCs w:val="22"/>
          <w:lang w:bidi="ar"/>
        </w:rPr>
      </w:pPr>
    </w:p>
    <w:tbl>
      <w:tblPr>
        <w:tblStyle w:val="7"/>
        <w:tblW w:w="28538" w:type="dxa"/>
        <w:tblInd w:w="0" w:type="dxa"/>
        <w:tblLayout w:type="fixed"/>
        <w:tblCellMar>
          <w:top w:w="0" w:type="dxa"/>
          <w:left w:w="108" w:type="dxa"/>
          <w:bottom w:w="0" w:type="dxa"/>
          <w:right w:w="108" w:type="dxa"/>
        </w:tblCellMar>
      </w:tblPr>
      <w:tblGrid>
        <w:gridCol w:w="14310"/>
        <w:gridCol w:w="14228"/>
      </w:tblGrid>
      <w:tr>
        <w:tblPrEx>
          <w:tblCellMar>
            <w:top w:w="0" w:type="dxa"/>
            <w:left w:w="108" w:type="dxa"/>
            <w:bottom w:w="0" w:type="dxa"/>
            <w:right w:w="108" w:type="dxa"/>
          </w:tblCellMar>
        </w:tblPrEx>
        <w:trPr>
          <w:gridAfter w:val="1"/>
          <w:wAfter w:w="14228" w:type="dxa"/>
          <w:trHeight w:val="632" w:hRule="atLeast"/>
        </w:trPr>
        <w:tc>
          <w:tcPr>
            <w:tcW w:w="14310" w:type="dxa"/>
            <w:tcBorders>
              <w:top w:val="nil"/>
              <w:left w:val="nil"/>
              <w:bottom w:val="nil"/>
              <w:right w:val="nil"/>
            </w:tcBorders>
            <w:shd w:val="clear" w:color="auto" w:fill="auto"/>
            <w:noWrap/>
            <w:vAlign w:val="bottom"/>
          </w:tcPr>
          <w:p>
            <w:pPr>
              <w:jc w:val="left"/>
              <w:rPr>
                <w:rFonts w:hint="eastAsia"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hint="eastAsia"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财政拨款“三公”经费支出决算表</w:t>
            </w:r>
          </w:p>
          <w:tbl>
            <w:tblPr>
              <w:tblStyle w:val="7"/>
              <w:tblW w:w="13992" w:type="dxa"/>
              <w:tblInd w:w="0" w:type="dxa"/>
              <w:tblLayout w:type="fixed"/>
              <w:tblCellMar>
                <w:top w:w="0" w:type="dxa"/>
                <w:left w:w="108" w:type="dxa"/>
                <w:bottom w:w="0" w:type="dxa"/>
                <w:right w:w="108" w:type="dxa"/>
              </w:tblCellMar>
            </w:tblPr>
            <w:tblGrid>
              <w:gridCol w:w="777"/>
              <w:gridCol w:w="1110"/>
              <w:gridCol w:w="930"/>
              <w:gridCol w:w="1260"/>
              <w:gridCol w:w="1365"/>
              <w:gridCol w:w="975"/>
              <w:gridCol w:w="945"/>
              <w:gridCol w:w="1350"/>
              <w:gridCol w:w="795"/>
              <w:gridCol w:w="1290"/>
              <w:gridCol w:w="1440"/>
              <w:gridCol w:w="1755"/>
            </w:tblGrid>
            <w:tr>
              <w:tblPrEx>
                <w:tblCellMar>
                  <w:top w:w="0" w:type="dxa"/>
                  <w:left w:w="108" w:type="dxa"/>
                  <w:bottom w:w="0" w:type="dxa"/>
                  <w:right w:w="108" w:type="dxa"/>
                </w:tblCellMar>
              </w:tblPrEx>
              <w:trPr>
                <w:trHeight w:val="248" w:hRule="atLeast"/>
              </w:trPr>
              <w:tc>
                <w:tcPr>
                  <w:tcW w:w="77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11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3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26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36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7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4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35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79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29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44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55"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公开09表</w:t>
                  </w:r>
                </w:p>
              </w:tc>
            </w:tr>
            <w:tr>
              <w:tblPrEx>
                <w:tblCellMar>
                  <w:top w:w="0" w:type="dxa"/>
                  <w:left w:w="108" w:type="dxa"/>
                  <w:bottom w:w="0" w:type="dxa"/>
                  <w:right w:w="108" w:type="dxa"/>
                </w:tblCellMar>
              </w:tblPrEx>
              <w:trPr>
                <w:trHeight w:val="248" w:hRule="atLeast"/>
              </w:trPr>
              <w:tc>
                <w:tcPr>
                  <w:tcW w:w="4077" w:type="dxa"/>
                  <w:gridSpan w:val="4"/>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部门：环江毛南族自治县川山镇中心小学</w:t>
                  </w:r>
                </w:p>
              </w:tc>
              <w:tc>
                <w:tcPr>
                  <w:tcW w:w="136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7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4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35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79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29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44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55" w:type="dxa"/>
                  <w:tcBorders>
                    <w:top w:val="nil"/>
                    <w:left w:val="nil"/>
                    <w:bottom w:val="nil"/>
                    <w:right w:val="nil"/>
                  </w:tcBorders>
                  <w:shd w:val="clear" w:color="auto" w:fill="auto"/>
                  <w:noWrap/>
                  <w:vAlign w:val="bottom"/>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261" w:hRule="atLeast"/>
              </w:trPr>
              <w:tc>
                <w:tcPr>
                  <w:tcW w:w="6417" w:type="dxa"/>
                  <w:gridSpan w:val="6"/>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预算数</w:t>
                  </w:r>
                </w:p>
              </w:tc>
              <w:tc>
                <w:tcPr>
                  <w:tcW w:w="7575" w:type="dxa"/>
                  <w:gridSpan w:val="6"/>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522" w:hRule="atLeast"/>
              </w:trPr>
              <w:tc>
                <w:tcPr>
                  <w:tcW w:w="777"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110"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因公出国（境）费</w:t>
                  </w:r>
                </w:p>
              </w:tc>
              <w:tc>
                <w:tcPr>
                  <w:tcW w:w="3555" w:type="dxa"/>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公务用车购置及运行维护费</w:t>
                  </w:r>
                </w:p>
              </w:tc>
              <w:tc>
                <w:tcPr>
                  <w:tcW w:w="975"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c>
                <w:tcPr>
                  <w:tcW w:w="945"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50"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因公出国（境）费</w:t>
                  </w:r>
                </w:p>
              </w:tc>
              <w:tc>
                <w:tcPr>
                  <w:tcW w:w="3525" w:type="dxa"/>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公务用车购置及运行维护费</w:t>
                  </w:r>
                </w:p>
              </w:tc>
              <w:tc>
                <w:tcPr>
                  <w:tcW w:w="1755" w:type="dxa"/>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trHeight w:val="522" w:hRule="atLeast"/>
              </w:trPr>
              <w:tc>
                <w:tcPr>
                  <w:tcW w:w="77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11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3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26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公务用车购置费</w:t>
                  </w:r>
                </w:p>
              </w:tc>
              <w:tc>
                <w:tcPr>
                  <w:tcW w:w="136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公务用车运行维护费</w:t>
                  </w:r>
                </w:p>
              </w:tc>
              <w:tc>
                <w:tcPr>
                  <w:tcW w:w="97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94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135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c>
                <w:tcPr>
                  <w:tcW w:w="79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29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公务用车购置费</w:t>
                  </w:r>
                </w:p>
              </w:tc>
              <w:tc>
                <w:tcPr>
                  <w:tcW w:w="144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公务用车运行维护费</w:t>
                  </w:r>
                </w:p>
              </w:tc>
              <w:tc>
                <w:tcPr>
                  <w:tcW w:w="1755"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1" w:hRule="atLeast"/>
              </w:trPr>
              <w:tc>
                <w:tcPr>
                  <w:tcW w:w="777" w:type="dxa"/>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1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3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26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6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97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94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35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79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29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440"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755" w:type="dxa"/>
                  <w:tcBorders>
                    <w:top w:val="nil"/>
                    <w:left w:val="nil"/>
                    <w:bottom w:val="single" w:color="000000" w:sz="4" w:space="0"/>
                    <w:right w:val="single" w:color="000000" w:sz="4" w:space="0"/>
                  </w:tcBorders>
                  <w:shd w:val="clear" w:color="000000" w:fill="F1F1F1"/>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trHeight w:val="261" w:hRule="atLeast"/>
              </w:trPr>
              <w:tc>
                <w:tcPr>
                  <w:tcW w:w="777"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6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7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5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widowControl/>
              <w:jc w:val="center"/>
              <w:textAlignment w:val="bottom"/>
              <w:rPr>
                <w:rFonts w:hint="eastAsia" w:ascii="宋体" w:hAnsi="宋体" w:eastAsia="宋体" w:cs="宋体"/>
                <w:color w:val="000000"/>
                <w:sz w:val="30"/>
                <w:szCs w:val="30"/>
              </w:rPr>
            </w:pPr>
          </w:p>
        </w:tc>
      </w:tr>
      <w:tr>
        <w:trPr>
          <w:trHeight w:val="642" w:hRule="atLeast"/>
        </w:trPr>
        <w:tc>
          <w:tcPr>
            <w:tcW w:w="14310"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420" w:firstLineChars="200"/>
              <w:jc w:val="left"/>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2023</w:t>
            </w:r>
            <w:r>
              <w:rPr>
                <w:rFonts w:hint="eastAsia" w:ascii="宋体" w:hAnsi="宋体" w:eastAsia="宋体" w:cs="宋体"/>
                <w:color w:val="000000" w:themeColor="text1"/>
                <w:szCs w:val="21"/>
                <w:lang w:bidi="ar"/>
                <w14:textFill>
                  <w14:solidFill>
                    <w14:schemeClr w14:val="tx1"/>
                  </w14:solidFill>
                </w14:textFill>
              </w:rPr>
              <w:t xml:space="preserve">年度没有财政拨款“三公”经费收入，也没有财政拨款“三公”经费安排的支出，故本表无数据。 </w:t>
            </w:r>
          </w:p>
        </w:tc>
        <w:tc>
          <w:tcPr>
            <w:tcW w:w="14228" w:type="dxa"/>
            <w:tcBorders>
              <w:top w:val="nil"/>
              <w:left w:val="nil"/>
              <w:bottom w:val="nil"/>
              <w:right w:val="nil"/>
            </w:tcBorders>
            <w:shd w:val="clear" w:color="auto" w:fill="auto"/>
            <w:vAlign w:val="center"/>
          </w:tcPr>
          <w:p>
            <w:pPr>
              <w:widowControl/>
              <w:ind w:firstLine="420" w:firstLineChars="200"/>
              <w:jc w:val="left"/>
              <w:textAlignment w:val="center"/>
              <w:rPr>
                <w:rFonts w:hint="eastAsia" w:ascii="宋体" w:hAnsi="宋体" w:eastAsia="宋体" w:cs="宋体"/>
                <w:color w:val="000000" w:themeColor="text1"/>
                <w:szCs w:val="21"/>
                <w:lang w:bidi="ar"/>
                <w14:textFill>
                  <w14:solidFill>
                    <w14:schemeClr w14:val="tx1"/>
                  </w14:solidFill>
                </w14:textFill>
              </w:rPr>
            </w:pPr>
          </w:p>
        </w:tc>
      </w:tr>
    </w:tbl>
    <w:p>
      <w:pPr>
        <w:ind w:firstLine="420"/>
        <w:jc w:val="left"/>
        <w:rPr>
          <w:rFonts w:hint="eastAsia" w:ascii="仿宋" w:hAnsi="仿宋" w:eastAsia="仿宋" w:cs="仿宋"/>
          <w:sz w:val="24"/>
        </w:rPr>
        <w:sectPr>
          <w:pgSz w:w="16838" w:h="11906" w:orient="landscape"/>
          <w:pgMar w:top="1134" w:right="1440" w:bottom="851" w:left="1440" w:header="851" w:footer="992" w:gutter="0"/>
          <w:cols w:space="425" w:num="1"/>
          <w:docGrid w:type="lines" w:linePitch="312" w:charSpace="0"/>
        </w:sectPr>
      </w:pPr>
    </w:p>
    <w:p>
      <w:pPr>
        <w:jc w:val="left"/>
        <w:rPr>
          <w:rFonts w:hint="eastAsia" w:ascii="仿宋" w:hAnsi="仿宋" w:eastAsia="仿宋" w:cs="仿宋"/>
          <w:sz w:val="24"/>
        </w:rPr>
      </w:pPr>
    </w:p>
    <w:p>
      <w:pPr>
        <w:jc w:val="center"/>
        <w:rPr>
          <w:rFonts w:hint="eastAsia"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环江毛南族自治县川山镇中心小学</w:t>
      </w:r>
      <w:r>
        <w:rPr>
          <w:rFonts w:hint="eastAsia" w:ascii="黑体" w:hAnsi="黑体" w:eastAsia="黑体" w:cs="黑体"/>
          <w:sz w:val="32"/>
          <w:szCs w:val="32"/>
        </w:rPr>
        <w:t>202</w:t>
      </w:r>
      <w:r>
        <w:rPr>
          <w:rFonts w:ascii="黑体" w:hAnsi="黑体" w:eastAsia="黑体" w:cs="黑体"/>
          <w:sz w:val="32"/>
          <w:szCs w:val="32"/>
        </w:rPr>
        <w:t>3</w:t>
      </w:r>
      <w:r>
        <w:rPr>
          <w:rFonts w:hint="eastAsia" w:ascii="黑体" w:hAnsi="黑体" w:eastAsia="黑体" w:cs="黑体"/>
          <w:sz w:val="32"/>
          <w:szCs w:val="32"/>
        </w:rPr>
        <w:t>年度部门决算情况说明</w:t>
      </w:r>
    </w:p>
    <w:p>
      <w:pPr>
        <w:jc w:val="left"/>
        <w:rPr>
          <w:rFonts w:hint="eastAsia" w:ascii="黑体" w:hAnsi="黑体" w:eastAsia="黑体" w:cs="黑体"/>
          <w:sz w:val="32"/>
          <w:szCs w:val="32"/>
        </w:rPr>
      </w:pPr>
      <w:r>
        <w:rPr>
          <w:rFonts w:hint="eastAsia" w:ascii="黑体" w:hAnsi="黑体" w:eastAsia="黑体" w:cs="黑体"/>
          <w:sz w:val="32"/>
          <w:szCs w:val="32"/>
        </w:rPr>
        <w:t>一、202</w:t>
      </w:r>
      <w:r>
        <w:rPr>
          <w:rFonts w:ascii="黑体" w:hAnsi="黑体" w:eastAsia="黑体" w:cs="黑体"/>
          <w:sz w:val="32"/>
          <w:szCs w:val="32"/>
        </w:rPr>
        <w:t>3</w:t>
      </w:r>
      <w:r>
        <w:rPr>
          <w:rFonts w:hint="eastAsia" w:ascii="黑体" w:hAnsi="黑体" w:eastAsia="黑体" w:cs="黑体"/>
          <w:sz w:val="32"/>
          <w:szCs w:val="32"/>
        </w:rPr>
        <w:t>年度收入支出决算总体情况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（一）本部门202</w:t>
      </w:r>
      <w:r>
        <w:rPr>
          <w:rFonts w:ascii="仿宋" w:hAnsi="仿宋" w:eastAsia="仿宋" w:cs="仿宋"/>
          <w:sz w:val="32"/>
          <w:szCs w:val="32"/>
        </w:rPr>
        <w:t>3</w:t>
      </w:r>
      <w:r>
        <w:rPr>
          <w:rFonts w:hint="eastAsia" w:ascii="仿宋" w:hAnsi="仿宋" w:eastAsia="仿宋" w:cs="仿宋"/>
          <w:sz w:val="32"/>
          <w:szCs w:val="32"/>
        </w:rPr>
        <w:t>年度总收入</w:t>
      </w:r>
      <w:bookmarkStart w:id="0" w:name="_Hlk186452837"/>
      <w:r>
        <w:rPr>
          <w:rFonts w:ascii="仿宋" w:hAnsi="仿宋" w:eastAsia="仿宋" w:cs="仿宋"/>
          <w:sz w:val="32"/>
        </w:rPr>
        <w:t>3783.</w:t>
      </w:r>
      <w:bookmarkEnd w:id="0"/>
      <w:r>
        <w:rPr>
          <w:rFonts w:ascii="仿宋" w:hAnsi="仿宋" w:eastAsia="仿宋" w:cs="仿宋"/>
          <w:sz w:val="32"/>
        </w:rPr>
        <w:t>86</w:t>
      </w:r>
      <w:r>
        <w:rPr>
          <w:rFonts w:hint="eastAsia" w:ascii="仿宋" w:hAnsi="仿宋" w:eastAsia="仿宋" w:cs="仿宋"/>
          <w:sz w:val="32"/>
          <w:szCs w:val="32"/>
        </w:rPr>
        <w:t>万元，较202</w:t>
      </w:r>
      <w:r>
        <w:rPr>
          <w:rFonts w:ascii="仿宋" w:hAnsi="仿宋" w:eastAsia="仿宋" w:cs="仿宋"/>
          <w:sz w:val="32"/>
          <w:szCs w:val="32"/>
        </w:rPr>
        <w:t>2</w:t>
      </w:r>
      <w:r>
        <w:rPr>
          <w:rFonts w:hint="eastAsia" w:ascii="仿宋" w:hAnsi="仿宋" w:eastAsia="仿宋" w:cs="仿宋"/>
          <w:sz w:val="32"/>
          <w:szCs w:val="32"/>
        </w:rPr>
        <w:t>年度决算数</w:t>
      </w:r>
      <w:r>
        <w:rPr>
          <w:rFonts w:hint="eastAsia" w:ascii="仿宋" w:hAnsi="仿宋" w:eastAsia="仿宋" w:cs="仿宋"/>
          <w:sz w:val="32"/>
        </w:rPr>
        <w:t>增加</w:t>
      </w:r>
      <w:r>
        <w:rPr>
          <w:rFonts w:ascii="仿宋" w:hAnsi="仿宋" w:eastAsia="仿宋" w:cs="仿宋"/>
          <w:sz w:val="32"/>
        </w:rPr>
        <w:t>99.1</w:t>
      </w:r>
      <w:r>
        <w:rPr>
          <w:rFonts w:hint="eastAsia" w:ascii="仿宋" w:hAnsi="仿宋" w:eastAsia="仿宋" w:cs="仿宋"/>
          <w:sz w:val="32"/>
          <w:szCs w:val="32"/>
        </w:rPr>
        <w:t>万元，</w:t>
      </w:r>
      <w:r>
        <w:rPr>
          <w:rFonts w:hint="eastAsia" w:ascii="仿宋" w:hAnsi="仿宋" w:eastAsia="仿宋" w:cs="仿宋"/>
          <w:sz w:val="32"/>
        </w:rPr>
        <w:t>增加</w:t>
      </w:r>
      <w:r>
        <w:rPr>
          <w:rFonts w:ascii="仿宋" w:hAnsi="仿宋" w:eastAsia="仿宋" w:cs="仿宋"/>
          <w:sz w:val="32"/>
        </w:rPr>
        <w:t>2.61%</w:t>
      </w:r>
      <w:r>
        <w:rPr>
          <w:rFonts w:hint="eastAsia" w:ascii="仿宋" w:hAnsi="仿宋" w:eastAsia="仿宋" w:cs="仿宋"/>
          <w:sz w:val="32"/>
          <w:szCs w:val="32"/>
        </w:rPr>
        <w:t>，其中本年收入</w:t>
      </w:r>
      <w:r>
        <w:rPr>
          <w:rFonts w:ascii="仿宋" w:hAnsi="仿宋" w:eastAsia="仿宋" w:cs="仿宋"/>
          <w:sz w:val="32"/>
        </w:rPr>
        <w:t>3783.86</w:t>
      </w:r>
      <w:r>
        <w:rPr>
          <w:rFonts w:hint="eastAsia" w:ascii="仿宋" w:hAnsi="仿宋" w:eastAsia="仿宋" w:cs="仿宋"/>
          <w:sz w:val="32"/>
          <w:szCs w:val="32"/>
        </w:rPr>
        <w:t>万元。收入具体情况如下。</w:t>
      </w:r>
    </w:p>
    <w:p>
      <w:pPr>
        <w:ind w:firstLine="640" w:firstLineChars="200"/>
        <w:jc w:val="left"/>
        <w:rPr>
          <w:rFonts w:hint="eastAsia" w:ascii="华文仿宋" w:hAnsi="华文仿宋" w:eastAsia="华文仿宋" w:cs="华文仿宋"/>
          <w:kern w:val="0"/>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3781.92</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w:t>
      </w:r>
      <w:r>
        <w:rPr>
          <w:rFonts w:ascii="仿宋" w:hAnsi="仿宋" w:eastAsia="仿宋" w:cs="仿宋"/>
          <w:sz w:val="32"/>
          <w:szCs w:val="32"/>
          <w:lang w:bidi="ar"/>
        </w:rPr>
        <w:t>2</w:t>
      </w:r>
      <w:r>
        <w:rPr>
          <w:rFonts w:hint="eastAsia" w:ascii="仿宋" w:hAnsi="仿宋" w:eastAsia="仿宋" w:cs="仿宋"/>
          <w:sz w:val="32"/>
          <w:szCs w:val="32"/>
          <w:lang w:bidi="ar"/>
        </w:rPr>
        <w:t>年度决算数</w:t>
      </w:r>
      <w:r>
        <w:rPr>
          <w:rFonts w:ascii="仿宋" w:hAnsi="仿宋" w:eastAsia="仿宋" w:cs="仿宋"/>
          <w:sz w:val="32"/>
        </w:rPr>
        <w:t>增加99.5</w:t>
      </w:r>
      <w:r>
        <w:rPr>
          <w:rFonts w:hint="eastAsia" w:ascii="仿宋" w:hAnsi="仿宋" w:eastAsia="仿宋" w:cs="仿宋"/>
          <w:sz w:val="32"/>
          <w:szCs w:val="32"/>
          <w:lang w:bidi="ar"/>
        </w:rPr>
        <w:t>万元，</w:t>
      </w:r>
      <w:r>
        <w:rPr>
          <w:rFonts w:ascii="仿宋" w:hAnsi="仿宋" w:eastAsia="仿宋" w:cs="仿宋"/>
          <w:sz w:val="32"/>
        </w:rPr>
        <w:t>增长2.63%</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华文仿宋" w:hAnsi="华文仿宋" w:eastAsia="华文仿宋" w:cs="华文仿宋"/>
          <w:kern w:val="0"/>
          <w:sz w:val="32"/>
          <w:szCs w:val="32"/>
        </w:rPr>
        <w:t>（1）人员变动；（2）上级专款收入增加。</w:t>
      </w:r>
    </w:p>
    <w:p>
      <w:pPr>
        <w:ind w:firstLine="640" w:firstLineChars="200"/>
        <w:jc w:val="left"/>
        <w:rPr>
          <w:rFonts w:hint="eastAsia"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1.95</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w:t>
      </w:r>
      <w:r>
        <w:rPr>
          <w:rFonts w:ascii="仿宋" w:hAnsi="仿宋" w:eastAsia="仿宋" w:cs="仿宋"/>
          <w:sz w:val="32"/>
          <w:szCs w:val="32"/>
          <w:lang w:bidi="ar"/>
        </w:rPr>
        <w:t>2</w:t>
      </w:r>
      <w:r>
        <w:rPr>
          <w:rFonts w:hint="eastAsia" w:ascii="仿宋" w:hAnsi="仿宋" w:eastAsia="仿宋" w:cs="仿宋"/>
          <w:sz w:val="32"/>
          <w:szCs w:val="32"/>
          <w:lang w:bidi="ar"/>
        </w:rPr>
        <w:t>年度决算数</w:t>
      </w:r>
      <w:r>
        <w:rPr>
          <w:rFonts w:hint="eastAsia" w:ascii="仿宋" w:hAnsi="仿宋" w:eastAsia="仿宋" w:cs="仿宋"/>
          <w:sz w:val="32"/>
        </w:rPr>
        <w:t>减少</w:t>
      </w:r>
      <w:r>
        <w:rPr>
          <w:rFonts w:ascii="仿宋" w:hAnsi="仿宋" w:eastAsia="仿宋" w:cs="仿宋"/>
          <w:sz w:val="32"/>
        </w:rPr>
        <w:t>0.39</w:t>
      </w:r>
      <w:r>
        <w:rPr>
          <w:rFonts w:hint="eastAsia" w:ascii="仿宋" w:hAnsi="仿宋" w:eastAsia="仿宋" w:cs="仿宋"/>
          <w:sz w:val="32"/>
          <w:szCs w:val="32"/>
          <w:lang w:bidi="ar"/>
        </w:rPr>
        <w:t>万元，</w:t>
      </w:r>
      <w:r>
        <w:rPr>
          <w:rFonts w:hint="eastAsia" w:ascii="仿宋" w:hAnsi="仿宋" w:eastAsia="仿宋" w:cs="仿宋"/>
          <w:sz w:val="32"/>
        </w:rPr>
        <w:t>减少</w:t>
      </w:r>
      <w:r>
        <w:rPr>
          <w:rFonts w:ascii="仿宋" w:hAnsi="仿宋" w:eastAsia="仿宋" w:cs="仿宋"/>
          <w:sz w:val="32"/>
        </w:rPr>
        <w:t>20%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主要原因：上级拨入少年宫经费减少。</w:t>
      </w:r>
    </w:p>
    <w:p>
      <w:pPr>
        <w:ind w:firstLine="640" w:firstLineChars="200"/>
        <w:jc w:val="left"/>
        <w:rPr>
          <w:rFonts w:hint="eastAsia" w:ascii="仿宋" w:hAnsi="仿宋" w:eastAsia="仿宋"/>
          <w:kern w:val="0"/>
          <w:sz w:val="32"/>
          <w:szCs w:val="32"/>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w:t>
      </w:r>
      <w:r>
        <w:rPr>
          <w:rFonts w:ascii="仿宋" w:hAnsi="仿宋" w:eastAsia="仿宋" w:cs="仿宋"/>
          <w:sz w:val="32"/>
          <w:szCs w:val="32"/>
          <w:lang w:bidi="ar"/>
        </w:rPr>
        <w:t>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kern w:val="0"/>
          <w:sz w:val="32"/>
          <w:szCs w:val="32"/>
        </w:rPr>
        <w:t>单位无</w:t>
      </w:r>
      <w:r>
        <w:rPr>
          <w:rFonts w:ascii="仿宋" w:hAnsi="仿宋" w:eastAsia="仿宋"/>
          <w:kern w:val="0"/>
          <w:sz w:val="32"/>
          <w:szCs w:val="32"/>
        </w:rPr>
        <w:t>国有资本经营预算财政拨款收入。</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w:t>
      </w:r>
      <w:r>
        <w:rPr>
          <w:rFonts w:ascii="仿宋" w:hAnsi="仿宋" w:eastAsia="仿宋" w:cs="仿宋"/>
          <w:sz w:val="32"/>
          <w:szCs w:val="32"/>
          <w:lang w:bidi="ar"/>
        </w:rPr>
        <w:t>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主要原因是：本单位没有上级补助收入。</w:t>
      </w:r>
    </w:p>
    <w:p>
      <w:pPr>
        <w:ind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的收入。较202</w:t>
      </w:r>
      <w:r>
        <w:rPr>
          <w:rFonts w:ascii="仿宋" w:hAnsi="仿宋" w:eastAsia="仿宋" w:cs="仿宋"/>
          <w:sz w:val="32"/>
          <w:szCs w:val="32"/>
          <w:lang w:bidi="ar"/>
        </w:rPr>
        <w:t>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主要原因是：本单位没有事业收入。</w:t>
      </w:r>
    </w:p>
    <w:p>
      <w:pPr>
        <w:ind w:firstLine="640" w:firstLineChars="200"/>
        <w:jc w:val="left"/>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sz w:val="32"/>
          <w:szCs w:val="32"/>
          <w:lang w:bidi="ar"/>
        </w:rPr>
        <w:t>6.</w:t>
      </w:r>
      <w:r>
        <w:rPr>
          <w:rFonts w:hint="eastAsia" w:ascii="仿宋" w:hAnsi="仿宋" w:eastAsia="仿宋" w:cs="仿宋"/>
          <w:spacing w:val="-4"/>
          <w:sz w:val="36"/>
          <w:szCs w:val="36"/>
          <w:lang w:bidi="ar"/>
        </w:rPr>
        <w:t>经营收入</w:t>
      </w:r>
      <w:r>
        <w:rPr>
          <w:rFonts w:hint="eastAsia" w:ascii="仿宋" w:hAnsi="仿宋" w:eastAsia="仿宋" w:cs="仿宋"/>
          <w:spacing w:val="-4"/>
          <w:sz w:val="32"/>
          <w:szCs w:val="32"/>
          <w:lang w:bidi="ar"/>
        </w:rPr>
        <w:t>0.00万,为事业单位在业务活动之外开展非独立核算经营活动取得的收入。较202</w:t>
      </w:r>
      <w:r>
        <w:rPr>
          <w:rFonts w:ascii="仿宋" w:hAnsi="仿宋" w:eastAsia="仿宋" w:cs="仿宋"/>
          <w:spacing w:val="-4"/>
          <w:sz w:val="32"/>
          <w:szCs w:val="32"/>
          <w:lang w:bidi="ar"/>
        </w:rPr>
        <w:t>2</w:t>
      </w:r>
      <w:r>
        <w:rPr>
          <w:rFonts w:hint="eastAsia" w:ascii="仿宋" w:hAnsi="仿宋" w:eastAsia="仿宋" w:cs="仿宋"/>
          <w:spacing w:val="-4"/>
          <w:sz w:val="32"/>
          <w:szCs w:val="32"/>
          <w:lang w:bidi="ar"/>
        </w:rPr>
        <w:t>年度决算数</w:t>
      </w:r>
      <w:r>
        <w:rPr>
          <w:rFonts w:ascii="仿宋" w:hAnsi="仿宋" w:eastAsia="仿宋" w:cs="仿宋"/>
          <w:spacing w:val="-4"/>
          <w:sz w:val="32"/>
        </w:rPr>
        <w:t>增加0.00</w:t>
      </w:r>
      <w:r>
        <w:rPr>
          <w:rFonts w:hint="eastAsia" w:ascii="仿宋" w:hAnsi="仿宋" w:eastAsia="仿宋" w:cs="仿宋"/>
          <w:spacing w:val="-4"/>
          <w:sz w:val="32"/>
          <w:szCs w:val="32"/>
          <w:lang w:bidi="ar"/>
        </w:rPr>
        <w:t>万元，</w:t>
      </w:r>
      <w:r>
        <w:rPr>
          <w:rFonts w:ascii="仿宋" w:hAnsi="仿宋" w:eastAsia="仿宋" w:cs="仿宋"/>
          <w:spacing w:val="-4"/>
          <w:sz w:val="32"/>
        </w:rPr>
        <w:t>增长0%</w:t>
      </w:r>
      <w:r>
        <w:rPr>
          <w:rFonts w:hint="eastAsia" w:ascii="仿宋" w:hAnsi="仿宋" w:eastAsia="仿宋" w:cs="仿宋"/>
          <w:spacing w:val="-4"/>
          <w:sz w:val="32"/>
          <w:szCs w:val="32"/>
          <w:lang w:bidi="ar"/>
        </w:rPr>
        <w:t>，</w:t>
      </w:r>
      <w:r>
        <w:rPr>
          <w:rFonts w:hint="eastAsia" w:ascii="仿宋" w:hAnsi="仿宋" w:eastAsia="仿宋" w:cs="仿宋"/>
          <w:color w:val="000000" w:themeColor="text1"/>
          <w:spacing w:val="-4"/>
          <w:sz w:val="32"/>
          <w:szCs w:val="32"/>
          <w:lang w:bidi="ar"/>
          <w14:textFill>
            <w14:solidFill>
              <w14:schemeClr w14:val="tx1"/>
            </w14:solidFill>
          </w14:textFill>
        </w:rPr>
        <w:t>主要原因是：本单位没有经营性收入。</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lang w:bidi="ar"/>
        </w:rPr>
        <w:t>7.</w:t>
      </w:r>
      <w:r>
        <w:rPr>
          <w:rFonts w:hint="eastAsia" w:ascii="仿宋" w:hAnsi="仿宋" w:eastAsia="仿宋" w:cs="仿宋"/>
          <w:spacing w:val="-4"/>
          <w:sz w:val="32"/>
          <w:szCs w:val="32"/>
          <w:lang w:bidi="ar"/>
        </w:rPr>
        <w:t>附属单位上缴收入</w:t>
      </w:r>
      <w:r>
        <w:rPr>
          <w:rFonts w:ascii="仿宋" w:hAnsi="仿宋" w:eastAsia="仿宋" w:cs="仿宋"/>
          <w:spacing w:val="-4"/>
          <w:sz w:val="32"/>
        </w:rPr>
        <w:t>0.00</w:t>
      </w:r>
      <w:r>
        <w:rPr>
          <w:rFonts w:hint="eastAsia" w:ascii="仿宋" w:hAnsi="仿宋" w:eastAsia="仿宋" w:cs="仿宋"/>
          <w:spacing w:val="-4"/>
          <w:sz w:val="32"/>
          <w:szCs w:val="32"/>
          <w:lang w:bidi="ar"/>
        </w:rPr>
        <w:t>万元。较202</w:t>
      </w:r>
      <w:r>
        <w:rPr>
          <w:rFonts w:ascii="仿宋" w:hAnsi="仿宋" w:eastAsia="仿宋" w:cs="仿宋"/>
          <w:spacing w:val="-4"/>
          <w:sz w:val="32"/>
          <w:szCs w:val="32"/>
          <w:lang w:bidi="ar"/>
        </w:rPr>
        <w:t>2</w:t>
      </w:r>
      <w:r>
        <w:rPr>
          <w:rFonts w:hint="eastAsia" w:ascii="仿宋" w:hAnsi="仿宋" w:eastAsia="仿宋" w:cs="仿宋"/>
          <w:spacing w:val="-4"/>
          <w:sz w:val="32"/>
          <w:szCs w:val="32"/>
          <w:lang w:bidi="ar"/>
        </w:rPr>
        <w:t>年度决算数</w:t>
      </w:r>
      <w:r>
        <w:rPr>
          <w:rFonts w:ascii="仿宋" w:hAnsi="仿宋" w:eastAsia="仿宋" w:cs="仿宋"/>
          <w:spacing w:val="-4"/>
          <w:sz w:val="32"/>
        </w:rPr>
        <w:t>增加0.00</w:t>
      </w:r>
      <w:r>
        <w:rPr>
          <w:rFonts w:hint="eastAsia" w:ascii="仿宋" w:hAnsi="仿宋" w:eastAsia="仿宋" w:cs="仿宋"/>
          <w:spacing w:val="-4"/>
          <w:sz w:val="32"/>
          <w:szCs w:val="32"/>
          <w:lang w:bidi="ar"/>
        </w:rPr>
        <w:t>万元，</w:t>
      </w:r>
      <w:r>
        <w:rPr>
          <w:rFonts w:ascii="仿宋" w:hAnsi="仿宋" w:eastAsia="仿宋" w:cs="仿宋"/>
          <w:spacing w:val="-4"/>
          <w:sz w:val="32"/>
        </w:rPr>
        <w:t>增长0%</w:t>
      </w:r>
      <w:r>
        <w:rPr>
          <w:rFonts w:hint="eastAsia" w:ascii="仿宋" w:hAnsi="仿宋" w:eastAsia="仿宋" w:cs="仿宋"/>
          <w:spacing w:val="-4"/>
          <w:sz w:val="32"/>
          <w:szCs w:val="32"/>
          <w:lang w:bidi="ar"/>
        </w:rPr>
        <w:t>，</w:t>
      </w:r>
      <w:r>
        <w:rPr>
          <w:rFonts w:hint="eastAsia" w:ascii="仿宋" w:hAnsi="仿宋" w:eastAsia="仿宋" w:cs="仿宋"/>
          <w:color w:val="000000" w:themeColor="text1"/>
          <w:spacing w:val="-4"/>
          <w:sz w:val="32"/>
          <w:szCs w:val="32"/>
          <w:lang w:bidi="ar"/>
          <w14:textFill>
            <w14:solidFill>
              <w14:schemeClr w14:val="tx1"/>
            </w14:solidFill>
          </w14:textFill>
        </w:rPr>
        <w:t>主要原因是：本单位无附属单位上缴收入。</w:t>
      </w:r>
    </w:p>
    <w:p>
      <w:pPr>
        <w:ind w:firstLine="640" w:firstLineChars="200"/>
        <w:jc w:val="left"/>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sz w:val="32"/>
          <w:szCs w:val="32"/>
          <w:lang w:bidi="ar"/>
        </w:rPr>
        <w:t>8.</w:t>
      </w:r>
      <w:r>
        <w:rPr>
          <w:rFonts w:hint="eastAsia" w:ascii="仿宋" w:hAnsi="仿宋" w:eastAsia="仿宋" w:cs="仿宋"/>
          <w:spacing w:val="-2"/>
          <w:sz w:val="32"/>
          <w:szCs w:val="32"/>
          <w:lang w:bidi="ar"/>
        </w:rPr>
        <w:t>其他收入</w:t>
      </w:r>
      <w:r>
        <w:rPr>
          <w:rFonts w:ascii="仿宋" w:hAnsi="仿宋" w:eastAsia="仿宋" w:cs="仿宋"/>
          <w:spacing w:val="-2"/>
          <w:sz w:val="32"/>
        </w:rPr>
        <w:t>0.00</w:t>
      </w:r>
      <w:r>
        <w:rPr>
          <w:rFonts w:hint="eastAsia" w:ascii="仿宋" w:hAnsi="仿宋" w:eastAsia="仿宋" w:cs="仿宋"/>
          <w:spacing w:val="-2"/>
          <w:sz w:val="32"/>
          <w:szCs w:val="32"/>
          <w:lang w:bidi="ar"/>
        </w:rPr>
        <w:t>万元,为预算单位在“财政拨款收入”“事业收入”“经营收入”之外取得的收入。较202</w:t>
      </w:r>
      <w:r>
        <w:rPr>
          <w:rFonts w:ascii="仿宋" w:hAnsi="仿宋" w:eastAsia="仿宋" w:cs="仿宋"/>
          <w:spacing w:val="-2"/>
          <w:sz w:val="32"/>
          <w:szCs w:val="32"/>
          <w:lang w:bidi="ar"/>
        </w:rPr>
        <w:t>2</w:t>
      </w:r>
      <w:r>
        <w:rPr>
          <w:rFonts w:hint="eastAsia" w:ascii="仿宋" w:hAnsi="仿宋" w:eastAsia="仿宋" w:cs="仿宋"/>
          <w:spacing w:val="-2"/>
          <w:sz w:val="32"/>
          <w:szCs w:val="32"/>
          <w:lang w:bidi="ar"/>
        </w:rPr>
        <w:t>年度决算数</w:t>
      </w:r>
      <w:r>
        <w:rPr>
          <w:rFonts w:ascii="仿宋" w:hAnsi="仿宋" w:eastAsia="仿宋" w:cs="仿宋"/>
          <w:spacing w:val="-2"/>
          <w:sz w:val="32"/>
        </w:rPr>
        <w:t>增加0.00</w:t>
      </w:r>
      <w:r>
        <w:rPr>
          <w:rFonts w:hint="eastAsia" w:ascii="仿宋" w:hAnsi="仿宋" w:eastAsia="仿宋" w:cs="仿宋"/>
          <w:spacing w:val="-2"/>
          <w:sz w:val="32"/>
          <w:szCs w:val="32"/>
          <w:lang w:bidi="ar"/>
        </w:rPr>
        <w:t>万元，</w:t>
      </w:r>
      <w:r>
        <w:rPr>
          <w:rFonts w:ascii="仿宋" w:hAnsi="仿宋" w:eastAsia="仿宋" w:cs="仿宋"/>
          <w:spacing w:val="-2"/>
          <w:sz w:val="32"/>
        </w:rPr>
        <w:t>增长0%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主要原因是：本单位没有其他收入。</w:t>
      </w:r>
    </w:p>
    <w:p>
      <w:pPr>
        <w:ind w:firstLine="632" w:firstLineChars="200"/>
        <w:jc w:val="left"/>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spacing w:val="-2"/>
          <w:sz w:val="32"/>
          <w:szCs w:val="32"/>
          <w:lang w:bidi="ar"/>
        </w:rPr>
        <w:t>9.使用非财政拨款结余</w:t>
      </w:r>
      <w:r>
        <w:rPr>
          <w:rFonts w:ascii="仿宋" w:hAnsi="仿宋" w:eastAsia="仿宋" w:cs="仿宋"/>
          <w:spacing w:val="-2"/>
          <w:sz w:val="32"/>
        </w:rPr>
        <w:t>0.00</w:t>
      </w:r>
      <w:r>
        <w:rPr>
          <w:rFonts w:hint="eastAsia" w:ascii="仿宋" w:hAnsi="仿宋" w:eastAsia="仿宋" w:cs="仿宋"/>
          <w:spacing w:val="-2"/>
          <w:sz w:val="32"/>
          <w:szCs w:val="32"/>
          <w:lang w:bidi="ar"/>
        </w:rPr>
        <w:t>万元,主要是所属事业单位</w:t>
      </w:r>
      <w:r>
        <w:rPr>
          <w:rFonts w:hint="eastAsia" w:ascii="仿宋" w:hAnsi="仿宋" w:eastAsia="仿宋" w:cs="仿宋"/>
          <w:spacing w:val="-8"/>
          <w:sz w:val="32"/>
          <w:szCs w:val="32"/>
          <w:lang w:bidi="ar"/>
        </w:rPr>
        <w:t>在当年的“财政拨款收入”“事业收入”“经营收入”及“其</w:t>
      </w:r>
      <w:r>
        <w:rPr>
          <w:rFonts w:hint="eastAsia" w:ascii="仿宋" w:hAnsi="仿宋" w:eastAsia="仿宋" w:cs="仿宋"/>
          <w:spacing w:val="-2"/>
          <w:sz w:val="32"/>
          <w:szCs w:val="32"/>
          <w:lang w:bidi="ar"/>
        </w:rPr>
        <w:t>他收入”不能保证其支出的情况下，使用以前年度积累的非财政拨款结余弥补本年度收支缺口的资金。较202</w:t>
      </w:r>
      <w:r>
        <w:rPr>
          <w:rFonts w:ascii="仿宋" w:hAnsi="仿宋" w:eastAsia="仿宋" w:cs="仿宋"/>
          <w:spacing w:val="-2"/>
          <w:sz w:val="32"/>
          <w:szCs w:val="32"/>
          <w:lang w:bidi="ar"/>
        </w:rPr>
        <w:t>2</w:t>
      </w:r>
      <w:r>
        <w:rPr>
          <w:rFonts w:hint="eastAsia" w:ascii="仿宋" w:hAnsi="仿宋" w:eastAsia="仿宋" w:cs="仿宋"/>
          <w:spacing w:val="-2"/>
          <w:sz w:val="32"/>
          <w:szCs w:val="32"/>
          <w:lang w:bidi="ar"/>
        </w:rPr>
        <w:t>年度决算数</w:t>
      </w:r>
      <w:r>
        <w:rPr>
          <w:rFonts w:ascii="仿宋" w:hAnsi="仿宋" w:eastAsia="仿宋" w:cs="仿宋"/>
          <w:spacing w:val="-2"/>
          <w:sz w:val="32"/>
        </w:rPr>
        <w:t>增加0.00</w:t>
      </w:r>
      <w:r>
        <w:rPr>
          <w:rFonts w:hint="eastAsia" w:ascii="仿宋" w:hAnsi="仿宋" w:eastAsia="仿宋" w:cs="仿宋"/>
          <w:spacing w:val="-2"/>
          <w:sz w:val="32"/>
          <w:szCs w:val="32"/>
          <w:lang w:bidi="ar"/>
        </w:rPr>
        <w:t>万元，</w:t>
      </w:r>
      <w:r>
        <w:rPr>
          <w:rFonts w:ascii="仿宋" w:hAnsi="仿宋" w:eastAsia="仿宋" w:cs="仿宋"/>
          <w:spacing w:val="-2"/>
          <w:sz w:val="32"/>
        </w:rPr>
        <w:t>增长0%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主要原因是：本单位没有非财政拨款结余</w:t>
      </w:r>
      <w:r>
        <w:rPr>
          <w:rFonts w:hint="eastAsia" w:ascii="仿宋" w:hAnsi="仿宋" w:eastAsia="仿宋" w:cs="仿宋"/>
          <w:color w:val="000000" w:themeColor="text1"/>
          <w:spacing w:val="-6"/>
          <w:sz w:val="32"/>
          <w:szCs w:val="32"/>
          <w:lang w:bidi="ar"/>
          <w14:textFill>
            <w14:solidFill>
              <w14:schemeClr w14:val="tx1"/>
            </w14:solidFill>
          </w14:textFill>
        </w:rPr>
        <w:t>。</w:t>
      </w:r>
    </w:p>
    <w:p>
      <w:pPr>
        <w:ind w:firstLine="632" w:firstLineChars="200"/>
        <w:jc w:val="left"/>
        <w:rPr>
          <w:rFonts w:hint="eastAsia" w:ascii="仿宋" w:hAnsi="仿宋" w:eastAsia="仿宋" w:cs="仿宋"/>
          <w:color w:val="FF0000"/>
          <w:sz w:val="32"/>
          <w:szCs w:val="32"/>
        </w:rPr>
      </w:pPr>
      <w:r>
        <w:rPr>
          <w:rFonts w:hint="eastAsia" w:ascii="仿宋" w:hAnsi="仿宋" w:eastAsia="仿宋" w:cs="仿宋"/>
          <w:spacing w:val="-2"/>
          <w:sz w:val="32"/>
          <w:szCs w:val="32"/>
          <w:lang w:bidi="ar"/>
        </w:rPr>
        <w:t>10.上年结转和结余</w:t>
      </w:r>
      <w:r>
        <w:rPr>
          <w:rFonts w:ascii="仿宋" w:hAnsi="仿宋" w:eastAsia="仿宋" w:cs="仿宋"/>
          <w:spacing w:val="-2"/>
          <w:sz w:val="32"/>
        </w:rPr>
        <w:t>0.00</w:t>
      </w:r>
      <w:r>
        <w:rPr>
          <w:rFonts w:hint="eastAsia" w:ascii="仿宋" w:hAnsi="仿宋" w:eastAsia="仿宋" w:cs="仿宋"/>
          <w:spacing w:val="-2"/>
          <w:sz w:val="32"/>
          <w:szCs w:val="32"/>
          <w:lang w:bidi="ar"/>
        </w:rPr>
        <w:t>万元，为以前年度支出预算因客观条件变化未执行完毕、结转到本年度按有关规定继续使用的资金。较202</w:t>
      </w:r>
      <w:r>
        <w:rPr>
          <w:rFonts w:ascii="仿宋" w:hAnsi="仿宋" w:eastAsia="仿宋" w:cs="仿宋"/>
          <w:spacing w:val="-2"/>
          <w:sz w:val="32"/>
          <w:szCs w:val="32"/>
          <w:lang w:bidi="ar"/>
        </w:rPr>
        <w:t>2</w:t>
      </w:r>
      <w:r>
        <w:rPr>
          <w:rFonts w:hint="eastAsia" w:ascii="仿宋" w:hAnsi="仿宋" w:eastAsia="仿宋" w:cs="仿宋"/>
          <w:spacing w:val="-2"/>
          <w:sz w:val="32"/>
          <w:szCs w:val="32"/>
          <w:lang w:bidi="ar"/>
        </w:rPr>
        <w:t>年度决算数</w:t>
      </w:r>
      <w:r>
        <w:rPr>
          <w:rFonts w:ascii="仿宋" w:hAnsi="仿宋" w:eastAsia="仿宋" w:cs="仿宋"/>
          <w:spacing w:val="-2"/>
          <w:sz w:val="32"/>
        </w:rPr>
        <w:t>减少0</w:t>
      </w:r>
      <w:r>
        <w:rPr>
          <w:rFonts w:hint="eastAsia" w:ascii="仿宋" w:hAnsi="仿宋" w:eastAsia="仿宋" w:cs="仿宋"/>
          <w:spacing w:val="-2"/>
          <w:sz w:val="32"/>
          <w:szCs w:val="32"/>
          <w:lang w:bidi="ar"/>
        </w:rPr>
        <w:t>万元，</w:t>
      </w:r>
      <w:r>
        <w:rPr>
          <w:rFonts w:ascii="仿宋" w:hAnsi="仿宋" w:eastAsia="仿宋" w:cs="仿宋"/>
          <w:spacing w:val="-2"/>
          <w:sz w:val="32"/>
        </w:rPr>
        <w:t>下降0%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主要原因：部分项目已在本年执行完毕，不需</w:t>
      </w:r>
      <w:r>
        <w:rPr>
          <w:rFonts w:hint="eastAsia" w:ascii="仿宋" w:hAnsi="仿宋" w:eastAsia="仿宋" w:cs="仿宋"/>
          <w:color w:val="000000" w:themeColor="text1"/>
          <w:sz w:val="32"/>
          <w:szCs w:val="32"/>
          <w:lang w:bidi="ar"/>
          <w14:textFill>
            <w14:solidFill>
              <w14:schemeClr w14:val="tx1"/>
            </w14:solidFill>
          </w14:textFill>
        </w:rPr>
        <w:t>要结转至下年继续执行。</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（二）本部门202</w:t>
      </w:r>
      <w:r>
        <w:rPr>
          <w:rFonts w:ascii="仿宋" w:hAnsi="仿宋" w:eastAsia="仿宋" w:cs="仿宋"/>
          <w:sz w:val="32"/>
          <w:szCs w:val="32"/>
        </w:rPr>
        <w:t>3</w:t>
      </w:r>
      <w:r>
        <w:rPr>
          <w:rFonts w:hint="eastAsia" w:ascii="仿宋" w:hAnsi="仿宋" w:eastAsia="仿宋" w:cs="仿宋"/>
          <w:sz w:val="32"/>
          <w:szCs w:val="32"/>
        </w:rPr>
        <w:t>年度总支出</w:t>
      </w:r>
      <w:r>
        <w:rPr>
          <w:rFonts w:ascii="仿宋" w:hAnsi="仿宋" w:eastAsia="仿宋" w:cs="仿宋"/>
          <w:sz w:val="32"/>
        </w:rPr>
        <w:t>3783.86</w:t>
      </w:r>
      <w:r>
        <w:rPr>
          <w:rFonts w:hint="eastAsia" w:ascii="仿宋" w:hAnsi="仿宋" w:eastAsia="仿宋" w:cs="仿宋"/>
          <w:sz w:val="32"/>
          <w:szCs w:val="32"/>
        </w:rPr>
        <w:t>万元，其中本年支出</w:t>
      </w:r>
      <w:r>
        <w:rPr>
          <w:rFonts w:hint="eastAsia" w:ascii="仿宋" w:hAnsi="仿宋" w:eastAsia="仿宋" w:cs="仿宋"/>
          <w:sz w:val="32"/>
        </w:rPr>
        <w:t>3783.86</w:t>
      </w:r>
      <w:r>
        <w:rPr>
          <w:rFonts w:hint="eastAsia" w:ascii="仿宋" w:hAnsi="仿宋" w:eastAsia="仿宋" w:cs="仿宋"/>
          <w:sz w:val="32"/>
          <w:szCs w:val="32"/>
        </w:rPr>
        <w:t>万元，较2022年度决算数增加</w:t>
      </w:r>
      <w:r>
        <w:rPr>
          <w:rFonts w:hint="eastAsia" w:ascii="仿宋" w:hAnsi="仿宋" w:eastAsia="仿宋" w:cs="仿宋"/>
          <w:sz w:val="32"/>
        </w:rPr>
        <w:t>99.1</w:t>
      </w:r>
      <w:r>
        <w:rPr>
          <w:rFonts w:hint="eastAsia" w:ascii="仿宋" w:hAnsi="仿宋" w:eastAsia="仿宋" w:cs="仿宋"/>
          <w:sz w:val="32"/>
          <w:szCs w:val="32"/>
        </w:rPr>
        <w:t>万元，</w:t>
      </w:r>
      <w:r>
        <w:rPr>
          <w:rFonts w:hint="eastAsia" w:ascii="仿宋" w:hAnsi="仿宋" w:eastAsia="仿宋" w:cs="仿宋"/>
          <w:sz w:val="32"/>
        </w:rPr>
        <w:t>增加2.61</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pacing w:val="-8"/>
          <w:sz w:val="32"/>
          <w:szCs w:val="32"/>
          <w:lang w:bidi="ar"/>
        </w:rPr>
        <w:t>一般公共服务支出</w:t>
      </w:r>
      <w:r>
        <w:rPr>
          <w:rFonts w:hint="eastAsia" w:ascii="仿宋" w:hAnsi="仿宋" w:eastAsia="仿宋" w:cs="仿宋"/>
          <w:spacing w:val="-8"/>
          <w:sz w:val="32"/>
          <w:szCs w:val="32"/>
        </w:rPr>
        <w:t>（</w:t>
      </w:r>
      <w:r>
        <w:rPr>
          <w:rFonts w:hint="eastAsia" w:ascii="仿宋" w:hAnsi="仿宋" w:eastAsia="仿宋" w:cs="仿宋"/>
          <w:spacing w:val="-8"/>
          <w:sz w:val="32"/>
          <w:szCs w:val="32"/>
          <w:lang w:bidi="ar"/>
        </w:rPr>
        <w:t>201</w:t>
      </w:r>
      <w:r>
        <w:rPr>
          <w:rFonts w:ascii="Calibri" w:hAnsi="Calibri" w:eastAsia="宋体" w:cs="Times New Roman"/>
          <w:spacing w:val="-8"/>
          <w:lang w:bidi="ar"/>
        </w:rPr>
        <w:t xml:space="preserve"> </w:t>
      </w:r>
      <w:r>
        <w:rPr>
          <w:rFonts w:hint="eastAsia" w:ascii="仿宋" w:hAnsi="仿宋" w:eastAsia="仿宋" w:cs="仿宋"/>
          <w:spacing w:val="-8"/>
          <w:sz w:val="32"/>
          <w:szCs w:val="32"/>
        </w:rPr>
        <w:t>类）</w:t>
      </w:r>
      <w:r>
        <w:rPr>
          <w:rFonts w:hint="eastAsia" w:ascii="仿宋" w:hAnsi="仿宋" w:eastAsia="仿宋" w:cs="仿宋"/>
          <w:spacing w:val="-8"/>
          <w:sz w:val="32"/>
          <w:szCs w:val="32"/>
          <w:lang w:bidi="ar"/>
        </w:rPr>
        <w:t>40.65</w:t>
      </w:r>
      <w:r>
        <w:rPr>
          <w:rFonts w:hint="eastAsia" w:ascii="仿宋" w:hAnsi="仿宋" w:eastAsia="仿宋" w:cs="仿宋"/>
          <w:spacing w:val="-8"/>
          <w:sz w:val="32"/>
          <w:szCs w:val="32"/>
        </w:rPr>
        <w:t>万元：</w:t>
      </w:r>
      <w:r>
        <w:rPr>
          <w:rFonts w:hint="eastAsia" w:ascii="仿宋" w:hAnsi="仿宋" w:eastAsia="仿宋" w:cs="仿宋"/>
          <w:color w:val="000000" w:themeColor="text1"/>
          <w:spacing w:val="-8"/>
          <w:sz w:val="32"/>
          <w:szCs w:val="32"/>
          <w14:textFill>
            <w14:solidFill>
              <w14:schemeClr w14:val="tx1"/>
            </w14:solidFill>
          </w14:textFill>
        </w:rPr>
        <w:t>主要用于：</w:t>
      </w:r>
      <w:r>
        <w:rPr>
          <w:rFonts w:hint="eastAsia" w:ascii="仿宋" w:hAnsi="仿宋" w:eastAsia="仿宋" w:cs="仿宋"/>
          <w:color w:val="000000" w:themeColor="text1"/>
          <w:spacing w:val="-6"/>
          <w:sz w:val="32"/>
          <w:szCs w:val="32"/>
          <w14:textFill>
            <w14:solidFill>
              <w14:schemeClr w14:val="tx1"/>
            </w14:solidFill>
          </w14:textFill>
        </w:rPr>
        <w:t>主要用于</w:t>
      </w:r>
      <w:r>
        <w:rPr>
          <w:rFonts w:hint="eastAsia" w:ascii="仿宋" w:hAnsi="仿宋" w:eastAsia="仿宋" w:cs="仿宋"/>
          <w:spacing w:val="-6"/>
          <w:sz w:val="32"/>
          <w:szCs w:val="32"/>
        </w:rPr>
        <w:t>工会活动及慰问支出。较2022年度决算数</w:t>
      </w:r>
      <w:r>
        <w:rPr>
          <w:rFonts w:hint="eastAsia" w:ascii="仿宋" w:hAnsi="仿宋" w:eastAsia="仿宋" w:cs="仿宋"/>
          <w:spacing w:val="-6"/>
          <w:sz w:val="32"/>
          <w:szCs w:val="32"/>
          <w:lang w:bidi="ar"/>
        </w:rPr>
        <w:t>增加</w:t>
      </w:r>
      <w:r>
        <w:rPr>
          <w:rFonts w:hint="eastAsia" w:ascii="仿宋" w:hAnsi="仿宋" w:eastAsia="仿宋" w:cs="仿宋"/>
          <w:spacing w:val="-4"/>
          <w:sz w:val="32"/>
          <w:szCs w:val="32"/>
          <w:lang w:bidi="ar"/>
        </w:rPr>
        <w:t>3.53</w:t>
      </w:r>
      <w:r>
        <w:rPr>
          <w:rFonts w:hint="eastAsia" w:ascii="仿宋" w:hAnsi="仿宋" w:eastAsia="仿宋" w:cs="仿宋"/>
          <w:spacing w:val="-4"/>
          <w:sz w:val="32"/>
          <w:szCs w:val="32"/>
        </w:rPr>
        <w:t>万元，</w:t>
      </w:r>
      <w:r>
        <w:rPr>
          <w:rFonts w:hint="eastAsia" w:ascii="仿宋" w:hAnsi="仿宋" w:eastAsia="仿宋" w:cs="仿宋"/>
          <w:spacing w:val="-4"/>
          <w:sz w:val="32"/>
          <w:szCs w:val="32"/>
          <w:lang w:bidi="ar"/>
        </w:rPr>
        <w:t>增长8.68%</w:t>
      </w:r>
      <w:r>
        <w:rPr>
          <w:rFonts w:hint="eastAsia" w:ascii="仿宋" w:hAnsi="仿宋" w:eastAsia="仿宋" w:cs="仿宋"/>
          <w:spacing w:val="-4"/>
          <w:sz w:val="32"/>
          <w:szCs w:val="32"/>
        </w:rPr>
        <w:t>，</w:t>
      </w:r>
      <w:r>
        <w:rPr>
          <w:rFonts w:hint="eastAsia" w:ascii="仿宋" w:hAnsi="仿宋" w:eastAsia="仿宋" w:cs="仿宋"/>
          <w:color w:val="000000" w:themeColor="text1"/>
          <w:spacing w:val="-4"/>
          <w:sz w:val="32"/>
          <w:szCs w:val="32"/>
          <w:lang w:bidi="ar"/>
          <w14:textFill>
            <w14:solidFill>
              <w14:schemeClr w14:val="tx1"/>
            </w14:solidFill>
          </w14:textFill>
        </w:rPr>
        <w:t>主要原因是：</w:t>
      </w:r>
      <w:r>
        <w:rPr>
          <w:rFonts w:hint="eastAsia" w:ascii="仿宋" w:hAnsi="仿宋" w:eastAsia="仿宋" w:cs="仿宋"/>
          <w:color w:val="000000" w:themeColor="text1"/>
          <w:spacing w:val="-4"/>
          <w:sz w:val="32"/>
          <w:szCs w:val="32"/>
          <w:lang w:val="en-US" w:eastAsia="zh-CN" w:bidi="ar"/>
          <w14:textFill>
            <w14:solidFill>
              <w14:schemeClr w14:val="tx1"/>
            </w14:solidFill>
          </w14:textFill>
        </w:rPr>
        <w:t>人员工资福利提高，工会经费相应的提高</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pacing w:val="-2"/>
          <w:sz w:val="32"/>
          <w:szCs w:val="32"/>
          <w:lang w:bidi="ar"/>
        </w:rPr>
        <w:t>教育支出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205</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2939.35</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主要用于支付基</w:t>
      </w:r>
      <w:r>
        <w:rPr>
          <w:rFonts w:hint="eastAsia" w:ascii="仿宋" w:hAnsi="仿宋" w:eastAsia="仿宋" w:cs="仿宋"/>
          <w:color w:val="000000" w:themeColor="text1"/>
          <w:spacing w:val="-6"/>
          <w:sz w:val="32"/>
          <w:szCs w:val="32"/>
          <w14:textFill>
            <w14:solidFill>
              <w14:schemeClr w14:val="tx1"/>
            </w14:solidFill>
          </w14:textFill>
        </w:rPr>
        <w:t>本工资、津贴补贴、奖金、绩效工资、医疗保险、其他社会保障、办公费、水电费、邮电费、物业管理费、差旅费、劳务费、退休费、生活补助费、助学金、其他对个人和家庭的补助、劳务费等</w:t>
      </w:r>
      <w:r>
        <w:rPr>
          <w:rFonts w:hint="eastAsia" w:ascii="仿宋" w:hAnsi="仿宋" w:eastAsia="仿宋" w:cs="仿宋"/>
          <w:spacing w:val="-6"/>
          <w:sz w:val="32"/>
          <w:szCs w:val="32"/>
        </w:rPr>
        <w:t>。较2022年度决算数</w:t>
      </w:r>
      <w:r>
        <w:rPr>
          <w:rFonts w:hint="eastAsia" w:ascii="仿宋" w:hAnsi="仿宋" w:eastAsia="仿宋" w:cs="仿宋"/>
          <w:spacing w:val="-6"/>
          <w:sz w:val="32"/>
          <w:szCs w:val="32"/>
          <w:lang w:bidi="ar"/>
        </w:rPr>
        <w:t>增加</w:t>
      </w:r>
      <w:r>
        <w:rPr>
          <w:rFonts w:hint="eastAsia" w:ascii="仿宋" w:hAnsi="仿宋" w:eastAsia="仿宋" w:cs="仿宋"/>
          <w:sz w:val="32"/>
          <w:szCs w:val="32"/>
          <w:lang w:bidi="ar"/>
        </w:rPr>
        <w:t>146.32</w:t>
      </w:r>
      <w:r>
        <w:rPr>
          <w:rFonts w:hint="eastAsia" w:ascii="仿宋" w:hAnsi="仿宋" w:eastAsia="仿宋" w:cs="仿宋"/>
          <w:sz w:val="32"/>
          <w:szCs w:val="32"/>
        </w:rPr>
        <w:t>万元，</w:t>
      </w:r>
      <w:r>
        <w:rPr>
          <w:rFonts w:hint="eastAsia" w:ascii="仿宋" w:hAnsi="仿宋" w:eastAsia="仿宋" w:cs="仿宋"/>
          <w:sz w:val="32"/>
          <w:szCs w:val="32"/>
          <w:lang w:bidi="ar"/>
        </w:rPr>
        <w:t>增加4.98%</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各项费用增加，相应的各项拨款也增加</w:t>
      </w:r>
      <w:r>
        <w:rPr>
          <w:rFonts w:ascii="Times New Roman" w:hAnsi="Times New Roman" w:eastAsia="仿宋_GB2312" w:cs="Times New Roman"/>
          <w:kern w:val="0"/>
          <w:sz w:val="32"/>
          <w:szCs w:val="32"/>
        </w:rPr>
        <w:t>。</w:t>
      </w:r>
    </w:p>
    <w:p>
      <w:pPr>
        <w:ind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pacing w:val="-2"/>
          <w:sz w:val="32"/>
          <w:szCs w:val="32"/>
          <w:lang w:bidi="ar"/>
        </w:rPr>
        <w:t>社会保障和就业支出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208</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279.69</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sz w:val="32"/>
          <w:szCs w:val="32"/>
        </w:rPr>
        <w:t>支付在职教职工机关老养老保险费。。较2022年度决算</w:t>
      </w:r>
      <w:r>
        <w:rPr>
          <w:rFonts w:hint="eastAsia" w:ascii="仿宋" w:hAnsi="仿宋" w:eastAsia="仿宋" w:cs="仿宋"/>
          <w:spacing w:val="-2"/>
          <w:sz w:val="32"/>
          <w:szCs w:val="32"/>
        </w:rPr>
        <w:t>数</w:t>
      </w:r>
      <w:r>
        <w:rPr>
          <w:rFonts w:hint="eastAsia" w:ascii="仿宋" w:hAnsi="仿宋" w:eastAsia="仿宋" w:cs="仿宋"/>
          <w:spacing w:val="-2"/>
          <w:sz w:val="32"/>
          <w:szCs w:val="32"/>
          <w:lang w:bidi="ar"/>
        </w:rPr>
        <w:t>增加17.53</w:t>
      </w:r>
      <w:r>
        <w:rPr>
          <w:rFonts w:hint="eastAsia" w:ascii="仿宋" w:hAnsi="仿宋" w:eastAsia="仿宋" w:cs="仿宋"/>
          <w:spacing w:val="-2"/>
          <w:sz w:val="32"/>
          <w:szCs w:val="32"/>
        </w:rPr>
        <w:t>万元，</w:t>
      </w:r>
      <w:r>
        <w:rPr>
          <w:rFonts w:hint="eastAsia" w:ascii="仿宋" w:hAnsi="仿宋" w:eastAsia="仿宋" w:cs="仿宋"/>
          <w:spacing w:val="-2"/>
          <w:sz w:val="32"/>
          <w:szCs w:val="32"/>
          <w:lang w:bidi="ar"/>
        </w:rPr>
        <w:t>增加6.28%</w:t>
      </w:r>
      <w:r>
        <w:rPr>
          <w:rFonts w:hint="eastAsia" w:ascii="仿宋" w:hAnsi="仿宋" w:eastAsia="仿宋" w:cs="仿宋"/>
          <w:spacing w:val="-2"/>
          <w:sz w:val="32"/>
          <w:szCs w:val="32"/>
        </w:rPr>
        <w:t>，</w:t>
      </w:r>
      <w:r>
        <w:rPr>
          <w:rFonts w:hint="eastAsia" w:ascii="仿宋" w:hAnsi="仿宋" w:eastAsia="仿宋" w:cs="仿宋"/>
          <w:color w:val="000000" w:themeColor="text1"/>
          <w:spacing w:val="-2"/>
          <w:sz w:val="32"/>
          <w:szCs w:val="32"/>
          <w:lang w:bidi="ar"/>
          <w14:textFill>
            <w14:solidFill>
              <w14:schemeClr w14:val="tx1"/>
            </w14:solidFill>
          </w14:textFill>
        </w:rPr>
        <w:t>主要原因是：</w:t>
      </w:r>
      <w:r>
        <w:rPr>
          <w:rFonts w:hint="eastAsia" w:ascii="仿宋" w:hAnsi="仿宋" w:eastAsia="仿宋" w:cs="仿宋"/>
          <w:spacing w:val="-2"/>
          <w:sz w:val="32"/>
          <w:szCs w:val="32"/>
          <w:lang w:bidi="ar"/>
        </w:rPr>
        <w:t>年初预算基数提高。</w:t>
      </w:r>
    </w:p>
    <w:p>
      <w:pPr>
        <w:ind w:firstLine="640" w:firstLineChars="200"/>
        <w:jc w:val="left"/>
        <w:rPr>
          <w:rFonts w:hint="eastAsia" w:ascii="仿宋" w:hAnsi="仿宋" w:eastAsia="仿宋" w:cs="仿宋"/>
          <w:spacing w:val="-8"/>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pacing w:val="-2"/>
          <w:sz w:val="32"/>
          <w:szCs w:val="32"/>
          <w:lang w:bidi="ar"/>
        </w:rPr>
        <w:t>住房保障支出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221</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209.84</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主要用于支付在职教职工住房公积金</w:t>
      </w:r>
      <w:r>
        <w:rPr>
          <w:rFonts w:hint="eastAsia" w:ascii="仿宋" w:hAnsi="仿宋" w:eastAsia="仿宋" w:cs="仿宋"/>
          <w:spacing w:val="-2"/>
          <w:sz w:val="32"/>
          <w:szCs w:val="32"/>
        </w:rPr>
        <w:t>。较2022年度决算数</w:t>
      </w:r>
      <w:r>
        <w:rPr>
          <w:rFonts w:hint="eastAsia" w:ascii="仿宋" w:hAnsi="仿宋" w:eastAsia="仿宋" w:cs="仿宋"/>
          <w:spacing w:val="-2"/>
          <w:sz w:val="32"/>
          <w:szCs w:val="32"/>
          <w:lang w:bidi="ar"/>
        </w:rPr>
        <w:t>增加27.85</w:t>
      </w:r>
      <w:r>
        <w:rPr>
          <w:rFonts w:hint="eastAsia" w:ascii="仿宋" w:hAnsi="仿宋" w:eastAsia="仿宋" w:cs="仿宋"/>
          <w:spacing w:val="-2"/>
          <w:sz w:val="32"/>
          <w:szCs w:val="32"/>
        </w:rPr>
        <w:t>万</w:t>
      </w:r>
      <w:r>
        <w:rPr>
          <w:rFonts w:hint="eastAsia" w:ascii="仿宋" w:hAnsi="仿宋" w:eastAsia="仿宋" w:cs="仿宋"/>
          <w:spacing w:val="-8"/>
          <w:sz w:val="32"/>
          <w:szCs w:val="32"/>
        </w:rPr>
        <w:t>元，</w:t>
      </w:r>
      <w:r>
        <w:rPr>
          <w:rFonts w:hint="eastAsia" w:ascii="仿宋" w:hAnsi="仿宋" w:eastAsia="仿宋" w:cs="仿宋"/>
          <w:spacing w:val="-8"/>
          <w:sz w:val="32"/>
          <w:szCs w:val="32"/>
          <w:lang w:bidi="ar"/>
        </w:rPr>
        <w:t>增长13.27%</w:t>
      </w:r>
      <w:r>
        <w:rPr>
          <w:rFonts w:hint="eastAsia" w:ascii="仿宋" w:hAnsi="仿宋" w:eastAsia="仿宋" w:cs="仿宋"/>
          <w:spacing w:val="-8"/>
          <w:sz w:val="32"/>
          <w:szCs w:val="32"/>
        </w:rPr>
        <w:t>，</w:t>
      </w:r>
      <w:r>
        <w:rPr>
          <w:rFonts w:hint="eastAsia" w:ascii="仿宋" w:hAnsi="仿宋" w:eastAsia="仿宋" w:cs="仿宋"/>
          <w:color w:val="000000" w:themeColor="text1"/>
          <w:spacing w:val="-8"/>
          <w:sz w:val="32"/>
          <w:szCs w:val="32"/>
          <w:lang w:bidi="ar"/>
          <w14:textFill>
            <w14:solidFill>
              <w14:schemeClr w14:val="tx1"/>
            </w14:solidFill>
          </w14:textFill>
        </w:rPr>
        <w:t>主要原因是：</w:t>
      </w:r>
      <w:bookmarkStart w:id="1" w:name="_Hlk151369791"/>
      <w:bookmarkStart w:id="2" w:name="_Hlk151370613"/>
      <w:r>
        <w:rPr>
          <w:rFonts w:hint="eastAsia" w:ascii="华文仿宋" w:hAnsi="华文仿宋" w:eastAsia="华文仿宋" w:cs="华文仿宋"/>
          <w:spacing w:val="-8"/>
          <w:kern w:val="0"/>
          <w:sz w:val="32"/>
          <w:szCs w:val="32"/>
        </w:rPr>
        <w:t>（1）</w:t>
      </w:r>
      <w:bookmarkEnd w:id="1"/>
      <w:r>
        <w:rPr>
          <w:rFonts w:hint="eastAsia" w:ascii="仿宋" w:hAnsi="仿宋" w:eastAsia="仿宋" w:cs="仿宋"/>
          <w:spacing w:val="-8"/>
          <w:sz w:val="32"/>
          <w:szCs w:val="32"/>
          <w:lang w:bidi="ar"/>
        </w:rPr>
        <w:t>缴纳基数提高，</w:t>
      </w:r>
      <w:r>
        <w:rPr>
          <w:rFonts w:hint="eastAsia" w:ascii="华文仿宋" w:hAnsi="华文仿宋" w:eastAsia="华文仿宋" w:cs="华文仿宋"/>
          <w:spacing w:val="-8"/>
          <w:kern w:val="0"/>
          <w:sz w:val="32"/>
          <w:szCs w:val="32"/>
        </w:rPr>
        <w:t>（2）</w:t>
      </w:r>
      <w:r>
        <w:rPr>
          <w:rFonts w:hint="eastAsia" w:ascii="仿宋" w:hAnsi="仿宋" w:eastAsia="仿宋" w:cs="仿宋"/>
          <w:spacing w:val="-8"/>
          <w:sz w:val="32"/>
          <w:szCs w:val="32"/>
          <w:lang w:bidi="ar"/>
        </w:rPr>
        <w:t>新招教师13人。</w:t>
      </w:r>
      <w:bookmarkEnd w:id="2"/>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pacing w:val="-8"/>
          <w:sz w:val="32"/>
          <w:szCs w:val="32"/>
          <w:lang w:bidi="ar"/>
        </w:rPr>
        <w:t>其他支出</w:t>
      </w:r>
      <w:r>
        <w:rPr>
          <w:rFonts w:hint="eastAsia" w:ascii="仿宋" w:hAnsi="仿宋" w:eastAsia="仿宋" w:cs="仿宋"/>
          <w:spacing w:val="-8"/>
          <w:sz w:val="32"/>
          <w:szCs w:val="32"/>
        </w:rPr>
        <w:t>（</w:t>
      </w:r>
      <w:r>
        <w:rPr>
          <w:rFonts w:hint="eastAsia" w:ascii="仿宋" w:hAnsi="仿宋" w:eastAsia="仿宋" w:cs="仿宋"/>
          <w:spacing w:val="-8"/>
          <w:sz w:val="32"/>
          <w:szCs w:val="32"/>
          <w:lang w:bidi="ar"/>
        </w:rPr>
        <w:t>229</w:t>
      </w:r>
      <w:r>
        <w:rPr>
          <w:rFonts w:ascii="Calibri" w:hAnsi="Calibri" w:eastAsia="宋体" w:cs="Times New Roman"/>
          <w:spacing w:val="-8"/>
          <w:lang w:bidi="ar"/>
        </w:rPr>
        <w:t xml:space="preserve"> </w:t>
      </w:r>
      <w:r>
        <w:rPr>
          <w:rFonts w:hint="eastAsia" w:ascii="仿宋" w:hAnsi="仿宋" w:eastAsia="仿宋" w:cs="仿宋"/>
          <w:spacing w:val="-8"/>
          <w:sz w:val="32"/>
          <w:szCs w:val="32"/>
        </w:rPr>
        <w:t>类）</w:t>
      </w:r>
      <w:r>
        <w:rPr>
          <w:rFonts w:hint="eastAsia" w:ascii="仿宋" w:hAnsi="仿宋" w:eastAsia="仿宋" w:cs="仿宋"/>
          <w:spacing w:val="-8"/>
          <w:sz w:val="32"/>
          <w:szCs w:val="32"/>
          <w:lang w:bidi="ar"/>
        </w:rPr>
        <w:t>314.34</w:t>
      </w:r>
      <w:r>
        <w:rPr>
          <w:rFonts w:hint="eastAsia" w:ascii="仿宋" w:hAnsi="仿宋" w:eastAsia="仿宋" w:cs="仿宋"/>
          <w:spacing w:val="-8"/>
          <w:sz w:val="32"/>
          <w:szCs w:val="32"/>
        </w:rPr>
        <w:t>万元：</w:t>
      </w:r>
      <w:r>
        <w:rPr>
          <w:rFonts w:hint="eastAsia" w:ascii="仿宋" w:hAnsi="仿宋" w:eastAsia="仿宋" w:cs="仿宋"/>
          <w:color w:val="000000" w:themeColor="text1"/>
          <w:spacing w:val="-8"/>
          <w:sz w:val="32"/>
          <w:szCs w:val="32"/>
          <w14:textFill>
            <w14:solidFill>
              <w14:schemeClr w14:val="tx1"/>
            </w14:solidFill>
          </w14:textFill>
        </w:rPr>
        <w:t>主要用于支付奖金</w:t>
      </w:r>
      <w:r>
        <w:rPr>
          <w:rFonts w:hint="eastAsia" w:ascii="仿宋" w:hAnsi="仿宋" w:eastAsia="仿宋" w:cs="仿宋"/>
          <w:color w:val="000000" w:themeColor="text1"/>
          <w:sz w:val="32"/>
          <w:szCs w:val="32"/>
          <w14:textFill>
            <w14:solidFill>
              <w14:schemeClr w14:val="tx1"/>
            </w14:solidFill>
          </w14:textFill>
        </w:rPr>
        <w:t>、生活补助、其他对个人和家庭的补助等</w:t>
      </w:r>
      <w:r>
        <w:rPr>
          <w:rFonts w:hint="eastAsia" w:ascii="仿宋" w:hAnsi="仿宋" w:eastAsia="仿宋" w:cs="仿宋"/>
          <w:sz w:val="32"/>
          <w:szCs w:val="32"/>
        </w:rPr>
        <w:t>。较2022年度决算数</w:t>
      </w:r>
      <w:r>
        <w:rPr>
          <w:rFonts w:hint="eastAsia" w:ascii="仿宋" w:hAnsi="仿宋" w:eastAsia="仿宋" w:cs="仿宋"/>
          <w:sz w:val="32"/>
          <w:szCs w:val="32"/>
          <w:lang w:bidi="ar"/>
        </w:rPr>
        <w:t>减少96.13</w:t>
      </w:r>
      <w:r>
        <w:rPr>
          <w:rFonts w:hint="eastAsia" w:ascii="仿宋" w:hAnsi="仿宋" w:eastAsia="仿宋" w:cs="仿宋"/>
          <w:sz w:val="32"/>
          <w:szCs w:val="32"/>
        </w:rPr>
        <w:t>万元，</w:t>
      </w:r>
      <w:r>
        <w:rPr>
          <w:rFonts w:hint="eastAsia" w:ascii="仿宋" w:hAnsi="仿宋" w:eastAsia="仿宋" w:cs="仿宋"/>
          <w:sz w:val="32"/>
          <w:szCs w:val="32"/>
          <w:lang w:bidi="ar"/>
        </w:rPr>
        <w:t>下降30.58%</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主要原因是：年内人员变动较多。</w:t>
      </w:r>
    </w:p>
    <w:p>
      <w:pPr>
        <w:ind w:firstLine="588" w:firstLineChars="200"/>
        <w:jc w:val="left"/>
        <w:rPr>
          <w:rFonts w:hint="eastAsia" w:ascii="仿宋" w:hAnsi="仿宋" w:eastAsia="仿宋_GB2312" w:cs="仿宋"/>
          <w:color w:val="000000" w:themeColor="text1"/>
          <w:spacing w:val="-8"/>
          <w:sz w:val="32"/>
          <w:szCs w:val="32"/>
          <w:lang w:bidi="ar"/>
          <w14:textFill>
            <w14:solidFill>
              <w14:schemeClr w14:val="tx1"/>
            </w14:solidFill>
          </w14:textFill>
        </w:rPr>
      </w:pPr>
      <w:r>
        <w:rPr>
          <w:rFonts w:ascii="仿宋_GB2312" w:hAnsi="微软雅黑" w:eastAsia="仿宋_GB2312" w:cs="仿宋_GB2312"/>
          <w:color w:val="000000"/>
          <w:spacing w:val="-8"/>
          <w:sz w:val="31"/>
          <w:szCs w:val="31"/>
          <w:shd w:val="clear" w:color="auto" w:fill="FFFFFF"/>
        </w:rPr>
        <w:t>结余分配</w:t>
      </w:r>
      <w:r>
        <w:rPr>
          <w:rFonts w:hint="eastAsia" w:ascii="仿宋_GB2312" w:hAnsi="微软雅黑" w:eastAsia="仿宋_GB2312" w:cs="仿宋_GB2312"/>
          <w:color w:val="000000"/>
          <w:spacing w:val="-8"/>
          <w:sz w:val="31"/>
          <w:szCs w:val="31"/>
          <w:shd w:val="clear" w:color="auto" w:fill="FFFFFF"/>
        </w:rPr>
        <w:t>0.00</w:t>
      </w:r>
      <w:r>
        <w:rPr>
          <w:rFonts w:ascii="仿宋_GB2312" w:hAnsi="微软雅黑" w:eastAsia="仿宋_GB2312" w:cs="仿宋_GB2312"/>
          <w:color w:val="000000"/>
          <w:spacing w:val="-8"/>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pacing w:val="-8"/>
          <w:sz w:val="31"/>
          <w:szCs w:val="31"/>
          <w:shd w:val="clear" w:color="auto" w:fill="FFFFFF"/>
        </w:rPr>
        <w:t>2</w:t>
      </w:r>
      <w:r>
        <w:rPr>
          <w:rFonts w:ascii="仿宋_GB2312" w:hAnsi="微软雅黑" w:eastAsia="仿宋_GB2312" w:cs="仿宋_GB2312"/>
          <w:color w:val="000000"/>
          <w:spacing w:val="-8"/>
          <w:sz w:val="31"/>
          <w:szCs w:val="31"/>
          <w:shd w:val="clear" w:color="auto" w:fill="FFFFFF"/>
        </w:rPr>
        <w:t>年决算</w:t>
      </w:r>
      <w:r>
        <w:rPr>
          <w:rFonts w:hint="eastAsia" w:ascii="仿宋_GB2312" w:hAnsi="微软雅黑" w:eastAsia="仿宋_GB2312" w:cs="仿宋_GB2312"/>
          <w:color w:val="000000"/>
          <w:spacing w:val="-8"/>
          <w:sz w:val="31"/>
          <w:szCs w:val="31"/>
          <w:shd w:val="clear" w:color="auto" w:fill="FFFFFF"/>
        </w:rPr>
        <w:t>0.00</w:t>
      </w:r>
      <w:r>
        <w:rPr>
          <w:rFonts w:ascii="仿宋_GB2312" w:hAnsi="微软雅黑" w:eastAsia="仿宋_GB2312" w:cs="仿宋_GB2312"/>
          <w:color w:val="000000"/>
          <w:spacing w:val="-8"/>
          <w:sz w:val="31"/>
          <w:szCs w:val="31"/>
          <w:shd w:val="clear" w:color="auto" w:fill="FFFFFF"/>
        </w:rPr>
        <w:t>万元</w:t>
      </w:r>
      <w:r>
        <w:rPr>
          <w:rFonts w:hint="eastAsia" w:ascii="仿宋_GB2312" w:hAnsi="微软雅黑" w:eastAsia="仿宋_GB2312" w:cs="仿宋_GB2312"/>
          <w:color w:val="000000"/>
          <w:spacing w:val="-8"/>
          <w:sz w:val="31"/>
          <w:szCs w:val="31"/>
          <w:shd w:val="clear" w:color="auto" w:fill="FFFFFF"/>
        </w:rPr>
        <w:t>,增加0.00</w:t>
      </w:r>
      <w:r>
        <w:rPr>
          <w:rFonts w:ascii="仿宋_GB2312" w:hAnsi="微软雅黑" w:eastAsia="仿宋_GB2312" w:cs="仿宋_GB2312"/>
          <w:color w:val="000000"/>
          <w:spacing w:val="-8"/>
          <w:sz w:val="31"/>
          <w:szCs w:val="31"/>
          <w:shd w:val="clear" w:color="auto" w:fill="FFFFFF"/>
        </w:rPr>
        <w:t>万元，</w:t>
      </w:r>
      <w:r>
        <w:rPr>
          <w:rFonts w:hint="eastAsia" w:ascii="仿宋_GB2312" w:hAnsi="微软雅黑" w:eastAsia="仿宋_GB2312" w:cs="仿宋_GB2312"/>
          <w:color w:val="000000"/>
          <w:spacing w:val="-8"/>
          <w:sz w:val="31"/>
          <w:szCs w:val="31"/>
          <w:shd w:val="clear" w:color="auto" w:fill="FFFFFF"/>
        </w:rPr>
        <w:t>增长0%</w:t>
      </w:r>
      <w:r>
        <w:rPr>
          <w:rFonts w:hint="eastAsia" w:ascii="仿宋" w:hAnsi="仿宋" w:eastAsia="仿宋" w:cs="仿宋"/>
          <w:color w:val="000000" w:themeColor="text1"/>
          <w:spacing w:val="-8"/>
          <w:sz w:val="32"/>
          <w:szCs w:val="32"/>
          <w:lang w:bidi="ar"/>
          <w14:textFill>
            <w14:solidFill>
              <w14:schemeClr w14:val="tx1"/>
            </w14:solidFill>
          </w14:textFill>
        </w:rPr>
        <w:t>。</w:t>
      </w:r>
    </w:p>
    <w:p>
      <w:pPr>
        <w:ind w:firstLine="640" w:firstLineChars="200"/>
        <w:jc w:val="left"/>
        <w:rPr>
          <w:rFonts w:hint="eastAsia"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w:t>
      </w:r>
      <w:r>
        <w:rPr>
          <w:rFonts w:hint="eastAsia" w:ascii="仿宋" w:hAnsi="仿宋" w:eastAsia="仿宋" w:cs="仿宋"/>
          <w:color w:val="000000" w:themeColor="text1"/>
          <w:spacing w:val="-4"/>
          <w:sz w:val="32"/>
          <w:szCs w:val="32"/>
          <w14:textFill>
            <w14:solidFill>
              <w14:schemeClr w14:val="tx1"/>
            </w14:solidFill>
          </w14:textFill>
        </w:rPr>
        <w:t>安排、因客观条件发生变化无法按原计划实施，需要延迟到</w:t>
      </w:r>
      <w:r>
        <w:rPr>
          <w:rFonts w:hint="eastAsia" w:ascii="仿宋" w:hAnsi="仿宋" w:eastAsia="仿宋" w:cs="仿宋"/>
          <w:color w:val="000000" w:themeColor="text1"/>
          <w:sz w:val="32"/>
          <w:szCs w:val="32"/>
          <w14:textFill>
            <w14:solidFill>
              <w14:schemeClr w14:val="tx1"/>
            </w14:solidFill>
          </w14:textFill>
        </w:rPr>
        <w:t>以后年度按有关规定继续使用的资金</w:t>
      </w:r>
      <w:r>
        <w:rPr>
          <w:rFonts w:hint="eastAsia" w:ascii="仿宋" w:hAnsi="仿宋" w:eastAsia="仿宋" w:cs="仿宋"/>
          <w:sz w:val="32"/>
          <w:szCs w:val="32"/>
        </w:rPr>
        <w:t>。较2022年度决算数</w:t>
      </w:r>
      <w:r>
        <w:rPr>
          <w:rFonts w:ascii="仿宋" w:hAnsi="仿宋" w:eastAsia="仿宋" w:cs="仿宋"/>
          <w:spacing w:val="-4"/>
          <w:sz w:val="32"/>
        </w:rPr>
        <w:t>增加0.00</w:t>
      </w:r>
      <w:r>
        <w:rPr>
          <w:rFonts w:hint="eastAsia" w:ascii="仿宋" w:hAnsi="仿宋" w:eastAsia="仿宋" w:cs="仿宋"/>
          <w:spacing w:val="-4"/>
          <w:sz w:val="32"/>
          <w:szCs w:val="32"/>
        </w:rPr>
        <w:t>万元，</w:t>
      </w:r>
      <w:r>
        <w:rPr>
          <w:rFonts w:ascii="仿宋" w:hAnsi="仿宋" w:eastAsia="仿宋" w:cs="仿宋"/>
          <w:spacing w:val="-4"/>
          <w:sz w:val="32"/>
        </w:rPr>
        <w:t>增长0%</w:t>
      </w:r>
      <w:r>
        <w:rPr>
          <w:rFonts w:hint="eastAsia" w:ascii="仿宋" w:hAnsi="仿宋" w:eastAsia="仿宋" w:cs="仿宋"/>
          <w:color w:val="000000" w:themeColor="text1"/>
          <w:spacing w:val="-4"/>
          <w:sz w:val="32"/>
          <w:szCs w:val="32"/>
          <w:lang w:bidi="ar"/>
          <w14:textFill>
            <w14:solidFill>
              <w14:schemeClr w14:val="tx1"/>
            </w14:solidFill>
          </w14:textFill>
        </w:rPr>
        <w:t>。</w:t>
      </w:r>
    </w:p>
    <w:p>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rPr>
      </w:pPr>
      <w:r>
        <w:rPr>
          <w:rFonts w:hint="eastAsia" w:ascii="黑体" w:hAnsi="黑体" w:eastAsia="黑体" w:cs="黑体"/>
          <w:sz w:val="32"/>
          <w:szCs w:val="32"/>
        </w:rPr>
        <w:t>二、2023 年度</w:t>
      </w:r>
      <w:bookmarkStart w:id="3" w:name="OLE_LINK1"/>
      <w:r>
        <w:rPr>
          <w:rFonts w:hint="eastAsia" w:ascii="黑体" w:hAnsi="黑体" w:eastAsia="黑体" w:cs="黑体"/>
          <w:sz w:val="32"/>
          <w:szCs w:val="32"/>
        </w:rPr>
        <w:t>一般公共预算财政拨款支出决算情况</w:t>
      </w:r>
      <w:bookmarkEnd w:id="3"/>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环江毛南族自治县川山镇中心小学2023年度一般公共预算财政拨款支出</w:t>
      </w:r>
      <w:r>
        <w:rPr>
          <w:rFonts w:hint="eastAsia" w:ascii="仿宋" w:hAnsi="仿宋" w:eastAsia="仿宋" w:cs="仿宋"/>
          <w:sz w:val="32"/>
        </w:rPr>
        <w:t>3781.92</w:t>
      </w:r>
      <w:r>
        <w:rPr>
          <w:rFonts w:hint="eastAsia" w:ascii="仿宋" w:hAnsi="仿宋" w:eastAsia="仿宋" w:cs="仿宋"/>
          <w:sz w:val="32"/>
          <w:szCs w:val="32"/>
        </w:rPr>
        <w:t>万元，较2022年度决算数</w:t>
      </w:r>
      <w:r>
        <w:rPr>
          <w:rFonts w:hint="eastAsia" w:ascii="仿宋" w:hAnsi="仿宋" w:eastAsia="仿宋" w:cs="仿宋"/>
          <w:sz w:val="32"/>
        </w:rPr>
        <w:t>增加99.5</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2.63</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rPr>
        <w:t>3208.73</w:t>
      </w:r>
      <w:r>
        <w:rPr>
          <w:rFonts w:hint="eastAsia" w:ascii="仿宋" w:hAnsi="仿宋" w:eastAsia="仿宋" w:cs="仿宋"/>
          <w:sz w:val="32"/>
          <w:szCs w:val="32"/>
        </w:rPr>
        <w:t>万元，项目支出</w:t>
      </w:r>
      <w:r>
        <w:rPr>
          <w:rFonts w:hint="eastAsia" w:ascii="仿宋" w:hAnsi="仿宋" w:eastAsia="仿宋" w:cs="仿宋"/>
          <w:sz w:val="32"/>
        </w:rPr>
        <w:t>573.19</w:t>
      </w:r>
      <w:r>
        <w:rPr>
          <w:rFonts w:hint="eastAsia" w:ascii="仿宋" w:hAnsi="仿宋" w:eastAsia="仿宋" w:cs="仿宋"/>
          <w:sz w:val="32"/>
          <w:szCs w:val="32"/>
        </w:rPr>
        <w:t>万元。</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环江毛南族自治县川山镇中心小学2023年度一般公共预算财政拨款支出年初预算为</w:t>
      </w:r>
      <w:r>
        <w:rPr>
          <w:rFonts w:hint="eastAsia" w:ascii="仿宋" w:hAnsi="仿宋" w:eastAsia="仿宋" w:cs="仿宋"/>
          <w:sz w:val="32"/>
        </w:rPr>
        <w:t>2827.75</w:t>
      </w:r>
      <w:r>
        <w:rPr>
          <w:rFonts w:hint="eastAsia" w:ascii="仿宋" w:hAnsi="仿宋" w:eastAsia="仿宋" w:cs="仿宋"/>
          <w:sz w:val="32"/>
          <w:szCs w:val="32"/>
        </w:rPr>
        <w:t>万元，支出决算为</w:t>
      </w:r>
      <w:r>
        <w:rPr>
          <w:rFonts w:hint="eastAsia" w:ascii="仿宋" w:hAnsi="仿宋" w:eastAsia="仿宋" w:cs="仿宋"/>
          <w:sz w:val="32"/>
        </w:rPr>
        <w:t>3781.92</w:t>
      </w:r>
      <w:r>
        <w:rPr>
          <w:rFonts w:hint="eastAsia" w:ascii="仿宋" w:hAnsi="仿宋" w:eastAsia="仿宋" w:cs="仿宋"/>
          <w:sz w:val="32"/>
          <w:szCs w:val="32"/>
        </w:rPr>
        <w:t>万元，完成年初预算的</w:t>
      </w:r>
      <w:r>
        <w:rPr>
          <w:rFonts w:ascii="仿宋" w:hAnsi="仿宋" w:eastAsia="仿宋" w:cs="仿宋"/>
          <w:sz w:val="32"/>
        </w:rPr>
        <w:t>1</w:t>
      </w:r>
      <w:r>
        <w:rPr>
          <w:rFonts w:hint="eastAsia" w:ascii="仿宋" w:hAnsi="仿宋" w:eastAsia="仿宋" w:cs="仿宋"/>
          <w:sz w:val="32"/>
        </w:rPr>
        <w:t>33.74</w:t>
      </w:r>
      <w:r>
        <w:rPr>
          <w:rFonts w:ascii="仿宋" w:hAnsi="仿宋" w:eastAsia="仿宋" w:cs="仿宋"/>
          <w:sz w:val="32"/>
        </w:rPr>
        <w:t>%</w:t>
      </w:r>
      <w:r>
        <w:rPr>
          <w:rFonts w:hint="eastAsia" w:ascii="仿宋" w:hAnsi="仿宋" w:eastAsia="仿宋" w:cs="仿宋"/>
          <w:sz w:val="32"/>
          <w:szCs w:val="32"/>
        </w:rPr>
        <w:t>。</w:t>
      </w:r>
    </w:p>
    <w:p>
      <w:pPr>
        <w:spacing w:line="540" w:lineRule="exact"/>
        <w:jc w:val="left"/>
        <w:rPr>
          <w:rFonts w:eastAsia="仿宋"/>
          <w:color w:val="000000" w:themeColor="text1"/>
          <w14:textFill>
            <w14:solidFill>
              <w14:schemeClr w14:val="tx1"/>
            </w14:solidFill>
          </w14:textFill>
        </w:rPr>
      </w:pPr>
      <w:bookmarkStart w:id="4" w:name="OLE_LINK2"/>
      <w:bookmarkEnd w:id="4"/>
      <w:r>
        <w:rPr>
          <w:rFonts w:hint="eastAsia" w:ascii="仿宋" w:hAnsi="仿宋" w:eastAsia="仿宋"/>
          <w:sz w:val="32"/>
          <w:szCs w:val="32"/>
        </w:rPr>
        <w:t xml:space="preserve">    （一）一般公共服务支出</w:t>
      </w:r>
      <w:r>
        <w:rPr>
          <w:rFonts w:ascii="仿宋" w:hAnsi="仿宋" w:eastAsia="仿宋"/>
          <w:sz w:val="32"/>
        </w:rPr>
        <w:t>（201</w:t>
      </w:r>
      <w:r>
        <w:rPr>
          <w:rFonts w:hint="eastAsia" w:ascii="仿宋" w:hAnsi="仿宋" w:eastAsia="仿宋"/>
          <w:sz w:val="32"/>
          <w:szCs w:val="32"/>
        </w:rPr>
        <w:t>类）年初预算为40.65万元，支出决算为40.65万元，完成年初预算的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无差异。</w:t>
      </w:r>
    </w:p>
    <w:p>
      <w:pPr>
        <w:spacing w:line="540" w:lineRule="exact"/>
        <w:jc w:val="left"/>
        <w:rPr>
          <w:rFonts w:hint="eastAsia"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2206"/>
        <w:gridCol w:w="140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ascii="宋体" w:hAnsi="宋体" w:eastAsia="宋体" w:cs="宋体"/>
                <w:sz w:val="18"/>
                <w:szCs w:val="18"/>
              </w:rPr>
              <w:t>教职工工会活动费用、慰问特困、重病、退休教师</w:t>
            </w: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color w:val="000000" w:themeColor="text1"/>
                <w:sz w:val="18"/>
                <w:szCs w:val="18"/>
                <w14:textFill>
                  <w14:solidFill>
                    <w14:schemeClr w14:val="tx1"/>
                  </w14:solidFill>
                </w14:textFill>
              </w:rPr>
              <w:t>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40.65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80" w:firstLineChars="150"/>
        <w:jc w:val="left"/>
        <w:rPr>
          <w:rFonts w:eastAsia="仿宋"/>
          <w:color w:val="FF0000"/>
        </w:rPr>
      </w:pPr>
      <w:r>
        <w:rPr>
          <w:rFonts w:hint="eastAsia" w:ascii="仿宋" w:hAnsi="仿宋" w:eastAsia="仿宋"/>
          <w:sz w:val="32"/>
          <w:szCs w:val="32"/>
        </w:rPr>
        <w:t>（二）教育支出</w:t>
      </w:r>
      <w:r>
        <w:rPr>
          <w:rFonts w:ascii="仿宋" w:hAnsi="仿宋" w:eastAsia="仿宋"/>
          <w:sz w:val="32"/>
        </w:rPr>
        <w:t>（205</w:t>
      </w:r>
      <w:r>
        <w:rPr>
          <w:rFonts w:hint="eastAsia" w:ascii="仿宋" w:hAnsi="仿宋" w:eastAsia="仿宋"/>
          <w:sz w:val="32"/>
          <w:szCs w:val="32"/>
        </w:rPr>
        <w:t>类）年初预算为2172.6万元，支出决算为2939.35万元，完成年初预算的</w:t>
      </w:r>
      <w:r>
        <w:rPr>
          <w:rFonts w:ascii="仿宋" w:hAnsi="仿宋" w:eastAsia="仿宋"/>
          <w:sz w:val="32"/>
          <w:szCs w:val="32"/>
        </w:rPr>
        <w:t>13</w:t>
      </w:r>
      <w:r>
        <w:rPr>
          <w:rFonts w:hint="eastAsia" w:ascii="仿宋" w:hAnsi="仿宋" w:eastAsia="仿宋"/>
          <w:sz w:val="32"/>
          <w:szCs w:val="32"/>
        </w:rPr>
        <w:t>5.29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rPr>
        <w:t>该类支出部分资金由上级部门预算直接下达，本部门无需预算，如义教补助资金中的寄宿生生活补助，公用经费等，</w:t>
      </w:r>
      <w:r>
        <w:rPr>
          <w:rFonts w:hint="eastAsia" w:ascii="仿宋" w:hAnsi="仿宋" w:eastAsia="仿宋"/>
          <w:sz w:val="32"/>
          <w:szCs w:val="32"/>
        </w:rPr>
        <w:t>2023年教师工资上调以及</w:t>
      </w:r>
      <w:r>
        <w:rPr>
          <w:rFonts w:hint="eastAsia" w:ascii="华文仿宋" w:hAnsi="华文仿宋" w:eastAsia="华文仿宋" w:cs="华文仿宋"/>
          <w:kern w:val="0"/>
          <w:sz w:val="32"/>
          <w:szCs w:val="32"/>
        </w:rPr>
        <w:t>2023年学生营养餐经费和办公经费支出较多。</w:t>
      </w:r>
    </w:p>
    <w:p>
      <w:pPr>
        <w:ind w:firstLine="640" w:firstLineChars="200"/>
        <w:jc w:val="left"/>
        <w:rPr>
          <w:rFonts w:hint="eastAsia"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48"/>
        <w:gridCol w:w="1055"/>
        <w:gridCol w:w="1922"/>
        <w:gridCol w:w="1686"/>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2172.60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2915.84</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134.21%</w:t>
            </w: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ind w:firstLine="360" w:firstLineChars="200"/>
              <w:textAlignment w:val="center"/>
              <w:rPr>
                <w:rFonts w:hint="eastAsia" w:ascii="仿宋" w:hAnsi="仿宋" w:eastAsia="仿宋" w:cs="仿宋"/>
                <w:szCs w:val="21"/>
                <w:lang w:val="en-US" w:eastAsia="zh-CN"/>
              </w:rPr>
            </w:pPr>
            <w:r>
              <w:rPr>
                <w:rFonts w:hint="eastAsia" w:ascii="仿宋" w:hAnsi="仿宋" w:eastAsia="仿宋" w:cs="仿宋"/>
                <w:sz w:val="18"/>
                <w:szCs w:val="18"/>
              </w:rPr>
              <w:t>主要用于全镇教职工工资及为开展教育教学活动的支出</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退休人员生活补、寄宿生补助、营养餐等支出</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仿宋" w:hAnsi="仿宋" w:eastAsia="仿宋" w:cs="仿宋"/>
                <w:sz w:val="18"/>
                <w:szCs w:val="18"/>
              </w:rPr>
            </w:pPr>
            <w:r>
              <w:rPr>
                <w:rFonts w:hint="eastAsia" w:ascii="仿宋" w:hAnsi="仿宋" w:eastAsia="仿宋" w:cs="仿宋"/>
                <w:sz w:val="18"/>
                <w:szCs w:val="18"/>
              </w:rPr>
              <w:t>该类支出部分资金由上级部门预算直接下达，本部门无需预算，如义教补助资金中的寄宿生</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17.39</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sz w:val="24"/>
              </w:rPr>
            </w:pPr>
            <w:r>
              <w:rPr>
                <w:rFonts w:hint="eastAsia" w:ascii="仿宋" w:hAnsi="仿宋" w:eastAsia="仿宋" w:cs="仿宋"/>
                <w:sz w:val="18"/>
                <w:szCs w:val="18"/>
              </w:rPr>
              <w:t>主要用于付学生营养餐经费和部分办公经费支出。</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sz w:val="18"/>
                <w:szCs w:val="18"/>
              </w:rPr>
            </w:pPr>
            <w:r>
              <w:rPr>
                <w:rFonts w:hint="eastAsia" w:ascii="仿宋" w:hAnsi="仿宋" w:eastAsia="仿宋" w:cs="仿宋"/>
                <w:sz w:val="18"/>
                <w:szCs w:val="18"/>
              </w:rPr>
              <w:t>此部分资金每年由上级部门做预算，直接下达，本部门无需预算。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ascii="宋体" w:hAnsi="宋体" w:eastAsia="宋体" w:cs="宋体"/>
                <w:color w:val="000000"/>
                <w:sz w:val="20"/>
                <w:szCs w:val="20"/>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ascii="宋体" w:hAnsi="宋体" w:eastAsia="宋体" w:cs="宋体"/>
                <w:color w:val="000000"/>
                <w:sz w:val="20"/>
                <w:szCs w:val="20"/>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ascii="宋体" w:hAnsi="宋体" w:eastAsia="宋体" w:cs="宋体"/>
                <w:color w:val="000000"/>
                <w:sz w:val="18"/>
                <w:szCs w:val="18"/>
              </w:rPr>
              <w:t>3.42</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18"/>
                <w:szCs w:val="18"/>
              </w:rPr>
              <w:t>主要用于全镇教职工送教上门差旅费</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sz w:val="18"/>
                <w:szCs w:val="18"/>
              </w:rPr>
            </w:pPr>
            <w:r>
              <w:rPr>
                <w:rFonts w:hint="eastAsia" w:ascii="仿宋" w:hAnsi="仿宋" w:eastAsia="仿宋" w:cs="仿宋"/>
                <w:sz w:val="18"/>
                <w:szCs w:val="18"/>
              </w:rPr>
              <w:t>此部分资金每年由上级部门做预算，直接下达，本部门无需预算。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2.70</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sz w:val="24"/>
              </w:rPr>
            </w:pPr>
            <w:r>
              <w:rPr>
                <w:rFonts w:hint="eastAsia" w:ascii="仿宋" w:hAnsi="仿宋" w:eastAsia="仿宋" w:cs="仿宋"/>
                <w:sz w:val="18"/>
                <w:szCs w:val="18"/>
              </w:rPr>
              <w:t>主要用于付2023年学校安全协管员工资</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仿宋" w:hAnsi="仿宋" w:eastAsia="仿宋" w:cs="仿宋"/>
                <w:sz w:val="18"/>
                <w:szCs w:val="18"/>
              </w:rPr>
            </w:pPr>
            <w:r>
              <w:rPr>
                <w:rFonts w:hint="eastAsia" w:ascii="仿宋" w:hAnsi="仿宋" w:eastAsia="仿宋" w:cs="仿宋"/>
                <w:sz w:val="18"/>
                <w:szCs w:val="18"/>
              </w:rPr>
              <w:t>此部分资金每年由上级部门做预算，直接下达，本部门无需预算。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2172.6</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2939.35</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135.29%</w:t>
            </w:r>
          </w:p>
        </w:tc>
        <w:tc>
          <w:tcPr>
            <w:tcW w:w="19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r>
        <w:rPr>
          <w:rFonts w:hint="eastAsia" w:ascii="仿宋" w:hAnsi="仿宋" w:eastAsia="仿宋" w:cs="仿宋"/>
          <w:sz w:val="32"/>
          <w:szCs w:val="32"/>
        </w:rPr>
        <w:drawing>
          <wp:inline distT="0" distB="0" distL="114300" distR="114300">
            <wp:extent cx="5463540" cy="4459605"/>
            <wp:effectExtent l="5080" t="4445" r="17780" b="12700"/>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left="420"/>
        <w:jc w:val="left"/>
        <w:rPr>
          <w:rFonts w:eastAsia="仿宋"/>
          <w:color w:val="FF0000"/>
        </w:rPr>
      </w:pPr>
      <w:r>
        <w:rPr>
          <w:rFonts w:hint="eastAsia" w:ascii="仿宋" w:hAnsi="仿宋" w:eastAsia="仿宋"/>
          <w:spacing w:val="-4"/>
          <w:sz w:val="32"/>
          <w:szCs w:val="32"/>
        </w:rPr>
        <w:t>（三）社会保障和就业支出</w:t>
      </w:r>
      <w:r>
        <w:rPr>
          <w:rFonts w:ascii="仿宋" w:hAnsi="仿宋" w:eastAsia="仿宋"/>
          <w:spacing w:val="-4"/>
          <w:sz w:val="32"/>
        </w:rPr>
        <w:t>（208</w:t>
      </w:r>
      <w:r>
        <w:rPr>
          <w:rFonts w:hint="eastAsia" w:ascii="仿宋" w:hAnsi="仿宋" w:eastAsia="仿宋"/>
          <w:spacing w:val="-4"/>
          <w:sz w:val="32"/>
          <w:szCs w:val="32"/>
        </w:rPr>
        <w:t>类）年初预算为338.37万元</w:t>
      </w:r>
      <w:r>
        <w:rPr>
          <w:rFonts w:hint="eastAsia" w:ascii="仿宋" w:hAnsi="仿宋" w:eastAsia="仿宋"/>
          <w:sz w:val="32"/>
          <w:szCs w:val="32"/>
        </w:rPr>
        <w:t>，支出决算为279.69万元，完成年初预算的</w:t>
      </w:r>
      <w:r>
        <w:rPr>
          <w:rFonts w:ascii="仿宋" w:hAnsi="仿宋" w:eastAsia="仿宋"/>
          <w:sz w:val="32"/>
          <w:szCs w:val="32"/>
        </w:rPr>
        <w:t>8</w:t>
      </w:r>
      <w:r>
        <w:rPr>
          <w:rFonts w:hint="eastAsia" w:ascii="仿宋" w:hAnsi="仿宋" w:eastAsia="仿宋"/>
          <w:sz w:val="32"/>
          <w:szCs w:val="32"/>
        </w:rPr>
        <w:t>2.66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仿宋" w:hAnsi="仿宋" w:eastAsia="仿宋"/>
          <w:color w:val="000000" w:themeColor="text1"/>
          <w:sz w:val="32"/>
          <w:szCs w:val="32"/>
          <w14:textFill>
            <w14:solidFill>
              <w14:schemeClr w14:val="tx1"/>
            </w14:solidFill>
          </w14:textFill>
        </w:rPr>
        <w:t>2023年有调出教师，在职人员减少，年中退休人员有所增加，教职工基本养老保险缴费实际支出比年初预算有所减少</w:t>
      </w:r>
      <w:r>
        <w:rPr>
          <w:rFonts w:hint="eastAsia" w:ascii="仿宋" w:hAnsi="仿宋" w:eastAsia="仿宋" w:cs="仿宋"/>
          <w:sz w:val="32"/>
          <w:szCs w:val="32"/>
          <w:lang w:bidi="ar"/>
        </w:rPr>
        <w:t>。</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7"/>
        <w:tblW w:w="8835" w:type="dxa"/>
        <w:tblInd w:w="0" w:type="dxa"/>
        <w:tblLayout w:type="fixed"/>
        <w:tblCellMar>
          <w:top w:w="0" w:type="dxa"/>
          <w:left w:w="108" w:type="dxa"/>
          <w:bottom w:w="0" w:type="dxa"/>
          <w:right w:w="108" w:type="dxa"/>
        </w:tblCellMar>
      </w:tblPr>
      <w:tblGrid>
        <w:gridCol w:w="955"/>
        <w:gridCol w:w="1501"/>
        <w:gridCol w:w="850"/>
        <w:gridCol w:w="851"/>
        <w:gridCol w:w="1134"/>
        <w:gridCol w:w="1559"/>
        <w:gridCol w:w="198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2080505</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338.37</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279.69</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82.66%</w:t>
            </w: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Cs w:val="21"/>
              </w:rPr>
            </w:pPr>
            <w:r>
              <w:rPr>
                <w:rFonts w:hint="eastAsia" w:ascii="仿宋" w:hAnsi="仿宋" w:eastAsia="仿宋" w:cs="仿宋"/>
                <w:color w:val="000000" w:themeColor="text1"/>
                <w:szCs w:val="21"/>
                <w14:textFill>
                  <w14:solidFill>
                    <w14:schemeClr w14:val="tx1"/>
                  </w14:solidFill>
                </w14:textFill>
              </w:rPr>
              <w:t>支付在职教职工养老保险</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hint="eastAsia" w:ascii="宋体" w:hAnsi="宋体" w:eastAsia="宋体" w:cs="宋体"/>
                <w:szCs w:val="21"/>
              </w:rPr>
            </w:pPr>
            <w:r>
              <w:rPr>
                <w:rFonts w:hint="eastAsia" w:ascii="宋体" w:hAnsi="宋体" w:eastAsia="宋体" w:cs="宋体"/>
                <w:sz w:val="18"/>
                <w:szCs w:val="18"/>
              </w:rPr>
              <w:t>2</w:t>
            </w:r>
            <w:r>
              <w:rPr>
                <w:rFonts w:ascii="宋体" w:hAnsi="宋体" w:eastAsia="宋体" w:cs="宋体"/>
                <w:sz w:val="18"/>
                <w:szCs w:val="18"/>
              </w:rPr>
              <w:t>02</w:t>
            </w:r>
            <w:r>
              <w:rPr>
                <w:rFonts w:hint="eastAsia" w:ascii="宋体" w:hAnsi="宋体" w:eastAsia="宋体" w:cs="宋体"/>
                <w:sz w:val="18"/>
                <w:szCs w:val="18"/>
              </w:rPr>
              <w:t>3</w:t>
            </w:r>
            <w:r>
              <w:rPr>
                <w:rFonts w:ascii="宋体" w:hAnsi="宋体" w:eastAsia="宋体" w:cs="宋体"/>
                <w:sz w:val="18"/>
                <w:szCs w:val="18"/>
              </w:rPr>
              <w:t>年中有调出教师，在职人员减少，年中退休人员有所增加</w:t>
            </w:r>
            <w:r>
              <w:rPr>
                <w:rFonts w:hint="eastAsia" w:ascii="宋体" w:hAnsi="宋体" w:eastAsia="宋体" w:cs="宋体"/>
                <w:sz w:val="18"/>
                <w:szCs w:val="18"/>
              </w:rPr>
              <w:t>。</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338.37</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279.69</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82.66%</w:t>
            </w: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cs="仿宋"/>
          <w:sz w:val="32"/>
          <w:szCs w:val="32"/>
        </w:rPr>
        <w:drawing>
          <wp:inline distT="0" distB="0" distL="114300" distR="114300">
            <wp:extent cx="4474845" cy="26441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left="420"/>
        <w:jc w:val="left"/>
        <w:rPr>
          <w:rFonts w:eastAsia="仿宋"/>
          <w:color w:val="FF0000"/>
          <w:spacing w:val="-4"/>
        </w:rPr>
      </w:pPr>
      <w:r>
        <w:rPr>
          <w:rFonts w:hint="eastAsia" w:ascii="仿宋" w:hAnsi="仿宋" w:eastAsia="仿宋"/>
          <w:spacing w:val="-4"/>
          <w:sz w:val="32"/>
          <w:szCs w:val="32"/>
        </w:rPr>
        <w:t>（四）住房保障支出</w:t>
      </w:r>
      <w:r>
        <w:rPr>
          <w:rFonts w:ascii="仿宋" w:hAnsi="仿宋" w:eastAsia="仿宋"/>
          <w:spacing w:val="-4"/>
          <w:sz w:val="32"/>
        </w:rPr>
        <w:t>（221</w:t>
      </w:r>
      <w:r>
        <w:rPr>
          <w:rFonts w:hint="eastAsia" w:ascii="仿宋" w:hAnsi="仿宋" w:eastAsia="仿宋"/>
          <w:spacing w:val="-4"/>
          <w:sz w:val="32"/>
          <w:szCs w:val="32"/>
        </w:rPr>
        <w:t>类）年初预算为253.78万元，支出决算为209.84万元，完成年初预算的</w:t>
      </w:r>
      <w:r>
        <w:rPr>
          <w:rFonts w:ascii="仿宋" w:hAnsi="仿宋" w:eastAsia="仿宋"/>
          <w:spacing w:val="-4"/>
          <w:sz w:val="32"/>
          <w:szCs w:val="32"/>
        </w:rPr>
        <w:t>8</w:t>
      </w:r>
      <w:r>
        <w:rPr>
          <w:rFonts w:hint="eastAsia" w:ascii="仿宋" w:hAnsi="仿宋" w:eastAsia="仿宋"/>
          <w:spacing w:val="-4"/>
          <w:sz w:val="32"/>
          <w:szCs w:val="32"/>
        </w:rPr>
        <w:t>2.69</w:t>
      </w:r>
      <w:r>
        <w:rPr>
          <w:rFonts w:ascii="仿宋" w:hAnsi="仿宋" w:eastAsia="仿宋"/>
          <w:spacing w:val="-4"/>
          <w:sz w:val="32"/>
          <w:szCs w:val="32"/>
        </w:rPr>
        <w:t>%</w:t>
      </w:r>
      <w:r>
        <w:rPr>
          <w:rFonts w:hint="eastAsia" w:ascii="仿宋" w:hAnsi="仿宋" w:eastAsia="仿宋"/>
          <w:spacing w:val="-4"/>
          <w:sz w:val="32"/>
          <w:szCs w:val="32"/>
        </w:rPr>
        <w:t>。</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仿宋" w:hAnsi="仿宋" w:eastAsia="仿宋"/>
          <w:color w:val="000000" w:themeColor="text1"/>
          <w:sz w:val="32"/>
          <w:szCs w:val="32"/>
          <w14:textFill>
            <w14:solidFill>
              <w14:schemeClr w14:val="tx1"/>
            </w14:solidFill>
          </w14:textFill>
        </w:rPr>
        <w:t>2023年有调出教师，在职人员减少，年中退休人员有所增加，教职工住房公积金缴费实际支出比年初预算有所减少</w:t>
      </w:r>
      <w:r>
        <w:rPr>
          <w:rFonts w:hint="eastAsia" w:ascii="仿宋" w:hAnsi="仿宋" w:eastAsia="仿宋" w:cs="仿宋"/>
          <w:spacing w:val="-4"/>
          <w:sz w:val="32"/>
          <w:szCs w:val="32"/>
          <w:lang w:bidi="ar"/>
        </w:rPr>
        <w:t>。</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7"/>
        <w:tblW w:w="8693"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98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253.78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82.69%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Cs w:val="21"/>
              </w:rPr>
            </w:pPr>
            <w:r>
              <w:rPr>
                <w:rFonts w:hint="eastAsia" w:ascii="仿宋" w:hAnsi="仿宋" w:eastAsia="仿宋" w:cs="仿宋"/>
                <w:color w:val="000000" w:themeColor="text1"/>
                <w:szCs w:val="21"/>
                <w14:textFill>
                  <w14:solidFill>
                    <w14:schemeClr w14:val="tx1"/>
                  </w14:solidFill>
                </w14:textFill>
              </w:rPr>
              <w:t>支付在职教职工住房公积金</w:t>
            </w: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hint="eastAsia" w:ascii="宋体" w:hAnsi="宋体" w:eastAsia="宋体" w:cs="宋体"/>
                <w:szCs w:val="21"/>
              </w:rPr>
            </w:pPr>
            <w:r>
              <w:rPr>
                <w:rFonts w:ascii="宋体" w:hAnsi="宋体" w:eastAsia="宋体" w:cs="宋体"/>
                <w:sz w:val="18"/>
                <w:szCs w:val="18"/>
              </w:rPr>
              <w:t>202</w:t>
            </w:r>
            <w:r>
              <w:rPr>
                <w:rFonts w:hint="eastAsia" w:ascii="宋体" w:hAnsi="宋体" w:eastAsia="宋体" w:cs="宋体"/>
                <w:sz w:val="18"/>
                <w:szCs w:val="18"/>
              </w:rPr>
              <w:t>3</w:t>
            </w:r>
            <w:r>
              <w:rPr>
                <w:rFonts w:ascii="宋体" w:hAnsi="宋体" w:eastAsia="宋体" w:cs="宋体"/>
                <w:sz w:val="18"/>
                <w:szCs w:val="18"/>
              </w:rPr>
              <w:t>年中有调出教师，在职人员减少</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253.78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82.69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left="420"/>
        <w:jc w:val="left"/>
        <w:rPr>
          <w:rFonts w:eastAsia="仿宋"/>
          <w:color w:val="FF0000"/>
        </w:rPr>
      </w:pPr>
      <w:r>
        <w:rPr>
          <w:rFonts w:hint="eastAsia" w:ascii="仿宋" w:hAnsi="仿宋" w:eastAsia="仿宋"/>
          <w:sz w:val="32"/>
          <w:szCs w:val="32"/>
        </w:rPr>
        <w:t>（五）其他支出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w:t>
      </w:r>
      <w:r>
        <w:rPr>
          <w:rFonts w:hint="eastAsia" w:ascii="仿宋" w:hAnsi="仿宋" w:eastAsia="仿宋"/>
          <w:spacing w:val="-4"/>
          <w:sz w:val="32"/>
          <w:szCs w:val="32"/>
        </w:rPr>
        <w:t>决算为312.39万元。</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仿宋" w:hAnsi="仿宋" w:eastAsia="仿宋"/>
          <w:color w:val="000000" w:themeColor="text1"/>
          <w:sz w:val="32"/>
          <w:szCs w:val="32"/>
          <w14:textFill>
            <w14:solidFill>
              <w14:schemeClr w14:val="tx1"/>
            </w14:solidFill>
          </w14:textFill>
        </w:rPr>
        <w:t>2023年初没有预算</w:t>
      </w:r>
      <w:r>
        <w:rPr>
          <w:rFonts w:hint="eastAsia" w:ascii="仿宋" w:hAnsi="仿宋" w:eastAsia="仿宋"/>
          <w:sz w:val="32"/>
          <w:szCs w:val="32"/>
        </w:rPr>
        <w:t>其他支出，此部分资金每年由上级部门做预算，直接下达，本部门无需预算</w:t>
      </w:r>
      <w:r>
        <w:rPr>
          <w:rFonts w:hint="eastAsia" w:ascii="仿宋" w:hAnsi="仿宋" w:eastAsia="仿宋" w:cs="仿宋"/>
          <w:color w:val="000000" w:themeColor="text1"/>
          <w:spacing w:val="-4"/>
          <w:sz w:val="32"/>
          <w:szCs w:val="32"/>
          <w14:textFill>
            <w14:solidFill>
              <w14:schemeClr w14:val="tx1"/>
            </w14:solidFill>
          </w14:textFill>
        </w:rPr>
        <w:t>。</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0"/>
        <w:gridCol w:w="1828"/>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7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教职工奖贴性补贴</w:t>
            </w:r>
          </w:p>
        </w:tc>
        <w:tc>
          <w:tcPr>
            <w:tcW w:w="18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hint="eastAsia" w:ascii="宋体" w:hAnsi="宋体" w:eastAsia="宋体" w:cs="宋体"/>
                <w:szCs w:val="21"/>
              </w:rPr>
            </w:pPr>
            <w:r>
              <w:rPr>
                <w:rFonts w:ascii="宋体" w:hAnsi="宋体" w:eastAsia="宋体" w:cs="宋体"/>
                <w:sz w:val="18"/>
                <w:szCs w:val="18"/>
              </w:rPr>
              <w:t>此部分资金每年由上级部门做预算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312.39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7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8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jc w:val="left"/>
        <w:rPr>
          <w:rFonts w:hint="eastAsia"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环江毛南族自治县川山镇中心小学2023年度一般公共预算财政拨款基本支出</w:t>
      </w:r>
      <w:r>
        <w:rPr>
          <w:rFonts w:hint="eastAsia" w:ascii="仿宋" w:hAnsi="仿宋" w:eastAsia="仿宋" w:cs="仿宋"/>
          <w:sz w:val="32"/>
        </w:rPr>
        <w:t>3208.73</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3168.08</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40.65</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1"/>
        </w:numPr>
        <w:spacing w:line="56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工资福利支出</w:t>
      </w:r>
      <w:r>
        <w:rPr>
          <w:rFonts w:hint="eastAsia" w:ascii="仿宋" w:hAnsi="仿宋" w:eastAsia="仿宋" w:cs="仿宋"/>
          <w:sz w:val="32"/>
        </w:rPr>
        <w:t>2973.71</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107.45%</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主要原因是：年内人员变动较多。</w:t>
      </w:r>
    </w:p>
    <w:p>
      <w:pPr>
        <w:spacing w:line="560" w:lineRule="exact"/>
        <w:ind w:firstLine="608" w:firstLineChars="200"/>
        <w:jc w:val="left"/>
        <w:rPr>
          <w:rFonts w:hint="eastAsia" w:ascii="仿宋" w:hAnsi="仿宋" w:eastAsia="仿宋" w:cs="仿宋"/>
          <w:sz w:val="32"/>
          <w:szCs w:val="32"/>
        </w:rPr>
      </w:pPr>
      <w:r>
        <w:rPr>
          <w:rFonts w:hint="eastAsia" w:ascii="仿宋" w:hAnsi="仿宋" w:eastAsia="仿宋"/>
          <w:spacing w:val="-8"/>
          <w:sz w:val="32"/>
          <w:szCs w:val="32"/>
        </w:rPr>
        <w:t>支出具体情况如下</w:t>
      </w:r>
      <w:r>
        <w:rPr>
          <w:rFonts w:hint="eastAsia" w:ascii="仿宋" w:hAnsi="仿宋" w:eastAsia="仿宋" w:cs="仿宋"/>
          <w:spacing w:val="-8"/>
          <w:sz w:val="32"/>
          <w:szCs w:val="32"/>
        </w:rPr>
        <w:t>：30101基本工资1012.23万元，30102</w:t>
      </w:r>
      <w:r>
        <w:rPr>
          <w:rFonts w:hint="eastAsia" w:ascii="仿宋" w:hAnsi="仿宋" w:eastAsia="仿宋" w:cs="仿宋"/>
          <w:sz w:val="32"/>
          <w:szCs w:val="32"/>
        </w:rPr>
        <w:t>津贴补贴232.62万元，30103奖金674.87万元，30107绩</w:t>
      </w:r>
      <w:r>
        <w:rPr>
          <w:rFonts w:hint="eastAsia" w:ascii="仿宋" w:hAnsi="仿宋" w:eastAsia="仿宋" w:cs="仿宋"/>
          <w:spacing w:val="-4"/>
          <w:sz w:val="32"/>
          <w:szCs w:val="32"/>
        </w:rPr>
        <w:t>效工资436.87万元，30108机关事业单位基本养老保险缴费</w:t>
      </w:r>
      <w:r>
        <w:rPr>
          <w:rFonts w:hint="eastAsia" w:ascii="仿宋" w:hAnsi="仿宋" w:eastAsia="仿宋" w:cs="仿宋"/>
          <w:sz w:val="32"/>
          <w:szCs w:val="32"/>
        </w:rPr>
        <w:t>279.69万元，30110职工基本医疗保险缴费113.46万元，30112其他社会保障缴费14.14万元，30113住房公积金209.84万元，30199其他工资福利支出0万元。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hint="eastAsia" w:ascii="仿宋" w:hAnsi="仿宋" w:eastAsia="仿宋" w:cs="仿宋"/>
          <w:sz w:val="32"/>
          <w:szCs w:val="32"/>
        </w:rPr>
      </w:pPr>
    </w:p>
    <w:p>
      <w:pPr>
        <w:numPr>
          <w:ilvl w:val="0"/>
          <w:numId w:val="1"/>
        </w:numPr>
        <w:ind w:left="-420"/>
        <w:jc w:val="left"/>
        <w:rPr>
          <w:rFonts w:hint="eastAsia" w:ascii="仿宋" w:hAnsi="仿宋" w:eastAsia="仿宋" w:cs="仿宋"/>
          <w:color w:val="FF0000"/>
          <w:sz w:val="32"/>
          <w:szCs w:val="32"/>
        </w:rPr>
      </w:pPr>
      <w:r>
        <w:rPr>
          <w:rFonts w:hint="eastAsia" w:ascii="仿宋" w:hAnsi="仿宋" w:eastAsia="仿宋" w:cs="仿宋"/>
          <w:sz w:val="32"/>
          <w:szCs w:val="32"/>
        </w:rPr>
        <w:t>商品和服务支出</w:t>
      </w:r>
      <w:r>
        <w:rPr>
          <w:rFonts w:hint="eastAsia" w:ascii="仿宋" w:hAnsi="仿宋" w:eastAsia="仿宋" w:cs="仿宋"/>
          <w:sz w:val="32"/>
        </w:rPr>
        <w:t>40.65</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pacing w:val="-4"/>
          <w:sz w:val="32"/>
          <w:szCs w:val="32"/>
        </w:rPr>
        <w:t>100%</w:t>
      </w:r>
      <w:r>
        <w:rPr>
          <w:rFonts w:ascii="仿宋_GB2312" w:hAnsi="微软雅黑" w:eastAsia="仿宋_GB2312" w:cs="仿宋_GB2312"/>
          <w:color w:val="000000"/>
          <w:spacing w:val="-4"/>
          <w:sz w:val="31"/>
          <w:szCs w:val="31"/>
          <w:shd w:val="clear" w:color="auto" w:fill="FFFFFF"/>
        </w:rPr>
        <w:t>，</w:t>
      </w:r>
      <w:r>
        <w:rPr>
          <w:rFonts w:hint="eastAsia" w:ascii="仿宋" w:hAnsi="仿宋" w:eastAsia="仿宋" w:cs="仿宋"/>
          <w:spacing w:val="-4"/>
          <w:sz w:val="32"/>
          <w:szCs w:val="32"/>
        </w:rPr>
        <w:t>（简要说明预决算差异）</w:t>
      </w:r>
      <w:r>
        <w:rPr>
          <w:rFonts w:hint="eastAsia" w:ascii="仿宋" w:hAnsi="仿宋" w:eastAsia="仿宋" w:cs="仿宋"/>
          <w:color w:val="000000" w:themeColor="text1"/>
          <w:spacing w:val="-4"/>
          <w:sz w:val="32"/>
          <w:szCs w:val="32"/>
          <w:lang w:bidi="ar"/>
          <w14:textFill>
            <w14:solidFill>
              <w14:schemeClr w14:val="tx1"/>
            </w14:solidFill>
          </w14:textFill>
        </w:rPr>
        <w:t>主要原因是：无差异</w:t>
      </w:r>
      <w:r>
        <w:rPr>
          <w:rFonts w:hint="eastAsia" w:ascii="仿宋" w:hAnsi="仿宋" w:eastAsia="仿宋" w:cs="仿宋"/>
          <w:sz w:val="32"/>
          <w:szCs w:val="32"/>
          <w:lang w:bidi="ar"/>
        </w:rPr>
        <w:t>。</w:t>
      </w:r>
    </w:p>
    <w:p>
      <w:pPr>
        <w:jc w:val="left"/>
        <w:rPr>
          <w:rFonts w:hint="eastAsia" w:ascii="仿宋" w:hAnsi="仿宋" w:eastAsia="仿宋" w:cs="仿宋"/>
          <w:spacing w:val="-2"/>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w:t>
      </w:r>
      <w:r>
        <w:rPr>
          <w:rFonts w:hint="eastAsia" w:ascii="仿宋" w:hAnsi="仿宋" w:eastAsia="仿宋" w:cs="仿宋"/>
          <w:spacing w:val="-4"/>
          <w:sz w:val="32"/>
          <w:szCs w:val="32"/>
        </w:rPr>
        <w:t>0228工会经费40.65万元</w:t>
      </w:r>
      <w:r>
        <w:rPr>
          <w:rFonts w:hint="eastAsia" w:ascii="仿宋" w:hAnsi="仿宋" w:eastAsia="仿宋" w:cs="仿宋"/>
          <w:spacing w:val="-2"/>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hint="eastAsia" w:ascii="仿宋" w:hAnsi="仿宋" w:eastAsia="仿宋" w:cs="仿宋"/>
          <w:sz w:val="32"/>
          <w:szCs w:val="32"/>
        </w:rPr>
      </w:pPr>
    </w:p>
    <w:p>
      <w:pPr>
        <w:numPr>
          <w:ilvl w:val="0"/>
          <w:numId w:val="1"/>
        </w:numPr>
        <w:jc w:val="left"/>
        <w:rPr>
          <w:rFonts w:hint="eastAsia" w:ascii="仿宋" w:hAnsi="仿宋" w:eastAsia="仿宋" w:cs="仿宋"/>
          <w:color w:val="FF0000"/>
          <w:sz w:val="32"/>
          <w:szCs w:val="32"/>
        </w:rPr>
      </w:pPr>
      <w:r>
        <w:rPr>
          <w:rFonts w:hint="eastAsia" w:ascii="仿宋" w:hAnsi="仿宋" w:eastAsia="仿宋" w:cs="仿宋"/>
          <w:sz w:val="32"/>
          <w:szCs w:val="32"/>
        </w:rPr>
        <w:t>对个人和家庭的补助</w:t>
      </w:r>
      <w:r>
        <w:rPr>
          <w:rFonts w:hint="eastAsia" w:ascii="仿宋" w:hAnsi="仿宋" w:eastAsia="仿宋" w:cs="仿宋"/>
          <w:sz w:val="32"/>
        </w:rPr>
        <w:t>194.37</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146.09%</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有的项</w:t>
      </w:r>
      <w:r>
        <w:rPr>
          <w:rFonts w:hint="eastAsia" w:ascii="仿宋" w:hAnsi="仿宋" w:eastAsia="仿宋" w:cs="仿宋"/>
          <w:spacing w:val="-8"/>
          <w:sz w:val="32"/>
          <w:szCs w:val="32"/>
          <w:lang w:bidi="ar"/>
        </w:rPr>
        <w:t>目年初预算时没计划在此开支，年中进行调整在该项目开支。</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：30304抚恤金25.09万元，30305生活补助169.26万元，30399其他对个人和家庭的补助0.02万元。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hint="eastAsia" w:ascii="仿宋" w:hAnsi="仿宋" w:eastAsia="仿宋" w:cs="仿宋"/>
          <w:sz w:val="32"/>
          <w:szCs w:val="32"/>
        </w:rPr>
      </w:pPr>
    </w:p>
    <w:p>
      <w:pPr>
        <w:numPr>
          <w:ilvl w:val="0"/>
          <w:numId w:val="1"/>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hint="eastAsia" w:ascii="仿宋" w:hAnsi="仿宋" w:eastAsia="仿宋" w:cs="仿宋"/>
          <w:sz w:val="32"/>
          <w:szCs w:val="32"/>
        </w:rPr>
      </w:pPr>
    </w:p>
    <w:p>
      <w:pPr>
        <w:numPr>
          <w:ilvl w:val="0"/>
          <w:numId w:val="1"/>
        </w:numPr>
        <w:jc w:val="left"/>
        <w:rPr>
          <w:rFonts w:hint="eastAsia" w:ascii="仿宋" w:hAnsi="仿宋" w:eastAsia="仿宋" w:cs="仿宋"/>
          <w:color w:val="FF0000"/>
          <w:spacing w:val="-12"/>
          <w:sz w:val="32"/>
          <w:szCs w:val="32"/>
        </w:rPr>
      </w:pPr>
      <w:r>
        <w:rPr>
          <w:rFonts w:hint="eastAsia" w:ascii="仿宋" w:hAnsi="仿宋" w:eastAsia="仿宋" w:cs="仿宋"/>
          <w:spacing w:val="-12"/>
          <w:sz w:val="32"/>
          <w:szCs w:val="32"/>
        </w:rPr>
        <w:t>资本性支出</w:t>
      </w:r>
      <w:r>
        <w:rPr>
          <w:rFonts w:hint="eastAsia" w:ascii="仿宋" w:hAnsi="仿宋" w:eastAsia="仿宋" w:cs="仿宋"/>
          <w:spacing w:val="-12"/>
          <w:sz w:val="32"/>
        </w:rPr>
        <w:t>0</w:t>
      </w:r>
      <w:r>
        <w:rPr>
          <w:rFonts w:ascii="仿宋" w:hAnsi="仿宋" w:eastAsia="仿宋" w:cs="仿宋"/>
          <w:spacing w:val="-12"/>
          <w:sz w:val="32"/>
        </w:rPr>
        <w:t>万元，</w:t>
      </w:r>
      <w:r>
        <w:rPr>
          <w:rFonts w:ascii="仿宋_GB2312" w:hAnsi="微软雅黑" w:eastAsia="仿宋_GB2312" w:cs="仿宋_GB2312"/>
          <w:color w:val="000000"/>
          <w:spacing w:val="-12"/>
          <w:sz w:val="31"/>
          <w:szCs w:val="31"/>
          <w:shd w:val="clear" w:color="auto" w:fill="FFFFFF"/>
        </w:rPr>
        <w:t>完成年初预算的</w:t>
      </w:r>
      <w:r>
        <w:rPr>
          <w:rFonts w:hint="eastAsia" w:ascii="仿宋" w:hAnsi="仿宋" w:eastAsia="仿宋" w:cs="仿宋"/>
          <w:spacing w:val="-12"/>
          <w:sz w:val="32"/>
          <w:szCs w:val="32"/>
        </w:rPr>
        <w:t>0%</w:t>
      </w:r>
      <w:r>
        <w:rPr>
          <w:rFonts w:ascii="仿宋_GB2312" w:hAnsi="微软雅黑" w:eastAsia="仿宋_GB2312" w:cs="仿宋_GB2312"/>
          <w:color w:val="000000"/>
          <w:spacing w:val="-12"/>
          <w:sz w:val="31"/>
          <w:szCs w:val="31"/>
          <w:shd w:val="clear" w:color="auto" w:fill="FFFFFF"/>
        </w:rPr>
        <w:t>，</w:t>
      </w:r>
      <w:r>
        <w:rPr>
          <w:rFonts w:hint="eastAsia" w:ascii="仿宋" w:hAnsi="仿宋" w:eastAsia="仿宋" w:cs="仿宋"/>
          <w:spacing w:val="-12"/>
          <w:sz w:val="32"/>
          <w:szCs w:val="32"/>
        </w:rPr>
        <w:t>（简</w:t>
      </w:r>
      <w:r>
        <w:rPr>
          <w:rFonts w:hint="eastAsia" w:ascii="仿宋" w:hAnsi="仿宋" w:eastAsia="仿宋" w:cs="仿宋"/>
          <w:spacing w:val="-4"/>
          <w:sz w:val="32"/>
          <w:szCs w:val="32"/>
        </w:rPr>
        <w:t>要说明预决算差异）</w:t>
      </w:r>
      <w:r>
        <w:rPr>
          <w:rFonts w:hint="eastAsia" w:ascii="仿宋" w:hAnsi="仿宋" w:eastAsia="仿宋" w:cs="仿宋"/>
          <w:color w:val="000000" w:themeColor="text1"/>
          <w:spacing w:val="-4"/>
          <w:sz w:val="32"/>
          <w:szCs w:val="32"/>
          <w:lang w:bidi="ar"/>
          <w14:textFill>
            <w14:solidFill>
              <w14:schemeClr w14:val="tx1"/>
            </w14:solidFill>
          </w14:textFill>
        </w:rPr>
        <w:t>主要原因是：</w:t>
      </w:r>
      <w:r>
        <w:rPr>
          <w:rFonts w:hint="eastAsia" w:ascii="仿宋" w:hAnsi="仿宋" w:eastAsia="仿宋" w:cs="仿宋"/>
          <w:spacing w:val="-4"/>
          <w:sz w:val="32"/>
          <w:szCs w:val="32"/>
          <w:lang w:bidi="ar"/>
        </w:rPr>
        <w:t>有的项目年初预算时没计划在此开支，年中进行调整在该项目开支</w:t>
      </w:r>
      <w:r>
        <w:rPr>
          <w:rFonts w:hint="eastAsia" w:ascii="仿宋" w:hAnsi="仿宋" w:eastAsia="仿宋" w:cs="仿宋"/>
          <w:spacing w:val="-12"/>
          <w:sz w:val="32"/>
          <w:szCs w:val="32"/>
          <w:lang w:bidi="ar"/>
        </w:rPr>
        <w:t>。</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：无开支。</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hint="eastAsia" w:ascii="仿宋" w:hAnsi="仿宋" w:eastAsia="仿宋" w:cs="仿宋"/>
          <w:sz w:val="32"/>
          <w:szCs w:val="32"/>
        </w:rPr>
      </w:pPr>
    </w:p>
    <w:p>
      <w:pPr>
        <w:numPr>
          <w:ilvl w:val="0"/>
          <w:numId w:val="1"/>
        </w:numPr>
        <w:jc w:val="left"/>
        <w:rPr>
          <w:rFonts w:hint="eastAsia"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 w:hAnsi="仿宋" w:eastAsia="仿宋" w:cs="仿宋"/>
          <w:color w:val="000000" w:themeColor="text1"/>
          <w:sz w:val="32"/>
          <w:szCs w:val="32"/>
          <w:lang w:bidi="ar"/>
          <w14:textFill>
            <w14:solidFill>
              <w14:schemeClr w14:val="tx1"/>
            </w14:solidFill>
          </w14:textFill>
        </w:rPr>
        <w:t>。</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hint="eastAsia" w:ascii="仿宋" w:hAnsi="仿宋" w:eastAsia="仿宋" w:cs="仿宋"/>
          <w:sz w:val="32"/>
          <w:szCs w:val="32"/>
        </w:rPr>
      </w:pPr>
    </w:p>
    <w:p>
      <w:pPr>
        <w:rPr>
          <w:rFonts w:hint="eastAsia" w:ascii="仿宋" w:hAnsi="仿宋" w:eastAsia="仿宋" w:cs="仿宋"/>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环江毛南族自治县川山镇中心小学2023年度政府性基</w:t>
      </w:r>
      <w:r>
        <w:rPr>
          <w:rFonts w:hint="eastAsia" w:ascii="仿宋" w:hAnsi="仿宋" w:eastAsia="仿宋" w:cs="仿宋"/>
          <w:spacing w:val="-4"/>
          <w:sz w:val="32"/>
          <w:szCs w:val="32"/>
        </w:rPr>
        <w:t>金支出1.95万元，较2022年度决算数</w:t>
      </w:r>
      <w:r>
        <w:rPr>
          <w:rFonts w:ascii="仿宋" w:hAnsi="仿宋" w:eastAsia="仿宋" w:cs="仿宋"/>
          <w:spacing w:val="-4"/>
          <w:sz w:val="32"/>
          <w:szCs w:val="32"/>
        </w:rPr>
        <w:t>减少</w:t>
      </w:r>
      <w:r>
        <w:rPr>
          <w:rFonts w:hint="eastAsia" w:ascii="仿宋" w:hAnsi="仿宋" w:eastAsia="仿宋" w:cs="仿宋"/>
          <w:spacing w:val="-4"/>
          <w:sz w:val="32"/>
          <w:szCs w:val="32"/>
        </w:rPr>
        <w:t>0.39万元，</w:t>
      </w:r>
      <w:r>
        <w:rPr>
          <w:rFonts w:ascii="仿宋" w:hAnsi="仿宋" w:eastAsia="仿宋" w:cs="仿宋"/>
          <w:spacing w:val="-4"/>
          <w:sz w:val="32"/>
          <w:szCs w:val="32"/>
        </w:rPr>
        <w:t>下降</w:t>
      </w:r>
      <w:r>
        <w:rPr>
          <w:rFonts w:hint="eastAsia" w:ascii="仿宋" w:hAnsi="仿宋" w:eastAsia="仿宋" w:cs="仿宋"/>
          <w:spacing w:val="-4"/>
          <w:sz w:val="32"/>
          <w:szCs w:val="32"/>
        </w:rPr>
        <w:t>20.0</w:t>
      </w:r>
      <w:r>
        <w:rPr>
          <w:rFonts w:ascii="仿宋" w:hAnsi="仿宋" w:eastAsia="仿宋" w:cs="仿宋"/>
          <w:spacing w:val="-4"/>
          <w:sz w:val="32"/>
          <w:szCs w:val="32"/>
        </w:rPr>
        <w:t>0%</w:t>
      </w:r>
      <w:r>
        <w:rPr>
          <w:rFonts w:hint="eastAsia" w:ascii="仿宋" w:hAnsi="仿宋" w:eastAsia="仿宋" w:cs="仿宋"/>
          <w:spacing w:val="-4"/>
          <w:sz w:val="32"/>
          <w:szCs w:val="32"/>
        </w:rPr>
        <w:t>其中：基本支出</w:t>
      </w:r>
      <w:r>
        <w:rPr>
          <w:rFonts w:ascii="仿宋" w:hAnsi="仿宋" w:eastAsia="仿宋" w:cs="仿宋"/>
          <w:spacing w:val="-4"/>
          <w:sz w:val="32"/>
          <w:szCs w:val="32"/>
        </w:rPr>
        <w:t>0.00</w:t>
      </w:r>
      <w:r>
        <w:rPr>
          <w:rFonts w:hint="eastAsia" w:ascii="仿宋" w:hAnsi="仿宋" w:eastAsia="仿宋" w:cs="仿宋"/>
          <w:spacing w:val="-4"/>
          <w:sz w:val="32"/>
          <w:szCs w:val="32"/>
        </w:rPr>
        <w:t>万元，项目支出1.95万元。</w:t>
      </w:r>
    </w:p>
    <w:p>
      <w:pPr>
        <w:ind w:firstLine="640" w:firstLineChars="200"/>
        <w:jc w:val="left"/>
        <w:rPr>
          <w:rFonts w:hint="eastAsia" w:ascii="仿宋" w:hAnsi="仿宋" w:eastAsia="仿宋" w:cs="仿宋"/>
          <w:spacing w:val="-4"/>
          <w:sz w:val="32"/>
          <w:szCs w:val="32"/>
        </w:rPr>
      </w:pPr>
      <w:r>
        <w:rPr>
          <w:rFonts w:hint="eastAsia" w:ascii="仿宋" w:hAnsi="仿宋" w:eastAsia="仿宋" w:cs="仿宋"/>
          <w:sz w:val="32"/>
          <w:szCs w:val="32"/>
        </w:rPr>
        <w:t>环江毛南族自治县川山镇中心小学2023年度政府性基</w:t>
      </w:r>
      <w:r>
        <w:rPr>
          <w:rFonts w:hint="eastAsia" w:ascii="仿宋" w:hAnsi="仿宋" w:eastAsia="仿宋" w:cs="仿宋"/>
          <w:spacing w:val="-4"/>
          <w:sz w:val="32"/>
          <w:szCs w:val="32"/>
        </w:rPr>
        <w:t>金支出年初预算为</w:t>
      </w:r>
      <w:r>
        <w:rPr>
          <w:rFonts w:ascii="仿宋" w:hAnsi="仿宋" w:eastAsia="仿宋" w:cs="仿宋"/>
          <w:spacing w:val="-4"/>
          <w:sz w:val="32"/>
          <w:szCs w:val="32"/>
        </w:rPr>
        <w:t>0.00</w:t>
      </w:r>
      <w:r>
        <w:rPr>
          <w:rFonts w:hint="eastAsia" w:ascii="仿宋" w:hAnsi="仿宋" w:eastAsia="仿宋" w:cs="仿宋"/>
          <w:spacing w:val="-4"/>
          <w:sz w:val="32"/>
          <w:szCs w:val="32"/>
        </w:rPr>
        <w:t>万元，支出决算为1.95万元，完成年初预算的</w:t>
      </w:r>
      <w:r>
        <w:rPr>
          <w:rFonts w:ascii="仿宋" w:hAnsi="仿宋" w:eastAsia="仿宋" w:cs="仿宋"/>
          <w:spacing w:val="-4"/>
          <w:sz w:val="32"/>
          <w:szCs w:val="32"/>
        </w:rPr>
        <w:t>100%</w:t>
      </w:r>
      <w:r>
        <w:rPr>
          <w:rFonts w:hint="eastAsia" w:ascii="仿宋" w:hAnsi="仿宋" w:eastAsia="仿宋" w:cs="仿宋"/>
          <w:spacing w:val="-4"/>
          <w:sz w:val="32"/>
          <w:szCs w:val="32"/>
        </w:rPr>
        <w:t>。</w:t>
      </w:r>
    </w:p>
    <w:p>
      <w:pPr>
        <w:ind w:firstLine="640" w:firstLineChars="200"/>
        <w:jc w:val="left"/>
        <w:rPr>
          <w:rFonts w:hint="eastAsia" w:ascii="仿宋" w:hAnsi="仿宋" w:eastAsia="仿宋" w:cs="仿宋"/>
          <w:kern w:val="0"/>
          <w:sz w:val="32"/>
          <w:szCs w:val="32"/>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rPr>
        <w:t>1)其他支出</w:t>
      </w:r>
      <w:r>
        <w:rPr>
          <w:rFonts w:hint="eastAsia" w:ascii="仿宋" w:hAnsi="仿宋" w:eastAsia="仿宋" w:cs="仿宋"/>
          <w:color w:val="000000"/>
          <w:sz w:val="32"/>
          <w:szCs w:val="32"/>
          <w:shd w:val="clear" w:color="auto" w:fill="FFFFFF"/>
        </w:rPr>
        <w:t>（类）彩票公益金安排的支出（款</w:t>
      </w:r>
      <w:r>
        <w:rPr>
          <w:rFonts w:hint="eastAsia" w:ascii="仿宋_GB2312" w:hAnsi="仿宋_GB2312" w:eastAsia="仿宋_GB2312" w:cs="仿宋_GB2312"/>
          <w:color w:val="000000"/>
          <w:sz w:val="32"/>
          <w:szCs w:val="32"/>
          <w:shd w:val="clear" w:color="auto" w:fill="FFFFFF"/>
        </w:rPr>
        <w:t>）</w:t>
      </w:r>
      <w:r>
        <w:rPr>
          <w:rFonts w:hint="eastAsia" w:ascii="仿宋" w:hAnsi="仿宋" w:eastAsia="仿宋" w:cs="仿宋"/>
          <w:color w:val="000000"/>
          <w:sz w:val="32"/>
          <w:szCs w:val="32"/>
          <w:shd w:val="clear" w:color="auto" w:fill="FFFFFF"/>
        </w:rPr>
        <w:t xml:space="preserve">  用</w:t>
      </w:r>
      <w:r>
        <w:rPr>
          <w:rFonts w:hint="eastAsia" w:ascii="仿宋" w:hAnsi="仿宋" w:eastAsia="仿宋" w:cs="仿宋"/>
          <w:color w:val="000000"/>
          <w:spacing w:val="-4"/>
          <w:sz w:val="32"/>
          <w:szCs w:val="32"/>
          <w:shd w:val="clear" w:color="auto" w:fill="FFFFFF"/>
        </w:rPr>
        <w:t>于教育事业的彩票公益金支出（项）年初预算为</w:t>
      </w:r>
      <w:r>
        <w:rPr>
          <w:rFonts w:ascii="仿宋" w:hAnsi="仿宋" w:eastAsia="仿宋" w:cs="仿宋"/>
          <w:color w:val="000000"/>
          <w:spacing w:val="-4"/>
          <w:sz w:val="32"/>
        </w:rPr>
        <w:t>0.00</w:t>
      </w:r>
      <w:r>
        <w:rPr>
          <w:rFonts w:hint="eastAsia" w:ascii="仿宋" w:hAnsi="仿宋" w:eastAsia="仿宋" w:cs="仿宋"/>
          <w:color w:val="000000"/>
          <w:spacing w:val="-4"/>
          <w:sz w:val="32"/>
          <w:szCs w:val="32"/>
          <w:shd w:val="clear" w:color="auto" w:fill="FFFFFF"/>
        </w:rPr>
        <w:t>万元，</w:t>
      </w:r>
      <w:r>
        <w:rPr>
          <w:rFonts w:hint="eastAsia" w:ascii="仿宋" w:hAnsi="仿宋" w:eastAsia="仿宋" w:cs="仿宋"/>
          <w:color w:val="000000"/>
          <w:sz w:val="32"/>
          <w:szCs w:val="32"/>
          <w:shd w:val="clear" w:color="auto" w:fill="FFFFFF"/>
        </w:rPr>
        <w:t>支出决算为</w:t>
      </w:r>
      <w:r>
        <w:rPr>
          <w:rFonts w:hint="eastAsia" w:ascii="仿宋" w:hAnsi="仿宋" w:eastAsia="仿宋" w:cs="仿宋"/>
          <w:color w:val="000000"/>
          <w:sz w:val="32"/>
        </w:rPr>
        <w:t>1.95</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预决算差异原因是：</w:t>
      </w:r>
      <w:r>
        <w:rPr>
          <w:rFonts w:hint="eastAsia" w:ascii="仿宋" w:hAnsi="仿宋" w:eastAsia="仿宋" w:cs="仿宋"/>
          <w:color w:val="000000" w:themeColor="text1"/>
          <w:sz w:val="32"/>
          <w:szCs w:val="32"/>
          <w:lang w:bidi="ar"/>
          <w14:textFill>
            <w14:solidFill>
              <w14:schemeClr w14:val="tx1"/>
            </w14:solidFill>
          </w14:textFill>
        </w:rPr>
        <w:t>少年宫活动支出。</w:t>
      </w:r>
    </w:p>
    <w:p>
      <w:pPr>
        <w:jc w:val="left"/>
        <w:rPr>
          <w:rFonts w:hint="eastAsia" w:ascii="仿宋" w:hAnsi="仿宋" w:eastAsia="仿宋" w:cs="仿宋"/>
          <w:sz w:val="32"/>
          <w:szCs w:val="32"/>
        </w:rPr>
      </w:pPr>
      <w:r>
        <w:rPr>
          <w:rFonts w:hint="eastAsia" w:ascii="黑体" w:hAnsi="黑体" w:eastAsia="黑体" w:cs="黑体"/>
          <w:sz w:val="32"/>
          <w:szCs w:val="32"/>
        </w:rPr>
        <w:t>五、2023年度国有资本经营预算支出决算情况</w:t>
      </w:r>
    </w:p>
    <w:p>
      <w:pPr>
        <w:spacing w:line="640" w:lineRule="exact"/>
        <w:ind w:firstLine="632" w:firstLineChars="200"/>
        <w:jc w:val="left"/>
        <w:rPr>
          <w:rFonts w:hint="eastAsia" w:ascii="仿宋" w:hAnsi="仿宋" w:eastAsia="仿宋" w:cs="仿宋"/>
          <w:spacing w:val="-4"/>
          <w:sz w:val="32"/>
          <w:szCs w:val="32"/>
        </w:rPr>
      </w:pPr>
      <w:r>
        <w:rPr>
          <w:rFonts w:hint="eastAsia" w:ascii="仿宋" w:hAnsi="仿宋" w:eastAsia="仿宋" w:cs="仿宋"/>
          <w:spacing w:val="-2"/>
          <w:sz w:val="32"/>
          <w:szCs w:val="32"/>
        </w:rPr>
        <w:t>环江毛南族自治县川山镇中心小学2023年度国有资本经营预算支出</w:t>
      </w:r>
      <w:r>
        <w:rPr>
          <w:rFonts w:ascii="仿宋" w:hAnsi="仿宋" w:eastAsia="仿宋" w:cs="仿宋"/>
          <w:spacing w:val="-2"/>
          <w:sz w:val="32"/>
          <w:szCs w:val="32"/>
        </w:rPr>
        <w:t>0.00</w:t>
      </w:r>
      <w:r>
        <w:rPr>
          <w:rFonts w:hint="eastAsia" w:ascii="仿宋" w:hAnsi="仿宋" w:eastAsia="仿宋" w:cs="仿宋"/>
          <w:spacing w:val="-2"/>
          <w:sz w:val="32"/>
          <w:szCs w:val="32"/>
        </w:rPr>
        <w:t>万元。其中：基本支出</w:t>
      </w:r>
      <w:r>
        <w:rPr>
          <w:rFonts w:ascii="仿宋" w:hAnsi="仿宋" w:eastAsia="仿宋" w:cs="仿宋"/>
          <w:spacing w:val="-2"/>
          <w:sz w:val="32"/>
          <w:szCs w:val="32"/>
        </w:rPr>
        <w:t>0.00</w:t>
      </w:r>
      <w:r>
        <w:rPr>
          <w:rFonts w:hint="eastAsia" w:ascii="仿宋" w:hAnsi="仿宋" w:eastAsia="仿宋" w:cs="仿宋"/>
          <w:spacing w:val="-2"/>
          <w:sz w:val="32"/>
          <w:szCs w:val="32"/>
        </w:rPr>
        <w:t>万元，项目</w:t>
      </w:r>
      <w:r>
        <w:rPr>
          <w:rFonts w:hint="eastAsia" w:ascii="仿宋" w:hAnsi="仿宋" w:eastAsia="仿宋" w:cs="仿宋"/>
          <w:spacing w:val="-4"/>
          <w:sz w:val="32"/>
          <w:szCs w:val="32"/>
        </w:rPr>
        <w:t>支出</w:t>
      </w:r>
      <w:r>
        <w:rPr>
          <w:rFonts w:ascii="仿宋" w:hAnsi="仿宋" w:eastAsia="仿宋" w:cs="仿宋"/>
          <w:spacing w:val="-4"/>
          <w:sz w:val="32"/>
          <w:szCs w:val="32"/>
        </w:rPr>
        <w:t>0.00</w:t>
      </w:r>
      <w:r>
        <w:rPr>
          <w:rFonts w:hint="eastAsia" w:ascii="仿宋" w:hAnsi="仿宋" w:eastAsia="仿宋" w:cs="仿宋"/>
          <w:spacing w:val="-4"/>
          <w:sz w:val="32"/>
          <w:szCs w:val="32"/>
        </w:rPr>
        <w:t>万元。</w:t>
      </w:r>
    </w:p>
    <w:p>
      <w:pPr>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环江毛南族自治县川山镇中心小学2023年度国有资本</w:t>
      </w:r>
      <w:r>
        <w:rPr>
          <w:rFonts w:hint="eastAsia" w:ascii="仿宋" w:hAnsi="仿宋" w:eastAsia="仿宋" w:cs="仿宋"/>
          <w:spacing w:val="-8"/>
          <w:sz w:val="32"/>
          <w:szCs w:val="32"/>
        </w:rPr>
        <w:t>经营预算支出年初预算为</w:t>
      </w:r>
      <w:r>
        <w:rPr>
          <w:rFonts w:ascii="仿宋" w:hAnsi="仿宋" w:eastAsia="仿宋" w:cs="仿宋"/>
          <w:spacing w:val="-8"/>
          <w:sz w:val="32"/>
          <w:szCs w:val="32"/>
        </w:rPr>
        <w:t>0.00</w:t>
      </w:r>
      <w:r>
        <w:rPr>
          <w:rFonts w:hint="eastAsia" w:ascii="仿宋" w:hAnsi="仿宋" w:eastAsia="仿宋" w:cs="仿宋"/>
          <w:spacing w:val="-8"/>
          <w:sz w:val="32"/>
          <w:szCs w:val="32"/>
        </w:rPr>
        <w:t>万元，支出决算为</w:t>
      </w:r>
      <w:r>
        <w:rPr>
          <w:rFonts w:ascii="仿宋" w:hAnsi="仿宋" w:eastAsia="仿宋" w:cs="仿宋"/>
          <w:spacing w:val="-8"/>
          <w:sz w:val="32"/>
          <w:szCs w:val="32"/>
        </w:rPr>
        <w:t>0.00</w:t>
      </w:r>
      <w:r>
        <w:rPr>
          <w:rFonts w:hint="eastAsia" w:ascii="仿宋" w:hAnsi="仿宋" w:eastAsia="仿宋" w:cs="仿宋"/>
          <w:spacing w:val="-8"/>
          <w:sz w:val="32"/>
          <w:szCs w:val="32"/>
        </w:rPr>
        <w:t>万元，</w:t>
      </w:r>
      <w:r>
        <w:rPr>
          <w:rFonts w:hint="eastAsia" w:ascii="仿宋" w:hAnsi="仿宋" w:eastAsia="仿宋" w:cs="仿宋"/>
          <w:sz w:val="32"/>
          <w:szCs w:val="32"/>
        </w:rPr>
        <w:t>完成年初预算的</w:t>
      </w:r>
      <w:r>
        <w:rPr>
          <w:rFonts w:ascii="仿宋" w:hAnsi="仿宋" w:eastAsia="仿宋" w:cs="仿宋"/>
          <w:sz w:val="32"/>
          <w:szCs w:val="32"/>
        </w:rPr>
        <w:t>0%</w:t>
      </w:r>
      <w:r>
        <w:rPr>
          <w:rFonts w:hint="eastAsia" w:ascii="仿宋" w:hAnsi="仿宋" w:eastAsia="仿宋" w:cs="仿宋"/>
          <w:sz w:val="32"/>
          <w:szCs w:val="32"/>
        </w:rPr>
        <w:t>。</w:t>
      </w:r>
    </w:p>
    <w:p>
      <w:pPr>
        <w:spacing w:line="640" w:lineRule="exact"/>
        <w:ind w:firstLine="640" w:firstLineChars="200"/>
        <w:jc w:val="left"/>
        <w:rPr>
          <w:rFonts w:hint="eastAsia" w:ascii="仿宋" w:hAnsi="仿宋" w:eastAsia="仿宋" w:cs="仿宋"/>
          <w:spacing w:val="-6"/>
          <w:sz w:val="32"/>
          <w:szCs w:val="32"/>
        </w:rPr>
      </w:pPr>
      <w:bookmarkStart w:id="5"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环江毛南族自治县川山镇中心小学</w:t>
      </w:r>
      <w:r>
        <w:rPr>
          <w:rFonts w:ascii="仿宋_GB2312" w:hAnsi="仿宋_GB2312" w:eastAsia="仿宋_GB2312" w:cs="仿宋_GB2312"/>
          <w:color w:val="000000" w:themeColor="text1"/>
          <w:sz w:val="32"/>
          <w14:textFill>
            <w14:solidFill>
              <w14:schemeClr w14:val="tx1"/>
            </w14:solidFill>
          </w14:textFill>
        </w:rPr>
        <w:t>没有国有资本经营</w:t>
      </w:r>
      <w:r>
        <w:rPr>
          <w:rFonts w:ascii="仿宋_GB2312" w:hAnsi="仿宋_GB2312" w:eastAsia="仿宋_GB2312" w:cs="仿宋_GB2312"/>
          <w:color w:val="000000" w:themeColor="text1"/>
          <w:spacing w:val="-2"/>
          <w:sz w:val="32"/>
          <w14:textFill>
            <w14:solidFill>
              <w14:schemeClr w14:val="tx1"/>
            </w14:solidFill>
          </w14:textFill>
        </w:rPr>
        <w:t>预算收入，也没有国有资本经营预算收入</w:t>
      </w:r>
      <w:r>
        <w:rPr>
          <w:rFonts w:hint="eastAsia" w:ascii="仿宋_GB2312" w:hAnsi="Times New Roman" w:eastAsia="仿宋_GB2312" w:cs="Times New Roman"/>
          <w:color w:val="000000" w:themeColor="text1"/>
          <w:spacing w:val="-2"/>
          <w:sz w:val="32"/>
          <w:szCs w:val="32"/>
          <w14:textFill>
            <w14:solidFill>
              <w14:schemeClr w14:val="tx1"/>
            </w14:solidFill>
          </w14:textFill>
        </w:rPr>
        <w:t>。安排的支出，故本段落无表述。</w:t>
      </w:r>
      <w:bookmarkEnd w:id="5"/>
    </w:p>
    <w:p>
      <w:pPr>
        <w:spacing w:line="640" w:lineRule="exact"/>
        <w:jc w:val="left"/>
        <w:rPr>
          <w:rFonts w:hint="eastAsia" w:ascii="仿宋" w:hAnsi="仿宋" w:eastAsia="仿宋" w:cs="仿宋"/>
          <w:sz w:val="32"/>
          <w:szCs w:val="32"/>
        </w:rPr>
      </w:pPr>
      <w:r>
        <w:rPr>
          <w:rFonts w:hint="eastAsia" w:ascii="黑体" w:hAnsi="黑体" w:eastAsia="黑体" w:cs="黑体"/>
          <w:sz w:val="32"/>
          <w:szCs w:val="32"/>
        </w:rPr>
        <w:t>六、财政拨款“三公”经费支出决算情况说明</w:t>
      </w:r>
    </w:p>
    <w:p>
      <w:pPr>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p>
    <w:p>
      <w:pPr>
        <w:spacing w:line="640" w:lineRule="exact"/>
        <w:jc w:val="left"/>
        <w:rPr>
          <w:rFonts w:hint="eastAsia" w:ascii="仿宋" w:hAnsi="仿宋" w:eastAsia="仿宋" w:cs="仿宋"/>
          <w:sz w:val="32"/>
          <w:szCs w:val="32"/>
        </w:rPr>
      </w:pPr>
      <w:r>
        <w:rPr>
          <w:rFonts w:hint="eastAsia" w:ascii="黑体" w:hAnsi="黑体" w:eastAsia="黑体" w:cs="黑体"/>
          <w:sz w:val="32"/>
          <w:szCs w:val="32"/>
        </w:rPr>
        <w:t>七、其他重要事项情况说明</w:t>
      </w:r>
    </w:p>
    <w:p>
      <w:pPr>
        <w:spacing w:line="640" w:lineRule="exact"/>
        <w:jc w:val="left"/>
        <w:rPr>
          <w:rFonts w:hint="eastAsia" w:ascii="黑体" w:hAnsi="黑体" w:eastAsia="黑体" w:cs="黑体"/>
          <w:sz w:val="32"/>
          <w:szCs w:val="32"/>
        </w:rPr>
      </w:pPr>
      <w:r>
        <w:rPr>
          <w:rFonts w:hint="eastAsia" w:ascii="黑体" w:hAnsi="黑体" w:eastAsia="黑体" w:cs="黑体"/>
          <w:sz w:val="32"/>
          <w:szCs w:val="32"/>
        </w:rPr>
        <w:t>（一） 机关运行经费支出情况说明</w:t>
      </w:r>
    </w:p>
    <w:p>
      <w:pPr>
        <w:spacing w:line="640" w:lineRule="exact"/>
        <w:ind w:firstLine="592" w:firstLineChars="200"/>
        <w:jc w:val="left"/>
        <w:rPr>
          <w:rFonts w:hint="eastAsia" w:ascii="仿宋" w:hAnsi="仿宋" w:eastAsia="仿宋" w:cs="仿宋"/>
          <w:color w:val="FF0000"/>
          <w:spacing w:val="-12"/>
          <w:sz w:val="32"/>
          <w:szCs w:val="32"/>
        </w:rPr>
      </w:pPr>
      <w:r>
        <w:rPr>
          <w:rFonts w:hint="eastAsia" w:ascii="仿宋" w:hAnsi="仿宋" w:eastAsia="仿宋" w:cs="仿宋"/>
          <w:spacing w:val="-12"/>
          <w:sz w:val="32"/>
          <w:szCs w:val="32"/>
        </w:rPr>
        <w:t>本部门2023年度机关运行经费支出</w:t>
      </w:r>
      <w:r>
        <w:rPr>
          <w:rFonts w:ascii="仿宋" w:hAnsi="仿宋" w:eastAsia="仿宋" w:cs="仿宋"/>
          <w:spacing w:val="-12"/>
          <w:sz w:val="32"/>
          <w:szCs w:val="32"/>
        </w:rPr>
        <w:t>0.00</w:t>
      </w:r>
      <w:r>
        <w:rPr>
          <w:rFonts w:hint="eastAsia" w:ascii="仿宋" w:hAnsi="仿宋" w:eastAsia="仿宋" w:cs="仿宋"/>
          <w:spacing w:val="-12"/>
          <w:sz w:val="32"/>
          <w:szCs w:val="32"/>
        </w:rPr>
        <w:t>万元，比年初预算数</w:t>
      </w:r>
      <w:r>
        <w:rPr>
          <w:rFonts w:ascii="仿宋" w:hAnsi="仿宋" w:eastAsia="仿宋" w:cs="仿宋"/>
          <w:spacing w:val="-12"/>
          <w:sz w:val="32"/>
          <w:szCs w:val="32"/>
        </w:rPr>
        <w:t>减少0.00</w:t>
      </w:r>
      <w:r>
        <w:rPr>
          <w:rFonts w:hint="eastAsia" w:ascii="仿宋" w:hAnsi="仿宋" w:eastAsia="仿宋" w:cs="仿宋"/>
          <w:spacing w:val="-12"/>
          <w:sz w:val="32"/>
          <w:szCs w:val="32"/>
        </w:rPr>
        <w:t>万元，</w:t>
      </w:r>
      <w:r>
        <w:rPr>
          <w:rFonts w:ascii="仿宋" w:hAnsi="仿宋" w:eastAsia="仿宋" w:cs="仿宋"/>
          <w:spacing w:val="-12"/>
          <w:sz w:val="32"/>
          <w:szCs w:val="32"/>
        </w:rPr>
        <w:t>下降0.00%</w:t>
      </w:r>
      <w:r>
        <w:rPr>
          <w:rFonts w:hint="eastAsia" w:ascii="仿宋" w:hAnsi="仿宋" w:eastAsia="仿宋" w:cs="仿宋"/>
          <w:spacing w:val="-12"/>
          <w:sz w:val="32"/>
          <w:szCs w:val="32"/>
        </w:rPr>
        <w:t>，比上年决算数</w:t>
      </w:r>
      <w:r>
        <w:rPr>
          <w:rFonts w:ascii="仿宋" w:hAnsi="仿宋" w:eastAsia="仿宋" w:cs="仿宋"/>
          <w:spacing w:val="-12"/>
          <w:sz w:val="32"/>
          <w:szCs w:val="32"/>
        </w:rPr>
        <w:t>增加0.00</w:t>
      </w:r>
      <w:r>
        <w:rPr>
          <w:rFonts w:hint="eastAsia" w:ascii="仿宋" w:hAnsi="仿宋" w:eastAsia="仿宋" w:cs="仿宋"/>
          <w:spacing w:val="-12"/>
          <w:sz w:val="32"/>
          <w:szCs w:val="32"/>
        </w:rPr>
        <w:t>万元，</w:t>
      </w:r>
      <w:r>
        <w:rPr>
          <w:rFonts w:ascii="仿宋" w:hAnsi="仿宋" w:eastAsia="仿宋" w:cs="仿宋"/>
          <w:spacing w:val="-12"/>
          <w:sz w:val="32"/>
          <w:szCs w:val="32"/>
        </w:rPr>
        <w:t>增长0%</w:t>
      </w:r>
      <w:r>
        <w:rPr>
          <w:rFonts w:hint="eastAsia" w:ascii="仿宋" w:hAnsi="仿宋" w:eastAsia="仿宋" w:cs="仿宋"/>
          <w:spacing w:val="-12"/>
          <w:sz w:val="32"/>
          <w:szCs w:val="32"/>
        </w:rPr>
        <w:t>。</w:t>
      </w:r>
    </w:p>
    <w:p>
      <w:pPr>
        <w:spacing w:line="640" w:lineRule="exact"/>
        <w:jc w:val="left"/>
        <w:rPr>
          <w:rFonts w:hint="eastAsia" w:ascii="黑体" w:hAnsi="黑体" w:eastAsia="黑体" w:cs="黑体"/>
          <w:sz w:val="32"/>
          <w:szCs w:val="32"/>
        </w:rPr>
      </w:pPr>
      <w:r>
        <w:rPr>
          <w:rFonts w:hint="eastAsia" w:ascii="黑体" w:hAnsi="黑体" w:eastAsia="黑体" w:cs="黑体"/>
          <w:sz w:val="32"/>
          <w:szCs w:val="32"/>
        </w:rPr>
        <w:t>（二）政府采购支出情况说明</w:t>
      </w:r>
    </w:p>
    <w:p>
      <w:pPr>
        <w:spacing w:line="640" w:lineRule="exact"/>
        <w:ind w:firstLine="624" w:firstLineChars="200"/>
        <w:jc w:val="left"/>
        <w:rPr>
          <w:rFonts w:hint="eastAsia" w:ascii="仿宋" w:hAnsi="仿宋" w:eastAsia="仿宋" w:cs="仿宋"/>
          <w:sz w:val="32"/>
          <w:szCs w:val="32"/>
        </w:rPr>
      </w:pPr>
      <w:r>
        <w:rPr>
          <w:rFonts w:hint="eastAsia" w:ascii="仿宋" w:hAnsi="仿宋" w:eastAsia="仿宋" w:cs="仿宋"/>
          <w:spacing w:val="-4"/>
          <w:sz w:val="32"/>
          <w:szCs w:val="32"/>
        </w:rPr>
        <w:t>本部门2023年度政府采购支出总额</w:t>
      </w:r>
      <w:r>
        <w:rPr>
          <w:rFonts w:ascii="仿宋" w:hAnsi="仿宋" w:eastAsia="仿宋" w:cs="仿宋"/>
          <w:spacing w:val="-4"/>
          <w:sz w:val="32"/>
          <w:szCs w:val="32"/>
        </w:rPr>
        <w:t>0.00</w:t>
      </w:r>
      <w:r>
        <w:rPr>
          <w:rFonts w:hint="eastAsia" w:ascii="仿宋" w:hAnsi="仿宋" w:eastAsia="仿宋" w:cs="仿宋"/>
          <w:spacing w:val="-4"/>
          <w:sz w:val="32"/>
          <w:szCs w:val="32"/>
        </w:rPr>
        <w:t>万元，其中：</w:t>
      </w:r>
      <w:r>
        <w:rPr>
          <w:rFonts w:hint="eastAsia" w:ascii="仿宋" w:hAnsi="仿宋" w:eastAsia="仿宋" w:cs="仿宋"/>
          <w:spacing w:val="-8"/>
          <w:sz w:val="32"/>
          <w:szCs w:val="32"/>
        </w:rPr>
        <w:t>政府采购货物支出</w:t>
      </w:r>
      <w:r>
        <w:rPr>
          <w:rFonts w:ascii="仿宋" w:hAnsi="仿宋" w:eastAsia="仿宋" w:cs="仿宋"/>
          <w:spacing w:val="-8"/>
          <w:sz w:val="32"/>
          <w:szCs w:val="32"/>
        </w:rPr>
        <w:t>0.00</w:t>
      </w:r>
      <w:r>
        <w:rPr>
          <w:rFonts w:hint="eastAsia" w:ascii="仿宋" w:hAnsi="仿宋" w:eastAsia="仿宋" w:cs="仿宋"/>
          <w:spacing w:val="-8"/>
          <w:sz w:val="32"/>
          <w:szCs w:val="32"/>
        </w:rPr>
        <w:t>万元、政府采购工程支出</w:t>
      </w:r>
      <w:r>
        <w:rPr>
          <w:rFonts w:ascii="仿宋" w:hAnsi="仿宋" w:eastAsia="仿宋" w:cs="仿宋"/>
          <w:spacing w:val="-8"/>
          <w:sz w:val="32"/>
          <w:szCs w:val="32"/>
        </w:rPr>
        <w:t>0.00</w:t>
      </w:r>
      <w:r>
        <w:rPr>
          <w:rFonts w:hint="eastAsia" w:ascii="仿宋" w:hAnsi="仿宋" w:eastAsia="仿宋" w:cs="仿宋"/>
          <w:spacing w:val="-8"/>
          <w:sz w:val="32"/>
          <w:szCs w:val="32"/>
        </w:rPr>
        <w:t>万元、</w:t>
      </w:r>
      <w:r>
        <w:rPr>
          <w:rFonts w:hint="eastAsia" w:ascii="仿宋" w:hAnsi="仿宋" w:eastAsia="仿宋" w:cs="仿宋"/>
          <w:spacing w:val="-6"/>
          <w:sz w:val="32"/>
          <w:szCs w:val="32"/>
        </w:rPr>
        <w:t>政府采购服务支出</w:t>
      </w:r>
      <w:r>
        <w:rPr>
          <w:rFonts w:ascii="仿宋" w:hAnsi="仿宋" w:eastAsia="仿宋" w:cs="仿宋"/>
          <w:spacing w:val="-6"/>
          <w:sz w:val="32"/>
          <w:szCs w:val="32"/>
        </w:rPr>
        <w:t>0.00</w:t>
      </w:r>
      <w:r>
        <w:rPr>
          <w:rFonts w:hint="eastAsia" w:ascii="仿宋" w:hAnsi="仿宋" w:eastAsia="仿宋" w:cs="仿宋"/>
          <w:spacing w:val="-6"/>
          <w:sz w:val="32"/>
          <w:szCs w:val="32"/>
        </w:rPr>
        <w:t>万元。授予中小企业合同金额</w:t>
      </w:r>
      <w:r>
        <w:rPr>
          <w:rFonts w:ascii="仿宋" w:hAnsi="仿宋" w:eastAsia="仿宋" w:cs="仿宋"/>
          <w:spacing w:val="-6"/>
          <w:sz w:val="32"/>
          <w:szCs w:val="32"/>
        </w:rPr>
        <w:t>0.00</w:t>
      </w:r>
      <w:r>
        <w:rPr>
          <w:rFonts w:hint="eastAsia" w:ascii="仿宋" w:hAnsi="仿宋" w:eastAsia="仿宋" w:cs="仿宋"/>
          <w:spacing w:val="-6"/>
          <w:sz w:val="32"/>
          <w:szCs w:val="32"/>
        </w:rPr>
        <w:t>万</w:t>
      </w:r>
      <w:r>
        <w:rPr>
          <w:rFonts w:hint="eastAsia" w:ascii="仿宋" w:hAnsi="仿宋" w:eastAsia="仿宋" w:cs="仿宋"/>
          <w:spacing w:val="-8"/>
          <w:sz w:val="32"/>
          <w:szCs w:val="32"/>
        </w:rPr>
        <w:t>元，</w:t>
      </w:r>
      <w:r>
        <w:rPr>
          <w:rFonts w:hint="eastAsia" w:ascii="仿宋" w:hAnsi="仿宋" w:eastAsia="仿宋" w:cs="仿宋"/>
          <w:spacing w:val="-4"/>
          <w:sz w:val="32"/>
          <w:szCs w:val="32"/>
        </w:rPr>
        <w:t>占政府采购支出总额的</w:t>
      </w:r>
      <w:r>
        <w:rPr>
          <w:rFonts w:ascii="仿宋" w:hAnsi="仿宋" w:eastAsia="仿宋" w:cs="仿宋"/>
          <w:spacing w:val="-4"/>
          <w:sz w:val="32"/>
          <w:szCs w:val="32"/>
        </w:rPr>
        <w:t>0%</w:t>
      </w:r>
      <w:r>
        <w:rPr>
          <w:rFonts w:hint="eastAsia" w:ascii="仿宋" w:hAnsi="仿宋" w:eastAsia="仿宋" w:cs="仿宋"/>
          <w:spacing w:val="-4"/>
          <w:sz w:val="32"/>
          <w:szCs w:val="32"/>
        </w:rPr>
        <w:t>，其中：授予小微企业合同金额</w:t>
      </w:r>
      <w:r>
        <w:rPr>
          <w:rFonts w:ascii="仿宋" w:hAnsi="仿宋" w:eastAsia="仿宋" w:cs="仿宋"/>
          <w:spacing w:val="-4"/>
          <w:sz w:val="32"/>
          <w:szCs w:val="32"/>
        </w:rPr>
        <w:t>0.00</w:t>
      </w:r>
      <w:r>
        <w:rPr>
          <w:rFonts w:hint="eastAsia" w:ascii="仿宋" w:hAnsi="仿宋" w:eastAsia="仿宋" w:cs="仿宋"/>
          <w:spacing w:val="-4"/>
          <w:sz w:val="32"/>
          <w:szCs w:val="32"/>
        </w:rPr>
        <w:t>万元，占授予中小企业合同金额的</w:t>
      </w:r>
      <w:r>
        <w:rPr>
          <w:rFonts w:ascii="仿宋" w:hAnsi="仿宋" w:eastAsia="仿宋" w:cs="仿宋"/>
          <w:spacing w:val="-4"/>
          <w:sz w:val="32"/>
          <w:szCs w:val="32"/>
        </w:rPr>
        <w:t>0%</w:t>
      </w:r>
      <w:r>
        <w:rPr>
          <w:rFonts w:hint="eastAsia" w:ascii="仿宋" w:hAnsi="仿宋" w:eastAsia="仿宋" w:cs="仿宋"/>
          <w:spacing w:val="-4"/>
          <w:sz w:val="32"/>
          <w:szCs w:val="32"/>
        </w:rPr>
        <w:t>。</w:t>
      </w:r>
    </w:p>
    <w:p>
      <w:pPr>
        <w:spacing w:line="620" w:lineRule="exact"/>
        <w:jc w:val="left"/>
        <w:rPr>
          <w:rFonts w:hint="eastAsia" w:ascii="仿宋" w:hAnsi="仿宋" w:eastAsia="仿宋" w:cs="仿宋"/>
          <w:sz w:val="32"/>
          <w:szCs w:val="32"/>
        </w:rPr>
      </w:pPr>
      <w:r>
        <w:rPr>
          <w:rFonts w:hint="eastAsia" w:ascii="黑体" w:hAnsi="黑体" w:eastAsia="黑体" w:cs="黑体"/>
          <w:sz w:val="32"/>
          <w:szCs w:val="32"/>
        </w:rPr>
        <w:t>（三）国有资产占用情况说明</w:t>
      </w:r>
    </w:p>
    <w:p>
      <w:pPr>
        <w:spacing w:line="620" w:lineRule="exact"/>
        <w:ind w:firstLine="624" w:firstLineChars="200"/>
        <w:jc w:val="left"/>
        <w:rPr>
          <w:rFonts w:hint="eastAsia" w:ascii="仿宋" w:hAnsi="仿宋" w:eastAsia="仿宋" w:cs="仿宋"/>
          <w:sz w:val="32"/>
          <w:szCs w:val="32"/>
        </w:rPr>
      </w:pPr>
      <w:r>
        <w:rPr>
          <w:rFonts w:hint="eastAsia" w:ascii="仿宋" w:hAnsi="仿宋" w:eastAsia="仿宋" w:cs="仿宋"/>
          <w:spacing w:val="-4"/>
          <w:sz w:val="32"/>
          <w:szCs w:val="32"/>
        </w:rPr>
        <w:t>截至2023年12月31日，本部门共有车辆</w:t>
      </w:r>
      <w:r>
        <w:rPr>
          <w:rFonts w:ascii="仿宋" w:hAnsi="仿宋" w:eastAsia="仿宋" w:cs="仿宋"/>
          <w:spacing w:val="-4"/>
          <w:sz w:val="32"/>
          <w:szCs w:val="32"/>
        </w:rPr>
        <w:t>0</w:t>
      </w:r>
      <w:r>
        <w:rPr>
          <w:rFonts w:hint="eastAsia" w:ascii="仿宋" w:hAnsi="仿宋" w:eastAsia="仿宋" w:cs="仿宋"/>
          <w:spacing w:val="-4"/>
          <w:sz w:val="32"/>
          <w:szCs w:val="32"/>
        </w:rPr>
        <w:t>辆，其</w:t>
      </w:r>
      <w:r>
        <w:rPr>
          <w:rFonts w:hint="eastAsia" w:ascii="仿宋" w:hAnsi="仿宋" w:eastAsia="仿宋" w:cs="仿宋"/>
          <w:sz w:val="32"/>
          <w:szCs w:val="32"/>
        </w:rPr>
        <w:t>中：</w:t>
      </w:r>
      <w:r>
        <w:rPr>
          <w:rFonts w:hint="eastAsia" w:ascii="仿宋" w:hAnsi="仿宋" w:eastAsia="仿宋" w:cs="仿宋"/>
          <w:spacing w:val="-4"/>
          <w:sz w:val="32"/>
          <w:szCs w:val="32"/>
        </w:rPr>
        <w:t>副部（省）级领导干部用车</w:t>
      </w:r>
      <w:r>
        <w:rPr>
          <w:rFonts w:ascii="仿宋" w:hAnsi="仿宋" w:eastAsia="仿宋" w:cs="仿宋"/>
          <w:spacing w:val="-4"/>
          <w:sz w:val="32"/>
          <w:szCs w:val="32"/>
        </w:rPr>
        <w:t>0</w:t>
      </w:r>
      <w:r>
        <w:rPr>
          <w:rFonts w:hint="eastAsia" w:ascii="仿宋" w:hAnsi="仿宋" w:eastAsia="仿宋" w:cs="仿宋"/>
          <w:spacing w:val="-4"/>
          <w:sz w:val="32"/>
          <w:szCs w:val="32"/>
        </w:rPr>
        <w:t>辆、机要通信用车</w:t>
      </w:r>
      <w:r>
        <w:rPr>
          <w:rFonts w:ascii="仿宋" w:hAnsi="仿宋" w:eastAsia="仿宋" w:cs="仿宋"/>
          <w:spacing w:val="-4"/>
          <w:sz w:val="32"/>
          <w:szCs w:val="32"/>
        </w:rPr>
        <w:t>0</w:t>
      </w:r>
      <w:r>
        <w:rPr>
          <w:rFonts w:hint="eastAsia" w:ascii="仿宋" w:hAnsi="仿宋" w:eastAsia="仿宋" w:cs="仿宋"/>
          <w:spacing w:val="-4"/>
          <w:sz w:val="32"/>
          <w:szCs w:val="32"/>
        </w:rPr>
        <w:t>辆、应</w:t>
      </w:r>
      <w:r>
        <w:rPr>
          <w:rFonts w:hint="eastAsia" w:ascii="仿宋" w:hAnsi="仿宋" w:eastAsia="仿宋" w:cs="仿宋"/>
          <w:sz w:val="32"/>
          <w:szCs w:val="32"/>
        </w:rPr>
        <w:t>急</w:t>
      </w:r>
      <w:r>
        <w:rPr>
          <w:rFonts w:hint="eastAsia" w:ascii="仿宋" w:hAnsi="仿宋" w:eastAsia="仿宋" w:cs="仿宋"/>
          <w:spacing w:val="-8"/>
          <w:sz w:val="32"/>
          <w:szCs w:val="32"/>
        </w:rPr>
        <w:t>保障用车</w:t>
      </w:r>
      <w:r>
        <w:rPr>
          <w:rFonts w:ascii="仿宋" w:hAnsi="仿宋" w:eastAsia="仿宋" w:cs="仿宋"/>
          <w:spacing w:val="-8"/>
          <w:sz w:val="32"/>
          <w:szCs w:val="32"/>
        </w:rPr>
        <w:t>0</w:t>
      </w:r>
      <w:r>
        <w:rPr>
          <w:rFonts w:hint="eastAsia" w:ascii="仿宋" w:hAnsi="仿宋" w:eastAsia="仿宋" w:cs="仿宋"/>
          <w:spacing w:val="-8"/>
          <w:sz w:val="32"/>
          <w:szCs w:val="32"/>
        </w:rPr>
        <w:t>辆、执法执勤用车</w:t>
      </w:r>
      <w:r>
        <w:rPr>
          <w:rFonts w:ascii="仿宋" w:hAnsi="仿宋" w:eastAsia="仿宋" w:cs="仿宋"/>
          <w:spacing w:val="-8"/>
          <w:sz w:val="32"/>
          <w:szCs w:val="32"/>
        </w:rPr>
        <w:t>0</w:t>
      </w:r>
      <w:r>
        <w:rPr>
          <w:rFonts w:hint="eastAsia" w:ascii="仿宋" w:hAnsi="仿宋" w:eastAsia="仿宋" w:cs="仿宋"/>
          <w:spacing w:val="-8"/>
          <w:sz w:val="32"/>
          <w:szCs w:val="32"/>
        </w:rPr>
        <w:t>辆、特种专业技术用车</w:t>
      </w:r>
      <w:r>
        <w:rPr>
          <w:rFonts w:ascii="仿宋" w:hAnsi="仿宋" w:eastAsia="仿宋" w:cs="仿宋"/>
          <w:spacing w:val="-8"/>
          <w:sz w:val="32"/>
          <w:szCs w:val="32"/>
        </w:rPr>
        <w:t>0</w:t>
      </w:r>
      <w:r>
        <w:rPr>
          <w:rFonts w:hint="eastAsia" w:ascii="仿宋" w:hAnsi="仿宋" w:eastAsia="仿宋" w:cs="仿宋"/>
          <w:sz w:val="32"/>
          <w:szCs w:val="32"/>
        </w:rPr>
        <w:t>辆、</w:t>
      </w:r>
      <w:r>
        <w:rPr>
          <w:rFonts w:hint="eastAsia" w:ascii="仿宋" w:hAnsi="仿宋" w:eastAsia="仿宋" w:cs="仿宋"/>
          <w:spacing w:val="-4"/>
          <w:sz w:val="32"/>
          <w:szCs w:val="32"/>
        </w:rPr>
        <w:t>其他用车</w:t>
      </w:r>
      <w:r>
        <w:rPr>
          <w:rFonts w:ascii="仿宋" w:hAnsi="仿宋" w:eastAsia="仿宋" w:cs="仿宋"/>
          <w:spacing w:val="-4"/>
          <w:sz w:val="32"/>
          <w:szCs w:val="32"/>
        </w:rPr>
        <w:t>0</w:t>
      </w:r>
      <w:r>
        <w:rPr>
          <w:rFonts w:hint="eastAsia" w:ascii="仿宋" w:hAnsi="仿宋" w:eastAsia="仿宋" w:cs="仿宋"/>
          <w:spacing w:val="-4"/>
          <w:sz w:val="32"/>
          <w:szCs w:val="32"/>
        </w:rPr>
        <w:t>辆；单位价值50万元以上通用设备</w:t>
      </w:r>
      <w:r>
        <w:rPr>
          <w:rFonts w:ascii="仿宋" w:hAnsi="仿宋" w:eastAsia="仿宋" w:cs="仿宋"/>
          <w:spacing w:val="-4"/>
          <w:sz w:val="32"/>
          <w:szCs w:val="32"/>
        </w:rPr>
        <w:t>0</w:t>
      </w:r>
      <w:r>
        <w:rPr>
          <w:rFonts w:hint="eastAsia" w:ascii="仿宋" w:hAnsi="仿宋" w:eastAsia="仿宋" w:cs="仿宋"/>
          <w:spacing w:val="-4"/>
          <w:sz w:val="32"/>
          <w:szCs w:val="32"/>
        </w:rPr>
        <w:t>台</w:t>
      </w:r>
      <w:r>
        <w:rPr>
          <w:rFonts w:hint="eastAsia" w:ascii="仿宋" w:hAnsi="仿宋" w:eastAsia="仿宋" w:cs="仿宋"/>
          <w:sz w:val="32"/>
          <w:szCs w:val="32"/>
        </w:rPr>
        <w:t>（套）；单位价值100万元以上专用设备0台（套）。</w:t>
      </w:r>
    </w:p>
    <w:p>
      <w:pPr>
        <w:spacing w:line="620" w:lineRule="exact"/>
        <w:jc w:val="left"/>
        <w:rPr>
          <w:rFonts w:hint="eastAsia" w:ascii="仿宋" w:hAnsi="仿宋" w:eastAsia="仿宋" w:cs="仿宋"/>
          <w:sz w:val="32"/>
          <w:szCs w:val="32"/>
        </w:rPr>
      </w:pPr>
      <w:r>
        <w:rPr>
          <w:rFonts w:hint="eastAsia" w:ascii="黑体" w:hAnsi="黑体" w:eastAsia="黑体" w:cs="黑体"/>
          <w:sz w:val="32"/>
          <w:szCs w:val="32"/>
        </w:rPr>
        <w:t>（四）预算绩效管理工作开展情况</w:t>
      </w:r>
    </w:p>
    <w:p>
      <w:pPr>
        <w:spacing w:line="62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spacing w:line="62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根据财政预算管理要求，本部门组织对2023年度一般公共预算项目支出全面开展绩效自评。其中，一等项目22个，二等项目</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个，共涉及资金1140.08万元，占一般公共预算项目支出总额的61.89%。组织对2023年度一等</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个政府性基金预算项目支出开展绩效自评，共涉及资金1.52万元，占政府性基金预算项目支出总额的77.95%。</w:t>
      </w:r>
    </w:p>
    <w:p>
      <w:pPr>
        <w:spacing w:line="62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spacing w:line="62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我部门根据年初设定的绩效目标，对22个项目进行</w:t>
      </w:r>
      <w:r>
        <w:rPr>
          <w:rFonts w:hint="eastAsia" w:ascii="仿宋" w:hAnsi="仿宋" w:eastAsia="仿宋" w:cs="仿宋"/>
          <w:bCs/>
          <w:sz w:val="32"/>
          <w:szCs w:val="32"/>
        </w:rPr>
        <w:t>自</w:t>
      </w:r>
      <w:r>
        <w:rPr>
          <w:rFonts w:hint="eastAsia" w:ascii="仿宋" w:hAnsi="仿宋" w:eastAsia="仿宋" w:cs="仿宋"/>
          <w:bCs/>
          <w:spacing w:val="-4"/>
          <w:sz w:val="32"/>
          <w:szCs w:val="32"/>
        </w:rPr>
        <w:t>评，</w:t>
      </w:r>
      <w:r>
        <w:rPr>
          <w:rFonts w:hint="eastAsia" w:ascii="仿宋" w:hAnsi="仿宋" w:eastAsia="仿宋" w:cs="仿宋"/>
          <w:color w:val="000000" w:themeColor="text1"/>
          <w:spacing w:val="-4"/>
          <w:sz w:val="32"/>
          <w:szCs w:val="32"/>
          <w14:textFill>
            <w14:solidFill>
              <w14:schemeClr w14:val="tx1"/>
            </w14:solidFill>
          </w14:textFill>
        </w:rPr>
        <w:t>项目自评得分为100分14个，99.99分1个，9</w:t>
      </w:r>
      <w:r>
        <w:rPr>
          <w:rFonts w:ascii="仿宋" w:hAnsi="仿宋" w:eastAsia="仿宋" w:cs="仿宋"/>
          <w:color w:val="000000" w:themeColor="text1"/>
          <w:spacing w:val="-4"/>
          <w:sz w:val="32"/>
          <w:szCs w:val="32"/>
          <w14:textFill>
            <w14:solidFill>
              <w14:schemeClr w14:val="tx1"/>
            </w14:solidFill>
          </w14:textFill>
        </w:rPr>
        <w:t>9</w:t>
      </w:r>
      <w:r>
        <w:rPr>
          <w:rFonts w:hint="eastAsia" w:ascii="仿宋" w:hAnsi="仿宋" w:eastAsia="仿宋" w:cs="仿宋"/>
          <w:color w:val="000000" w:themeColor="text1"/>
          <w:spacing w:val="-4"/>
          <w:sz w:val="32"/>
          <w:szCs w:val="32"/>
          <w14:textFill>
            <w14:solidFill>
              <w14:schemeClr w14:val="tx1"/>
            </w14:solidFill>
          </w14:textFill>
        </w:rPr>
        <w:t>.94</w:t>
      </w:r>
      <w:r>
        <w:rPr>
          <w:rFonts w:hint="eastAsia" w:ascii="仿宋" w:hAnsi="仿宋" w:eastAsia="仿宋" w:cs="仿宋"/>
          <w:color w:val="000000" w:themeColor="text1"/>
          <w:sz w:val="32"/>
          <w:szCs w:val="32"/>
          <w14:textFill>
            <w14:solidFill>
              <w14:schemeClr w14:val="tx1"/>
            </w14:solidFill>
          </w14:textFill>
        </w:rPr>
        <w:t>分1个，9</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.64分1个，9</w:t>
      </w:r>
      <w:r>
        <w:rPr>
          <w:rFonts w:ascii="仿宋" w:hAnsi="仿宋" w:eastAsia="仿宋" w:cs="仿宋"/>
          <w:color w:val="000000" w:themeColor="text1"/>
          <w:sz w:val="32"/>
          <w:szCs w:val="32"/>
          <w14:textFill>
            <w14:solidFill>
              <w14:schemeClr w14:val="tx1"/>
            </w14:solidFill>
          </w14:textFill>
        </w:rPr>
        <w:t>9.2</w:t>
      </w:r>
      <w:r>
        <w:rPr>
          <w:rFonts w:hint="eastAsia" w:ascii="仿宋" w:hAnsi="仿宋" w:eastAsia="仿宋" w:cs="仿宋"/>
          <w:color w:val="000000" w:themeColor="text1"/>
          <w:sz w:val="32"/>
          <w:szCs w:val="32"/>
          <w14:textFill>
            <w14:solidFill>
              <w14:schemeClr w14:val="tx1"/>
            </w14:solidFill>
          </w14:textFill>
        </w:rPr>
        <w:t>3分1个，</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8.53</w:t>
      </w:r>
      <w:r>
        <w:rPr>
          <w:rFonts w:hint="eastAsia" w:ascii="仿宋" w:hAnsi="仿宋" w:eastAsia="仿宋" w:cs="仿宋"/>
          <w:color w:val="000000" w:themeColor="text1"/>
          <w:spacing w:val="-4"/>
          <w:sz w:val="32"/>
          <w:szCs w:val="32"/>
          <w14:textFill>
            <w14:solidFill>
              <w14:schemeClr w14:val="tx1"/>
            </w14:solidFill>
          </w14:textFill>
        </w:rPr>
        <w:t>分1个，98.25分1个，90分2个</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Arial Unicode MS"/>
          <w:sz w:val="32"/>
          <w:szCs w:val="32"/>
        </w:rPr>
        <w:t>我单位未能制定相关管</w:t>
      </w:r>
      <w:r>
        <w:rPr>
          <w:rFonts w:hint="eastAsia" w:ascii="仿宋" w:hAnsi="仿宋" w:eastAsia="仿宋" w:cs="Arial Unicode MS"/>
          <w:spacing w:val="-4"/>
          <w:sz w:val="32"/>
          <w:szCs w:val="32"/>
        </w:rPr>
        <w:t>理制度，在项目实施方面还有待完善</w:t>
      </w:r>
      <w:r>
        <w:rPr>
          <w:rFonts w:hint="eastAsia" w:ascii="仿宋" w:hAnsi="仿宋" w:eastAsia="仿宋" w:cs="仿宋"/>
          <w:color w:val="000000" w:themeColor="text1"/>
          <w:spacing w:val="-4"/>
          <w:sz w:val="32"/>
          <w:szCs w:val="32"/>
          <w14:textFill>
            <w14:solidFill>
              <w14:schemeClr w14:val="tx1"/>
            </w14:solidFill>
          </w14:textFill>
        </w:rPr>
        <w:t>；二是</w:t>
      </w:r>
      <w:r>
        <w:rPr>
          <w:rFonts w:hint="eastAsia" w:ascii="仿宋" w:hAnsi="仿宋" w:eastAsia="仿宋" w:cs="Arial Unicode MS"/>
          <w:spacing w:val="-4"/>
          <w:sz w:val="32"/>
          <w:szCs w:val="32"/>
        </w:rPr>
        <w:t>学校报账材料</w:t>
      </w:r>
      <w:r>
        <w:rPr>
          <w:rFonts w:hint="eastAsia" w:ascii="仿宋" w:hAnsi="仿宋" w:eastAsia="仿宋" w:cs="Arial Unicode MS"/>
          <w:sz w:val="32"/>
          <w:szCs w:val="32"/>
        </w:rPr>
        <w:t>整</w:t>
      </w:r>
      <w:r>
        <w:rPr>
          <w:rFonts w:hint="eastAsia" w:ascii="仿宋" w:hAnsi="仿宋" w:eastAsia="仿宋" w:cs="Arial Unicode MS"/>
          <w:spacing w:val="-4"/>
          <w:sz w:val="32"/>
          <w:szCs w:val="32"/>
        </w:rPr>
        <w:t>理比较慢，不能及时支付</w:t>
      </w:r>
      <w:r>
        <w:rPr>
          <w:rFonts w:hint="eastAsia" w:ascii="仿宋" w:hAnsi="仿宋" w:eastAsia="仿宋" w:cs="仿宋"/>
          <w:color w:val="000000" w:themeColor="text1"/>
          <w:spacing w:val="-4"/>
          <w:sz w:val="32"/>
          <w:szCs w:val="32"/>
          <w14:textFill>
            <w14:solidFill>
              <w14:schemeClr w14:val="tx1"/>
            </w14:solidFill>
          </w14:textFill>
        </w:rPr>
        <w:t>。下一步改进措施：一是组织制</w:t>
      </w:r>
      <w:r>
        <w:rPr>
          <w:rFonts w:hint="eastAsia" w:ascii="仿宋" w:hAnsi="仿宋" w:eastAsia="仿宋" w:cs="仿宋"/>
          <w:color w:val="000000" w:themeColor="text1"/>
          <w:sz w:val="32"/>
          <w:szCs w:val="32"/>
          <w14:textFill>
            <w14:solidFill>
              <w14:schemeClr w14:val="tx1"/>
            </w14:solidFill>
          </w14:textFill>
        </w:rPr>
        <w:t>定</w:t>
      </w:r>
      <w:r>
        <w:rPr>
          <w:rFonts w:hint="eastAsia" w:ascii="仿宋" w:hAnsi="仿宋" w:eastAsia="仿宋" w:cs="仿宋"/>
          <w:color w:val="000000" w:themeColor="text1"/>
          <w:spacing w:val="-2"/>
          <w:sz w:val="32"/>
          <w:szCs w:val="32"/>
          <w14:textFill>
            <w14:solidFill>
              <w14:schemeClr w14:val="tx1"/>
            </w14:solidFill>
          </w14:textFill>
        </w:rPr>
        <w:t>完善相关</w:t>
      </w:r>
      <w:r>
        <w:rPr>
          <w:rFonts w:hint="eastAsia" w:ascii="仿宋" w:hAnsi="仿宋" w:eastAsia="仿宋" w:cs="Arial Unicode MS"/>
          <w:spacing w:val="-2"/>
          <w:sz w:val="32"/>
          <w:szCs w:val="32"/>
        </w:rPr>
        <w:t>管理制度，完善项目实施方案</w:t>
      </w:r>
      <w:r>
        <w:rPr>
          <w:rFonts w:hint="eastAsia" w:ascii="仿宋" w:hAnsi="仿宋" w:eastAsia="仿宋" w:cs="仿宋"/>
          <w:color w:val="000000" w:themeColor="text1"/>
          <w:spacing w:val="-2"/>
          <w:sz w:val="32"/>
          <w:szCs w:val="32"/>
          <w14:textFill>
            <w14:solidFill>
              <w14:schemeClr w14:val="tx1"/>
            </w14:solidFill>
          </w14:textFill>
        </w:rPr>
        <w:t>；二是项目完成后，</w:t>
      </w:r>
      <w:r>
        <w:rPr>
          <w:rFonts w:hint="eastAsia" w:ascii="仿宋" w:hAnsi="仿宋" w:eastAsia="仿宋" w:cs="仿宋"/>
          <w:color w:val="000000" w:themeColor="text1"/>
          <w:sz w:val="32"/>
          <w:szCs w:val="32"/>
          <w14:textFill>
            <w14:solidFill>
              <w14:schemeClr w14:val="tx1"/>
            </w14:solidFill>
          </w14:textFill>
        </w:rPr>
        <w:t>及时收集</w:t>
      </w:r>
      <w:r>
        <w:rPr>
          <w:rFonts w:hint="eastAsia" w:ascii="仿宋" w:hAnsi="仿宋" w:eastAsia="仿宋" w:cs="Arial Unicode MS"/>
          <w:sz w:val="32"/>
          <w:szCs w:val="32"/>
        </w:rPr>
        <w:t>报账材料，及时支付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p>
    <w:p>
      <w:pPr>
        <w:ind w:firstLine="640" w:firstLineChars="200"/>
        <w:jc w:val="left"/>
        <w:rPr>
          <w:rFonts w:hint="eastAsia" w:ascii="仿宋" w:hAnsi="仿宋" w:eastAsia="仿宋" w:cs="仿宋"/>
          <w:bCs/>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hint="eastAsia" w:ascii="仿宋" w:hAnsi="仿宋" w:eastAsia="仿宋" w:cs="仿宋"/>
          <w:spacing w:val="-4"/>
          <w:sz w:val="32"/>
          <w:szCs w:val="32"/>
        </w:rPr>
      </w:pPr>
      <w:r>
        <w:rPr>
          <w:rFonts w:hint="eastAsia" w:ascii="仿宋" w:hAnsi="仿宋" w:eastAsia="仿宋" w:cs="仿宋"/>
          <w:sz w:val="32"/>
          <w:szCs w:val="32"/>
        </w:rPr>
        <w:t>一、</w:t>
      </w:r>
      <w:r>
        <w:rPr>
          <w:rFonts w:hint="eastAsia" w:ascii="仿宋" w:hAnsi="仿宋" w:eastAsia="仿宋" w:cs="仿宋"/>
          <w:spacing w:val="-4"/>
          <w:sz w:val="32"/>
          <w:szCs w:val="32"/>
        </w:rPr>
        <w:t>财政拨款收入：指</w:t>
      </w:r>
      <w:r>
        <w:rPr>
          <w:rFonts w:ascii="仿宋" w:hAnsi="仿宋" w:eastAsia="仿宋" w:cs="仿宋"/>
          <w:spacing w:val="-4"/>
          <w:sz w:val="32"/>
        </w:rPr>
        <w:t>环江毛南族自治县财政部门当年拨付的资金。</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pacing w:val="-4"/>
          <w:sz w:val="32"/>
          <w:szCs w:val="32"/>
        </w:rPr>
        <w:t>事业收入：指事业单位开展专业业务活动及辅助</w:t>
      </w:r>
      <w:r>
        <w:rPr>
          <w:rFonts w:hint="eastAsia" w:ascii="仿宋" w:hAnsi="仿宋" w:eastAsia="仿宋" w:cs="仿宋"/>
          <w:sz w:val="32"/>
          <w:szCs w:val="32"/>
        </w:rPr>
        <w:t>活动所取得的收入。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pacing w:val="-4"/>
          <w:sz w:val="32"/>
          <w:szCs w:val="32"/>
        </w:rPr>
        <w:t>经营收入：指事业单位在专业业务活动及其辅助</w:t>
      </w:r>
      <w:r>
        <w:rPr>
          <w:rFonts w:hint="eastAsia" w:ascii="仿宋" w:hAnsi="仿宋" w:eastAsia="仿宋" w:cs="仿宋"/>
          <w:sz w:val="32"/>
          <w:szCs w:val="32"/>
        </w:rPr>
        <w:t>活动之外开展非独立核算经营活动取得的收入。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pacing w:val="-8"/>
          <w:sz w:val="32"/>
          <w:szCs w:val="32"/>
        </w:rPr>
        <w:t>其他收入：指除上述“财政拨款收入”“事业收</w:t>
      </w:r>
      <w:r>
        <w:rPr>
          <w:rFonts w:hint="eastAsia" w:ascii="仿宋" w:hAnsi="仿宋" w:eastAsia="仿宋" w:cs="仿宋"/>
          <w:sz w:val="32"/>
          <w:szCs w:val="32"/>
        </w:rPr>
        <w:t>入”“经营收入”等以外的收入。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pacing w:val="-8"/>
          <w:sz w:val="32"/>
          <w:szCs w:val="32"/>
        </w:rPr>
        <w:t>用事业基金弥补收支差额指事业单位在当年的</w:t>
      </w:r>
      <w:r>
        <w:rPr>
          <w:rFonts w:hint="eastAsia" w:ascii="仿宋" w:hAnsi="仿宋" w:eastAsia="仿宋" w:cs="仿宋"/>
          <w:sz w:val="32"/>
          <w:szCs w:val="32"/>
        </w:rPr>
        <w:t>“财</w:t>
      </w:r>
      <w:r>
        <w:rPr>
          <w:rFonts w:hint="eastAsia" w:ascii="仿宋" w:hAnsi="仿宋" w:eastAsia="仿宋" w:cs="仿宋"/>
          <w:spacing w:val="-4"/>
          <w:sz w:val="32"/>
          <w:szCs w:val="32"/>
        </w:rPr>
        <w:t>政拨款收入”“事业收入”“经营收入”“其他收入”不</w:t>
      </w:r>
      <w:r>
        <w:rPr>
          <w:rFonts w:hint="eastAsia" w:ascii="仿宋" w:hAnsi="仿宋" w:eastAsia="仿宋" w:cs="仿宋"/>
          <w:sz w:val="32"/>
          <w:szCs w:val="32"/>
        </w:rPr>
        <w:t>足</w:t>
      </w:r>
      <w:r>
        <w:rPr>
          <w:rFonts w:hint="eastAsia" w:ascii="仿宋" w:hAnsi="仿宋" w:eastAsia="仿宋" w:cs="仿宋"/>
          <w:spacing w:val="-4"/>
          <w:sz w:val="32"/>
          <w:szCs w:val="32"/>
        </w:rPr>
        <w:t>以安排当年支出的情况下，使用非财政拨款结余弥补本年</w:t>
      </w:r>
      <w:r>
        <w:rPr>
          <w:rFonts w:hint="eastAsia" w:ascii="仿宋" w:hAnsi="仿宋" w:eastAsia="仿宋" w:cs="仿宋"/>
          <w:sz w:val="32"/>
          <w:szCs w:val="32"/>
        </w:rPr>
        <w:t>度收支缺口的资金。 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pacing w:val="-4"/>
          <w:sz w:val="32"/>
          <w:szCs w:val="32"/>
        </w:rPr>
        <w:t>年初结转和结余：指以前年度尚未完成、结转到</w:t>
      </w:r>
      <w:r>
        <w:rPr>
          <w:rFonts w:hint="eastAsia" w:ascii="仿宋" w:hAnsi="仿宋" w:eastAsia="仿宋" w:cs="仿宋"/>
          <w:sz w:val="32"/>
          <w:szCs w:val="32"/>
        </w:rPr>
        <w:t>本年 按有关规定继续使用的资金。</w:t>
      </w:r>
    </w:p>
    <w:p>
      <w:pPr>
        <w:ind w:firstLine="640" w:firstLineChars="200"/>
        <w:jc w:val="left"/>
        <w:rPr>
          <w:rFonts w:hint="eastAsia" w:ascii="仿宋" w:hAnsi="仿宋" w:eastAsia="仿宋" w:cs="仿宋"/>
          <w:spacing w:val="-4"/>
          <w:sz w:val="32"/>
          <w:szCs w:val="32"/>
        </w:rPr>
      </w:pPr>
      <w:r>
        <w:rPr>
          <w:rFonts w:hint="eastAsia" w:ascii="仿宋" w:hAnsi="仿宋" w:eastAsia="仿宋" w:cs="仿宋"/>
          <w:sz w:val="32"/>
          <w:szCs w:val="32"/>
        </w:rPr>
        <w:t>七、</w:t>
      </w:r>
      <w:r>
        <w:rPr>
          <w:rFonts w:hint="eastAsia" w:ascii="仿宋" w:hAnsi="仿宋" w:eastAsia="仿宋" w:cs="仿宋"/>
          <w:spacing w:val="-8"/>
          <w:sz w:val="32"/>
          <w:szCs w:val="32"/>
        </w:rPr>
        <w:t>结余分配：指事业单位按规定提取的职工福利基</w:t>
      </w:r>
      <w:r>
        <w:rPr>
          <w:rFonts w:hint="eastAsia" w:ascii="仿宋" w:hAnsi="仿宋" w:eastAsia="仿宋" w:cs="仿宋"/>
          <w:sz w:val="32"/>
          <w:szCs w:val="32"/>
        </w:rPr>
        <w:t>金、</w:t>
      </w:r>
      <w:r>
        <w:rPr>
          <w:rFonts w:hint="eastAsia" w:ascii="仿宋" w:hAnsi="仿宋" w:eastAsia="仿宋" w:cs="仿宋"/>
          <w:spacing w:val="-4"/>
          <w:sz w:val="32"/>
          <w:szCs w:val="32"/>
        </w:rPr>
        <w:t>事业基金和缴纳的所得税，以及建设单位按规定应交回的基本建设竣工项目结余资金。 </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八、年末结转和结余：指本年度或以前年度预算安排、因客观条件发生变化无法按原计划实施，需要延迟到以后年度按有关规定继续使用的资金。 </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九、基本支出：指为保障机构正常运转、完成日常工作任务而发生的人员支出和公用支出。 </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十、项目支出：指在基本支出之外为完成特定行政任务和事业发展目标所发生的支出。 </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十一、经营支出：指事业单位在专业业务活动及其辅助活动之外开展非独立核算经营活动发生的支出。</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十二、“三公”经费：纳入</w:t>
      </w:r>
      <w:r>
        <w:rPr>
          <w:rFonts w:ascii="仿宋" w:hAnsi="仿宋" w:eastAsia="仿宋" w:cs="仿宋"/>
          <w:spacing w:val="-4"/>
          <w:sz w:val="32"/>
        </w:rPr>
        <w:t>环江毛南族自治县财政预决算管理的“三公”经费，是指环江毛南族自治县部门用财政拨款安排的因公出国（境）费、公务用车购置及运行费和公务接待费。其中因公出国（境）费反映单位公务出国（境）</w:t>
      </w:r>
      <w:r>
        <w:rPr>
          <w:rFonts w:ascii="仿宋" w:hAnsi="仿宋" w:eastAsia="仿宋" w:cs="仿宋"/>
          <w:spacing w:val="-8"/>
          <w:sz w:val="32"/>
        </w:rPr>
        <w:t>的国际旅费、国外城市间交通费、住宿费、伙食费、培训</w:t>
      </w:r>
      <w:r>
        <w:rPr>
          <w:rFonts w:ascii="仿宋" w:hAnsi="仿宋" w:eastAsia="仿宋" w:cs="仿宋"/>
          <w:spacing w:val="-4"/>
          <w:sz w:val="32"/>
        </w:rPr>
        <w:t>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珠穆朗玛—乌金苏通体">
    <w:altName w:val="Microsoft Himalaya"/>
    <w:panose1 w:val="00000000000000000000"/>
    <w:charset w:val="00"/>
    <w:family w:val="auto"/>
    <w:pitch w:val="default"/>
    <w:sig w:usb0="00000000" w:usb1="0000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icrosoft Himalaya">
    <w:panose1 w:val="01010100010101010101"/>
    <w:charset w:val="00"/>
    <w:family w:val="auto"/>
    <w:pitch w:val="default"/>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ZTgxMjc5MzM3NGI1Y2IxZjMwZDczMGQ5ODFiMDUifQ=="/>
  </w:docVars>
  <w:rsids>
    <w:rsidRoot w:val="637D7558"/>
    <w:rsid w:val="00001C08"/>
    <w:rsid w:val="00002C84"/>
    <w:rsid w:val="00015932"/>
    <w:rsid w:val="00015C9A"/>
    <w:rsid w:val="00022149"/>
    <w:rsid w:val="000230CA"/>
    <w:rsid w:val="00047F6C"/>
    <w:rsid w:val="0008136E"/>
    <w:rsid w:val="00093C26"/>
    <w:rsid w:val="00094B91"/>
    <w:rsid w:val="000B06D8"/>
    <w:rsid w:val="000B1586"/>
    <w:rsid w:val="000B6801"/>
    <w:rsid w:val="000E5855"/>
    <w:rsid w:val="0012285F"/>
    <w:rsid w:val="00126CFD"/>
    <w:rsid w:val="00140FFD"/>
    <w:rsid w:val="001418A5"/>
    <w:rsid w:val="00147D40"/>
    <w:rsid w:val="00156EF2"/>
    <w:rsid w:val="00182BD0"/>
    <w:rsid w:val="00191145"/>
    <w:rsid w:val="001C58ED"/>
    <w:rsid w:val="001D7B97"/>
    <w:rsid w:val="00210E20"/>
    <w:rsid w:val="00223F38"/>
    <w:rsid w:val="00233613"/>
    <w:rsid w:val="00240359"/>
    <w:rsid w:val="00254DBE"/>
    <w:rsid w:val="00273A36"/>
    <w:rsid w:val="00275CAB"/>
    <w:rsid w:val="0028709C"/>
    <w:rsid w:val="0029328F"/>
    <w:rsid w:val="002B2731"/>
    <w:rsid w:val="002B59C3"/>
    <w:rsid w:val="00301686"/>
    <w:rsid w:val="00310764"/>
    <w:rsid w:val="00330FC8"/>
    <w:rsid w:val="00374B3E"/>
    <w:rsid w:val="00382867"/>
    <w:rsid w:val="003912B2"/>
    <w:rsid w:val="003A4973"/>
    <w:rsid w:val="003C084A"/>
    <w:rsid w:val="003C1C96"/>
    <w:rsid w:val="003C69F8"/>
    <w:rsid w:val="003E40BA"/>
    <w:rsid w:val="003E7165"/>
    <w:rsid w:val="00401892"/>
    <w:rsid w:val="0041579D"/>
    <w:rsid w:val="004246B3"/>
    <w:rsid w:val="00427074"/>
    <w:rsid w:val="00434D04"/>
    <w:rsid w:val="004C4D45"/>
    <w:rsid w:val="004C4D73"/>
    <w:rsid w:val="004D007D"/>
    <w:rsid w:val="004D7D0E"/>
    <w:rsid w:val="005019E2"/>
    <w:rsid w:val="00505F46"/>
    <w:rsid w:val="00522D28"/>
    <w:rsid w:val="005234F5"/>
    <w:rsid w:val="005256DF"/>
    <w:rsid w:val="00531745"/>
    <w:rsid w:val="005471DE"/>
    <w:rsid w:val="00574196"/>
    <w:rsid w:val="00582EB3"/>
    <w:rsid w:val="0059042A"/>
    <w:rsid w:val="005F41B6"/>
    <w:rsid w:val="006123AD"/>
    <w:rsid w:val="00645B83"/>
    <w:rsid w:val="0066173C"/>
    <w:rsid w:val="006814A7"/>
    <w:rsid w:val="006D677A"/>
    <w:rsid w:val="006E09DA"/>
    <w:rsid w:val="006E165A"/>
    <w:rsid w:val="0075615A"/>
    <w:rsid w:val="007640BB"/>
    <w:rsid w:val="00771953"/>
    <w:rsid w:val="00776E0B"/>
    <w:rsid w:val="007A0641"/>
    <w:rsid w:val="007C52E7"/>
    <w:rsid w:val="007C54EA"/>
    <w:rsid w:val="007C776D"/>
    <w:rsid w:val="007D7CE3"/>
    <w:rsid w:val="007E1979"/>
    <w:rsid w:val="007E2F6C"/>
    <w:rsid w:val="007F1CE0"/>
    <w:rsid w:val="00817C69"/>
    <w:rsid w:val="00823A94"/>
    <w:rsid w:val="00824151"/>
    <w:rsid w:val="00825D95"/>
    <w:rsid w:val="00827123"/>
    <w:rsid w:val="008315A9"/>
    <w:rsid w:val="00834354"/>
    <w:rsid w:val="00834D8C"/>
    <w:rsid w:val="00874EFF"/>
    <w:rsid w:val="008B2500"/>
    <w:rsid w:val="008C4146"/>
    <w:rsid w:val="008D773C"/>
    <w:rsid w:val="008F1B95"/>
    <w:rsid w:val="008F4AE2"/>
    <w:rsid w:val="008F6882"/>
    <w:rsid w:val="00911A9A"/>
    <w:rsid w:val="00934C72"/>
    <w:rsid w:val="00946CCF"/>
    <w:rsid w:val="009659F5"/>
    <w:rsid w:val="0097721B"/>
    <w:rsid w:val="009831F8"/>
    <w:rsid w:val="009971D8"/>
    <w:rsid w:val="009B3E00"/>
    <w:rsid w:val="009D1667"/>
    <w:rsid w:val="009F1848"/>
    <w:rsid w:val="00A07CCE"/>
    <w:rsid w:val="00A27624"/>
    <w:rsid w:val="00A358E6"/>
    <w:rsid w:val="00A6133E"/>
    <w:rsid w:val="00A617CC"/>
    <w:rsid w:val="00A64E9C"/>
    <w:rsid w:val="00A83DE9"/>
    <w:rsid w:val="00A85CD6"/>
    <w:rsid w:val="00AA78EE"/>
    <w:rsid w:val="00AB53E1"/>
    <w:rsid w:val="00AD5529"/>
    <w:rsid w:val="00AE5F66"/>
    <w:rsid w:val="00B032A0"/>
    <w:rsid w:val="00B05D61"/>
    <w:rsid w:val="00B07A0B"/>
    <w:rsid w:val="00B148BC"/>
    <w:rsid w:val="00B21B6E"/>
    <w:rsid w:val="00B22F28"/>
    <w:rsid w:val="00B37453"/>
    <w:rsid w:val="00B45479"/>
    <w:rsid w:val="00B57A41"/>
    <w:rsid w:val="00B60171"/>
    <w:rsid w:val="00B62759"/>
    <w:rsid w:val="00B837AC"/>
    <w:rsid w:val="00B902FA"/>
    <w:rsid w:val="00BB4FB8"/>
    <w:rsid w:val="00BB73A7"/>
    <w:rsid w:val="00BD23EC"/>
    <w:rsid w:val="00BD315D"/>
    <w:rsid w:val="00BF543E"/>
    <w:rsid w:val="00C3279E"/>
    <w:rsid w:val="00C34857"/>
    <w:rsid w:val="00C353C4"/>
    <w:rsid w:val="00C45061"/>
    <w:rsid w:val="00C4706B"/>
    <w:rsid w:val="00C9203D"/>
    <w:rsid w:val="00CA2E26"/>
    <w:rsid w:val="00CA521C"/>
    <w:rsid w:val="00D00918"/>
    <w:rsid w:val="00D14326"/>
    <w:rsid w:val="00D41117"/>
    <w:rsid w:val="00D772CC"/>
    <w:rsid w:val="00D83688"/>
    <w:rsid w:val="00D84F30"/>
    <w:rsid w:val="00D878A6"/>
    <w:rsid w:val="00DA62FE"/>
    <w:rsid w:val="00DE3461"/>
    <w:rsid w:val="00DE74BD"/>
    <w:rsid w:val="00DE7D07"/>
    <w:rsid w:val="00E25150"/>
    <w:rsid w:val="00E67A5A"/>
    <w:rsid w:val="00E740E3"/>
    <w:rsid w:val="00E850BA"/>
    <w:rsid w:val="00EA3C9B"/>
    <w:rsid w:val="00EA423B"/>
    <w:rsid w:val="00EB7822"/>
    <w:rsid w:val="00EC24FA"/>
    <w:rsid w:val="00EC50A9"/>
    <w:rsid w:val="00ED04DB"/>
    <w:rsid w:val="00ED2B97"/>
    <w:rsid w:val="00ED6652"/>
    <w:rsid w:val="00F21455"/>
    <w:rsid w:val="00F35FEF"/>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3072B4E"/>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15C514E"/>
    <w:rsid w:val="321E3342"/>
    <w:rsid w:val="327759C8"/>
    <w:rsid w:val="33185FE3"/>
    <w:rsid w:val="34EE2E36"/>
    <w:rsid w:val="36777241"/>
    <w:rsid w:val="371E78D5"/>
    <w:rsid w:val="38A951DB"/>
    <w:rsid w:val="38B31605"/>
    <w:rsid w:val="39003F4F"/>
    <w:rsid w:val="3C07002B"/>
    <w:rsid w:val="3D0D152A"/>
    <w:rsid w:val="3DF62756"/>
    <w:rsid w:val="3F1B7587"/>
    <w:rsid w:val="3F7309A9"/>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241F61"/>
    <w:rsid w:val="6B964DDC"/>
    <w:rsid w:val="6B98169C"/>
    <w:rsid w:val="6C783074"/>
    <w:rsid w:val="6D9E65C6"/>
    <w:rsid w:val="6DA81947"/>
    <w:rsid w:val="6EB66DE2"/>
    <w:rsid w:val="6ED3075F"/>
    <w:rsid w:val="6F2A2D4B"/>
    <w:rsid w:val="6F8A0C1E"/>
    <w:rsid w:val="703F45D4"/>
    <w:rsid w:val="705350E4"/>
    <w:rsid w:val="715D6546"/>
    <w:rsid w:val="71BE069E"/>
    <w:rsid w:val="72037EEA"/>
    <w:rsid w:val="734E0DF1"/>
    <w:rsid w:val="7376414A"/>
    <w:rsid w:val="73953409"/>
    <w:rsid w:val="73E069A3"/>
    <w:rsid w:val="78104AA8"/>
    <w:rsid w:val="78E257C5"/>
    <w:rsid w:val="794A489C"/>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3781.92</c:v>
                </c:pt>
                <c:pt idx="1">
                  <c:v>1.95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25.09</c:v>
                </c:pt>
                <c:pt idx="4">
                  <c:v>169.26</c:v>
                </c:pt>
                <c:pt idx="5">
                  <c:v>0</c:v>
                </c:pt>
                <c:pt idx="6">
                  <c:v>0</c:v>
                </c:pt>
                <c:pt idx="7">
                  <c:v>0</c:v>
                </c:pt>
                <c:pt idx="8">
                  <c:v>0</c:v>
                </c:pt>
                <c:pt idx="9">
                  <c:v>0</c:v>
                </c:pt>
                <c:pt idx="10">
                  <c:v>0</c:v>
                </c:pt>
                <c:pt idx="11">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37.12</c:v>
                </c:pt>
                <c:pt idx="1">
                  <c:v>2793.03</c:v>
                </c:pt>
                <c:pt idx="2">
                  <c:v>262.16</c:v>
                </c:pt>
                <c:pt idx="3">
                  <c:v>181.99</c:v>
                </c:pt>
                <c:pt idx="4">
                  <c:v>410.47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40.65</c:v>
                </c:pt>
                <c:pt idx="1">
                  <c:v>2939.35</c:v>
                </c:pt>
                <c:pt idx="2">
                  <c:v>279.69</c:v>
                </c:pt>
                <c:pt idx="3">
                  <c:v>209.84</c:v>
                </c:pt>
                <c:pt idx="4">
                  <c:v>314.34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40.65</c:v>
                </c:pt>
                <c:pt idx="1">
                  <c:v>40.65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2050202</c:v>
                </c:pt>
                <c:pt idx="1">
                  <c:v>2050299</c:v>
                </c:pt>
                <c:pt idx="2">
                  <c:v>2050999</c:v>
                </c:pt>
                <c:pt idx="3">
                  <c:v>2050701</c:v>
                </c:pt>
                <c:pt idx="8">
                  <c:v>205x</c:v>
                </c:pt>
              </c:strCache>
            </c:strRef>
          </c:cat>
          <c:val>
            <c:numRef>
              <c:f>Sheet1!$B$2:$B$10</c:f>
              <c:numCache>
                <c:formatCode>General</c:formatCode>
                <c:ptCount val="9"/>
                <c:pt idx="0">
                  <c:v>2915.84</c:v>
                </c:pt>
                <c:pt idx="1">
                  <c:v>17.39</c:v>
                </c:pt>
                <c:pt idx="2">
                  <c:v>2.7</c:v>
                </c:pt>
                <c:pt idx="3">
                  <c:v>3.42</c:v>
                </c:pt>
                <c:pt idx="8">
                  <c:v>2939.35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279.69</c:v>
                </c:pt>
                <c:pt idx="1">
                  <c:v>279.69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209.84</c:v>
                </c:pt>
                <c:pt idx="1">
                  <c:v>209.84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312.39</c:v>
                </c:pt>
                <c:pt idx="1">
                  <c:v>312.39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1012.23</c:v>
                </c:pt>
                <c:pt idx="1">
                  <c:v>232.62</c:v>
                </c:pt>
                <c:pt idx="2">
                  <c:v>674.87</c:v>
                </c:pt>
                <c:pt idx="3">
                  <c:v>0</c:v>
                </c:pt>
                <c:pt idx="4">
                  <c:v>436.87</c:v>
                </c:pt>
                <c:pt idx="5">
                  <c:v>279.69</c:v>
                </c:pt>
                <c:pt idx="6">
                  <c:v>0</c:v>
                </c:pt>
                <c:pt idx="7">
                  <c:v>113.46</c:v>
                </c:pt>
                <c:pt idx="8">
                  <c:v>0</c:v>
                </c:pt>
                <c:pt idx="9">
                  <c:v>14.14</c:v>
                </c:pt>
                <c:pt idx="10">
                  <c:v>209.84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40.65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8792-9ACE-4CB4-9AB4-11BBCB935F57}">
  <ds:schemaRefs/>
</ds:datastoreItem>
</file>

<file path=docProps/app.xml><?xml version="1.0" encoding="utf-8"?>
<Properties xmlns="http://schemas.openxmlformats.org/officeDocument/2006/extended-properties" xmlns:vt="http://schemas.openxmlformats.org/officeDocument/2006/docPropsVTypes">
  <Template>Normal</Template>
  <Pages>34</Pages>
  <Words>2197</Words>
  <Characters>12523</Characters>
  <Lines>104</Lines>
  <Paragraphs>29</Paragraphs>
  <TotalTime>9</TotalTime>
  <ScaleCrop>false</ScaleCrop>
  <LinksUpToDate>false</LinksUpToDate>
  <CharactersWithSpaces>14691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2023-11-22T08:14:00Z</cp:lastPrinted>
  <dcterms:modified xsi:type="dcterms:W3CDTF">2025-01-06T02:03:40Z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eyJoZGlkIjoiYTc4NzFjYTY3MjJmNDk2YTFhZDIwZjdlYTE5NjdkZDYifQ==</vt:lpwstr>
  </property>
</Properties>
</file>