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48"/>
          <w:szCs w:val="48"/>
        </w:rPr>
      </w:pPr>
      <w:r>
        <w:rPr>
          <w:rFonts w:hint="eastAsia" w:ascii="黑体" w:hAnsi="黑体" w:eastAsia="黑体" w:cs="黑体"/>
          <w:b/>
          <w:bCs/>
          <w:sz w:val="48"/>
          <w:szCs w:val="48"/>
        </w:rPr>
        <w:t>环江毛南族自治县</w:t>
      </w:r>
      <w:r>
        <w:rPr>
          <w:rFonts w:hint="eastAsia" w:ascii="黑体" w:hAnsi="黑体" w:eastAsia="黑体" w:cs="黑体"/>
          <w:b/>
          <w:bCs/>
          <w:sz w:val="48"/>
          <w:szCs w:val="48"/>
          <w:lang w:val="en-US" w:eastAsia="zh-CN"/>
        </w:rPr>
        <w:t>川山镇中心</w:t>
      </w:r>
      <w:r>
        <w:rPr>
          <w:rFonts w:hint="eastAsia" w:ascii="黑体" w:hAnsi="黑体" w:eastAsia="黑体" w:cs="黑体"/>
          <w:b/>
          <w:bCs/>
          <w:sz w:val="48"/>
          <w:szCs w:val="48"/>
        </w:rPr>
        <w:t>幼儿园</w:t>
      </w:r>
    </w:p>
    <w:p>
      <w:pPr>
        <w:jc w:val="center"/>
        <w:rPr>
          <w:rFonts w:ascii="黑体" w:hAnsi="黑体" w:eastAsia="黑体" w:cs="黑体"/>
          <w:b/>
          <w:bCs/>
          <w:sz w:val="52"/>
          <w:szCs w:val="52"/>
        </w:rPr>
      </w:pPr>
      <w:r>
        <w:rPr>
          <w:rFonts w:hint="eastAsia" w:ascii="黑体" w:hAnsi="黑体" w:eastAsia="黑体" w:cs="黑体"/>
          <w:b/>
          <w:bCs/>
          <w:sz w:val="48"/>
          <w:szCs w:val="48"/>
        </w:rPr>
        <w:t>2023年度部门决算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hint="eastAsia" w:ascii="黑体" w:hAnsi="黑体" w:eastAsia="黑体" w:cs="仿宋"/>
          <w:sz w:val="44"/>
          <w:szCs w:val="44"/>
          <w:lang w:val="en-US" w:eastAsia="zh-CN"/>
        </w:rPr>
      </w:pPr>
      <w:r>
        <w:rPr>
          <w:rFonts w:hint="eastAsia" w:ascii="黑体" w:hAnsi="黑体" w:eastAsia="黑体" w:cs="仿宋"/>
          <w:sz w:val="44"/>
          <w:szCs w:val="44"/>
        </w:rPr>
        <w:t>单位负责人:</w:t>
      </w:r>
      <w:r>
        <w:rPr>
          <w:rFonts w:hint="eastAsia" w:ascii="黑体" w:hAnsi="黑体" w:eastAsia="黑体" w:cs="仿宋"/>
          <w:sz w:val="44"/>
          <w:szCs w:val="44"/>
          <w:lang w:val="en-US" w:eastAsia="zh-CN"/>
        </w:rPr>
        <w:t>覃桂芳</w:t>
      </w:r>
    </w:p>
    <w:p>
      <w:pPr>
        <w:jc w:val="center"/>
        <w:rPr>
          <w:rFonts w:hint="default" w:ascii="黑体" w:hAnsi="黑体" w:eastAsia="黑体" w:cs="仿宋"/>
          <w:sz w:val="44"/>
          <w:szCs w:val="44"/>
          <w:lang w:val="en-US" w:eastAsia="zh-CN"/>
        </w:rPr>
      </w:pPr>
    </w:p>
    <w:p>
      <w:pPr>
        <w:jc w:val="center"/>
        <w:rPr>
          <w:rFonts w:ascii="黑体" w:hAnsi="黑体" w:eastAsia="黑体" w:cs="黑体"/>
          <w:b/>
          <w:bCs/>
          <w:sz w:val="44"/>
          <w:szCs w:val="44"/>
        </w:rPr>
      </w:pPr>
      <w:r>
        <w:rPr>
          <w:rFonts w:hint="eastAsia" w:ascii="黑体" w:hAnsi="黑体" w:eastAsia="黑体" w:cs="黑体"/>
          <w:b/>
          <w:bCs/>
          <w:sz w:val="44"/>
          <w:szCs w:val="44"/>
        </w:rPr>
        <w:t>2024年12月03日</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rPr>
      </w:pPr>
      <w:r>
        <w:rPr>
          <w:rFonts w:hint="eastAsia" w:ascii="仿宋" w:hAnsi="仿宋" w:eastAsia="仿宋" w:cs="仿宋"/>
          <w:sz w:val="32"/>
          <w:szCs w:val="32"/>
        </w:rPr>
        <w:t>一、本部门职责</w:t>
      </w:r>
    </w:p>
    <w:p>
      <w:pPr>
        <w:jc w:val="left"/>
        <w:rPr>
          <w:rFonts w:ascii="仿宋" w:hAnsi="仿宋" w:eastAsia="仿宋" w:cs="仿宋"/>
          <w:sz w:val="32"/>
          <w:szCs w:val="32"/>
        </w:rPr>
      </w:pPr>
      <w:r>
        <w:rPr>
          <w:rFonts w:hint="eastAsia" w:ascii="仿宋" w:hAnsi="仿宋" w:eastAsia="仿宋" w:cs="仿宋"/>
          <w:sz w:val="32"/>
          <w:szCs w:val="32"/>
        </w:rPr>
        <w:t>二、本部门机构设置情况</w:t>
      </w:r>
    </w:p>
    <w:p>
      <w:pPr>
        <w:jc w:val="left"/>
        <w:rPr>
          <w:rFonts w:ascii="黑体" w:hAnsi="黑体" w:eastAsia="黑体" w:cs="黑体"/>
          <w:sz w:val="32"/>
          <w:szCs w:val="32"/>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表九：财政拨款安排的“三公”经费支出决算表</w:t>
      </w:r>
    </w:p>
    <w:p>
      <w:pPr>
        <w:autoSpaceDE w:val="0"/>
        <w:autoSpaceDN w:val="0"/>
        <w:adjustRightInd w:val="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2023年</w:t>
      </w:r>
      <w:r>
        <w:rPr>
          <w:rFonts w:hint="eastAsia" w:ascii="仿宋_GB2312" w:eastAsia="仿宋_GB2312" w:cs="仿宋_GB2312"/>
          <w:kern w:val="0"/>
          <w:sz w:val="32"/>
          <w:szCs w:val="32"/>
        </w:rPr>
        <w:t>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2023年</w:t>
      </w:r>
      <w:r>
        <w:rPr>
          <w:rFonts w:hint="eastAsia" w:ascii="仿宋_GB2312" w:eastAsia="仿宋_GB2312" w:cs="仿宋_GB2312"/>
          <w:kern w:val="0"/>
          <w:sz w:val="32"/>
          <w:szCs w:val="32"/>
        </w:rPr>
        <w:t>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u w:color="auto"/>
        </w:rPr>
        <w:t>环江毛南族自治县川山镇中心幼儿园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rPr>
      </w:pPr>
      <w:r>
        <w:rPr>
          <w:rFonts w:hint="eastAsia" w:ascii="黑体" w:hAnsi="黑体" w:eastAsia="黑体" w:cs="黑体"/>
          <w:sz w:val="32"/>
          <w:szCs w:val="32"/>
        </w:rPr>
        <w:t>一、本部门职责</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pPr>
        <w:ind w:firstLine="640" w:firstLineChars="200"/>
        <w:jc w:val="left"/>
        <w:rPr>
          <w:rFonts w:ascii="仿宋" w:hAnsi="仿宋" w:eastAsia="仿宋" w:cs="仿宋"/>
          <w:sz w:val="32"/>
          <w:szCs w:val="32"/>
        </w:rPr>
      </w:pPr>
      <w:r>
        <w:rPr>
          <w:rFonts w:hint="eastAsia" w:ascii="Times New Roman" w:hAnsi="Times New Roman" w:eastAsia="仿宋_GB2312" w:cs="Times New Roman"/>
          <w:sz w:val="32"/>
          <w:szCs w:val="32"/>
        </w:rPr>
        <w:t>（十四）完成上级部门交办的其他工作。</w:t>
      </w:r>
    </w:p>
    <w:p>
      <w:pPr>
        <w:jc w:val="left"/>
        <w:rPr>
          <w:rFonts w:ascii="仿宋" w:hAnsi="仿宋" w:eastAsia="仿宋" w:cs="仿宋"/>
          <w:sz w:val="32"/>
          <w:szCs w:val="32"/>
        </w:rPr>
      </w:pPr>
      <w:r>
        <w:rPr>
          <w:rFonts w:hint="eastAsia" w:ascii="黑体" w:hAnsi="黑体" w:eastAsia="黑体" w:cs="黑体"/>
          <w:sz w:val="32"/>
          <w:szCs w:val="32"/>
        </w:rPr>
        <w:t>二、本部门机构设置情况</w:t>
      </w:r>
    </w:p>
    <w:p>
      <w:pPr>
        <w:spacing w:line="560" w:lineRule="exact"/>
        <w:ind w:firstLine="645"/>
        <w:rPr>
          <w:rFonts w:ascii="仿宋" w:hAnsi="仿宋" w:eastAsia="仿宋" w:cs="仿宋"/>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内设</w:t>
      </w:r>
      <w:r>
        <w:rPr>
          <w:rFonts w:hint="eastAsia" w:ascii="Times New Roman" w:hAnsi="Times New Roman" w:eastAsia="仿宋_GB2312" w:cs="Times New Roman"/>
          <w:sz w:val="32"/>
          <w:szCs w:val="32"/>
        </w:rPr>
        <w:t>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个机构，分别为：行政办公室、财务室。共有</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名编制</w:t>
      </w:r>
      <w:r>
        <w:rPr>
          <w:rFonts w:hint="eastAsia"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名实名制编制，</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名教师控制数编制，单位自聘教职工</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名，2名保安。</w:t>
      </w:r>
    </w:p>
    <w:p>
      <w:pPr>
        <w:spacing w:line="560" w:lineRule="exact"/>
        <w:ind w:firstLine="645"/>
        <w:rPr>
          <w:rFonts w:ascii="Times New Roman" w:hAnsi="Times New Roman" w:eastAsia="方正小标宋简体" w:cs="Times New Roman"/>
          <w:bCs/>
          <w:sz w:val="44"/>
          <w:szCs w:val="44"/>
        </w:rPr>
      </w:pPr>
    </w:p>
    <w:p>
      <w:pPr>
        <w:jc w:val="center"/>
        <w:rPr>
          <w:rFonts w:ascii="仿宋" w:hAnsi="仿宋" w:eastAsia="仿宋" w:cs="仿宋"/>
          <w:sz w:val="32"/>
          <w:szCs w:val="32"/>
        </w:rPr>
      </w:pPr>
    </w:p>
    <w:p>
      <w:pP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kern w:val="0"/>
                <w:sz w:val="22"/>
                <w:szCs w:val="22"/>
                <w:highlight w:val="none"/>
                <w:lang w:val="en-US" w:eastAsia="zh-CN" w:bidi="ar"/>
              </w:rPr>
            </w:pPr>
            <w:r>
              <w:rPr>
                <w:rFonts w:hint="eastAsia" w:asciiTheme="majorEastAsia" w:hAnsiTheme="majorEastAsia" w:eastAsiaTheme="majorEastAsia" w:cstheme="majorEastAsia"/>
                <w:color w:val="000000"/>
                <w:kern w:val="0"/>
                <w:sz w:val="22"/>
                <w:szCs w:val="22"/>
                <w:highlight w:val="none"/>
                <w:lang w:bidi="ar"/>
              </w:rPr>
              <w:t>1</w:t>
            </w:r>
            <w:r>
              <w:rPr>
                <w:rFonts w:hint="eastAsia" w:asciiTheme="majorEastAsia" w:hAnsiTheme="majorEastAsia" w:eastAsiaTheme="majorEastAsia" w:cstheme="majorEastAsia"/>
                <w:color w:val="000000"/>
                <w:kern w:val="0"/>
                <w:sz w:val="22"/>
                <w:szCs w:val="22"/>
                <w:highlight w:val="none"/>
                <w:lang w:val="en-US" w:eastAsia="zh-CN" w:bidi="ar"/>
              </w:rPr>
              <w:t>.70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kern w:val="0"/>
                <w:sz w:val="22"/>
                <w:szCs w:val="22"/>
                <w:highlight w:val="none"/>
                <w:lang w:eastAsia="zh-CN" w:bidi="ar"/>
              </w:rPr>
            </w:pPr>
            <w:r>
              <w:rPr>
                <w:rFonts w:hint="eastAsia" w:asciiTheme="majorEastAsia" w:hAnsiTheme="majorEastAsia" w:eastAsiaTheme="majorEastAsia" w:cstheme="majorEastAsia"/>
              </w:rPr>
              <w:t>315</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val="en-US" w:eastAsia="zh-CN"/>
              </w:rPr>
              <w:t>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rPr>
              <w:t>11</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0"/>
                <w:sz w:val="22"/>
                <w:szCs w:val="22"/>
                <w:highlight w:val="none"/>
                <w:lang w:eastAsia="zh-CN" w:bidi="ar"/>
              </w:rPr>
            </w:pPr>
            <w:r>
              <w:rPr>
                <w:rFonts w:hint="eastAsia" w:asciiTheme="majorEastAsia" w:hAnsiTheme="majorEastAsia" w:eastAsiaTheme="majorEastAsia" w:cstheme="majorEastAsia"/>
              </w:rPr>
              <w:t>7</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9</w:t>
            </w:r>
            <w:r>
              <w:rPr>
                <w:rFonts w:hint="eastAsia" w:asciiTheme="majorEastAsia" w:hAnsiTheme="majorEastAsia" w:eastAsiaTheme="majorEastAsia" w:cstheme="majorEastAsia"/>
                <w:lang w:val="en-US" w:eastAsia="zh-CN"/>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kern w:val="0"/>
                <w:sz w:val="22"/>
                <w:szCs w:val="22"/>
                <w:highlight w:val="none"/>
                <w:lang w:val="en-US" w:eastAsia="zh-CN" w:bidi="ar"/>
              </w:rPr>
            </w:pPr>
            <w:r>
              <w:rPr>
                <w:rFonts w:hint="eastAsia" w:asciiTheme="majorEastAsia" w:hAnsiTheme="majorEastAsia" w:eastAsiaTheme="majorEastAsia" w:cstheme="majorEastAsia"/>
              </w:rPr>
              <w:t>7</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val="en-US" w:eastAsia="zh-CN"/>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343.36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343.36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310.98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310.98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4.57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11.17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11.17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343.36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121.98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221.38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310.98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94.17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216.81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4.57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11.17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11.17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14079" w:type="dxa"/>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4"/>
        <w:gridCol w:w="1895"/>
      </w:tblGrid>
      <w:tr>
        <w:tblPrEx>
          <w:tblCellMar>
            <w:top w:w="0" w:type="dxa"/>
            <w:left w:w="108" w:type="dxa"/>
            <w:bottom w:w="0" w:type="dxa"/>
            <w:right w:w="108" w:type="dxa"/>
          </w:tblCellMar>
        </w:tblPrEx>
        <w:trPr>
          <w:trHeight w:val="520" w:hRule="atLeast"/>
        </w:trPr>
        <w:tc>
          <w:tcPr>
            <w:tcW w:w="14079"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22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8607"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7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5"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430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977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2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18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18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22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1</w:t>
            </w:r>
            <w:r>
              <w:rPr>
                <w:rFonts w:hint="eastAsia" w:asciiTheme="majorEastAsia" w:hAnsiTheme="majorEastAsia" w:eastAsiaTheme="majorEastAsia" w:cstheme="majorEastAsia"/>
                <w:color w:val="000000"/>
                <w:kern w:val="0"/>
                <w:sz w:val="22"/>
                <w:szCs w:val="22"/>
                <w:highlight w:val="none"/>
                <w:lang w:val="en-US" w:eastAsia="zh-CN" w:bidi="ar"/>
              </w:rPr>
              <w:t>.70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1</w:t>
            </w:r>
            <w:r>
              <w:rPr>
                <w:rFonts w:hint="eastAsia" w:asciiTheme="majorEastAsia" w:hAnsiTheme="majorEastAsia" w:eastAsiaTheme="majorEastAsia" w:cstheme="majorEastAsia"/>
                <w:color w:val="000000"/>
                <w:kern w:val="0"/>
                <w:sz w:val="22"/>
                <w:szCs w:val="22"/>
                <w:highlight w:val="none"/>
                <w:lang w:val="en-US" w:eastAsia="zh-CN" w:bidi="ar"/>
              </w:rPr>
              <w:t>.70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Theme="majorEastAsia" w:hAnsiTheme="majorEastAsia" w:eastAsiaTheme="majorEastAsia" w:cstheme="majorEastAsia"/>
              </w:rPr>
              <w:t>315</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val="en-US" w:eastAsia="zh-CN"/>
              </w:rPr>
              <w:t>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Theme="majorEastAsia" w:hAnsiTheme="majorEastAsia" w:eastAsiaTheme="majorEastAsia" w:cstheme="majorEastAsia"/>
              </w:rPr>
              <w:t>315</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val="en-US" w:eastAsia="zh-CN"/>
              </w:rPr>
              <w:t>5</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yellow"/>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Theme="majorEastAsia" w:hAnsiTheme="majorEastAsia" w:eastAsiaTheme="majorEastAsia" w:cstheme="majorEastAsia"/>
                <w:color w:val="auto"/>
                <w:highlight w:val="none"/>
              </w:rPr>
              <w:t>11</w:t>
            </w:r>
            <w:r>
              <w:rPr>
                <w:rFonts w:hint="eastAsia" w:asciiTheme="majorEastAsia" w:hAnsiTheme="majorEastAsia" w:eastAsiaTheme="majorEastAsia" w:cstheme="majorEastAsia"/>
                <w:color w:val="auto"/>
                <w:highlight w:val="none"/>
                <w:lang w:val="en-US" w:eastAsia="zh-CN"/>
              </w:rPr>
              <w:t>.</w:t>
            </w:r>
            <w:r>
              <w:rPr>
                <w:rFonts w:hint="eastAsia" w:asciiTheme="majorEastAsia" w:hAnsiTheme="majorEastAsia" w:eastAsiaTheme="majorEastAsia" w:cstheme="majorEastAsia"/>
                <w:color w:val="auto"/>
                <w:highlight w:val="none"/>
              </w:rPr>
              <w:t>17</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Theme="majorEastAsia" w:hAnsiTheme="majorEastAsia" w:eastAsiaTheme="majorEastAsia" w:cstheme="majorEastAsia"/>
                <w:color w:val="auto"/>
                <w:highlight w:val="none"/>
              </w:rPr>
              <w:t>11</w:t>
            </w:r>
            <w:r>
              <w:rPr>
                <w:rFonts w:hint="eastAsia" w:asciiTheme="majorEastAsia" w:hAnsiTheme="majorEastAsia" w:eastAsiaTheme="majorEastAsia" w:cstheme="majorEastAsia"/>
                <w:color w:val="auto"/>
                <w:highlight w:val="none"/>
                <w:lang w:val="en-US" w:eastAsia="zh-CN"/>
              </w:rPr>
              <w:t>.</w:t>
            </w:r>
            <w:r>
              <w:rPr>
                <w:rFonts w:hint="eastAsia" w:asciiTheme="majorEastAsia" w:hAnsiTheme="majorEastAsia" w:eastAsiaTheme="majorEastAsia" w:cstheme="majorEastAsia"/>
                <w:color w:val="auto"/>
                <w:highlight w:val="none"/>
              </w:rPr>
              <w:t>17</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yellow"/>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7.92</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7.02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7.02</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7"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6</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84"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1895" w:type="dxa"/>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343.36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121.98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221.38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94.17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216.81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7.92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120.28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42.38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22.76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bookmarkStart w:id="5" w:name="_GoBack"/>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bookmarkEnd w:id="5"/>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center"/>
        <w:rPr>
          <w:rFonts w:ascii="仿宋" w:hAnsi="仿宋" w:eastAsia="仿宋" w:cs="仿宋"/>
          <w:sz w:val="32"/>
          <w:szCs w:val="32"/>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一、2023年度收入支出决算总体情况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343.36</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343.36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9.96</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343.36</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环江毛南族自治县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9.96</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本年度学生减少，学前教育保教费收入减少。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2.政府性基金预算财政拨款收入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w:t>
      </w:r>
      <w:r>
        <w:rPr>
          <w:rFonts w:hint="eastAsia" w:ascii="仿宋" w:hAnsi="仿宋" w:eastAsia="仿宋" w:cs="Times New Roman"/>
          <w:sz w:val="32"/>
          <w:szCs w:val="32"/>
        </w:rPr>
        <w:t>本单位2023年没有政府性基金预算财政拨款资金收入。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，主要原因是：本单位2023年度无国有资本经营预算财政拨款收入。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ascii="仿宋" w:hAnsi="仿宋" w:eastAsia="仿宋" w:cs="仿宋"/>
          <w:sz w:val="32"/>
        </w:rPr>
        <w:t>0.00</w:t>
      </w:r>
      <w:r>
        <w:rPr>
          <w:rFonts w:hint="eastAsia" w:ascii="仿宋" w:hAnsi="仿宋" w:eastAsia="仿宋" w:cs="仿宋"/>
          <w:sz w:val="32"/>
          <w:szCs w:val="32"/>
        </w:rPr>
        <w:t>万元，为上级部门当年拨付的资金。较2022年度决算数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，主要原因是：本单位没有上级补助收入。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万元，为事业单位开展业务活动取得的收入。较2022年度决算数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，主要原因是：本单位没有事业收入。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6.经营收入0.00万,为事业单位在业务活动之外开展非独立核算经营活动取得的收入。较2022年度决算数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8.其他收入</w:t>
      </w:r>
      <w:r>
        <w:rPr>
          <w:rFonts w:ascii="仿宋" w:hAnsi="仿宋" w:eastAsia="仿宋" w:cs="仿宋"/>
          <w:sz w:val="32"/>
        </w:rPr>
        <w:t>0.00</w:t>
      </w:r>
      <w:r>
        <w:rPr>
          <w:rFonts w:hint="eastAsia" w:ascii="仿宋" w:hAnsi="仿宋" w:eastAsia="仿宋" w:cs="仿宋"/>
          <w:sz w:val="32"/>
          <w:szCs w:val="32"/>
        </w:rPr>
        <w:t>万元,为预算单位在“财政拨款收入”“事业收入”“经营收入”之外取得的收入。较2022年度决算数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，主要原因是：本单位没有非财政拨款结余。</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10.上年结转和结余</w:t>
      </w:r>
      <w:r>
        <w:rPr>
          <w:rFonts w:ascii="仿宋" w:hAnsi="仿宋" w:eastAsia="仿宋" w:cs="仿宋"/>
          <w:sz w:val="32"/>
        </w:rPr>
        <w:t>0.00</w:t>
      </w:r>
      <w:r>
        <w:rPr>
          <w:rFonts w:hint="eastAsia" w:ascii="仿宋" w:hAnsi="仿宋" w:eastAsia="仿宋" w:cs="仿宋"/>
          <w:sz w:val="32"/>
          <w:szCs w:val="32"/>
        </w:rPr>
        <w:t>万元，为以前年度支出预算因客观条件变化未执行完毕、结转到本年度按有关规定继续使用的资金。较2022年度决算数</w:t>
      </w:r>
      <w:r>
        <w:rPr>
          <w:rFonts w:ascii="仿宋" w:hAnsi="仿宋" w:eastAsia="仿宋" w:cs="仿宋"/>
          <w:sz w:val="32"/>
        </w:rPr>
        <w:t>减少</w:t>
      </w:r>
      <w:r>
        <w:rPr>
          <w:rFonts w:hint="eastAsia" w:ascii="仿宋" w:hAnsi="仿宋" w:eastAsia="仿宋" w:cs="仿宋"/>
          <w:sz w:val="32"/>
        </w:rPr>
        <w:t>0.00</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，主要原因：部分项目已在本年执行完毕，不需要结转至下年继续执行。</w:t>
      </w:r>
    </w:p>
    <w:p>
      <w:pPr>
        <w:ind w:firstLine="640" w:firstLineChars="200"/>
        <w:jc w:val="left"/>
        <w:rPr>
          <w:rFonts w:ascii="仿宋" w:hAnsi="仿宋" w:eastAsia="仿宋" w:cs="仿宋"/>
          <w:sz w:val="32"/>
          <w:szCs w:val="32"/>
        </w:rPr>
      </w:pPr>
      <w:r>
        <w:rPr>
          <w:rFonts w:ascii="仿宋" w:hAnsi="仿宋" w:eastAsia="仿宋" w:cs="仿宋"/>
          <w:sz w:val="32"/>
          <w:szCs w:val="32"/>
        </w:rPr>
        <w:drawing>
          <wp:inline distT="0" distB="0" distL="0" distR="0">
            <wp:extent cx="5486400" cy="32004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343.36</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343.36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w:t>
      </w:r>
      <w:r>
        <w:rPr>
          <w:rFonts w:hint="eastAsia" w:ascii="仿宋_GB2312" w:eastAsia="仿宋_GB2312" w:cs="仿宋_GB2312"/>
          <w:kern w:val="0"/>
          <w:sz w:val="32"/>
          <w:szCs w:val="32"/>
          <w:lang w:val="en-US" w:eastAsia="zh-CN"/>
        </w:rPr>
        <w:t>9.96</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1.70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在职人员工会经费支出。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261.7%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sz w:val="32"/>
          <w:szCs w:val="32"/>
          <w:lang w:val="en-US" w:eastAsia="zh-CN"/>
        </w:rPr>
        <w:t>2023年8月份新公招教师控制数5人</w:t>
      </w:r>
      <w:r>
        <w:rPr>
          <w:rFonts w:hint="eastAsia" w:ascii="仿宋" w:hAnsi="仿宋" w:eastAsia="仿宋" w:cs="仿宋"/>
          <w:sz w:val="32"/>
          <w:szCs w:val="32"/>
        </w:rPr>
        <w:t>。</w:t>
      </w:r>
    </w:p>
    <w:p>
      <w:pPr>
        <w:keepNext w:val="0"/>
        <w:keepLines w:val="0"/>
        <w:widowControl w:val="0"/>
        <w:suppressLineNumbers w:val="0"/>
        <w:spacing w:before="0" w:beforeAutospacing="0" w:after="0" w:afterAutospacing="0"/>
        <w:ind w:right="0" w:firstLine="640" w:firstLineChars="200"/>
        <w:jc w:val="left"/>
        <w:rPr>
          <w:rFonts w:hint="eastAsia" w:ascii="仿宋_GB2312" w:hAnsi="宋体" w:eastAsia="仿宋_GB2312" w:cs="仿宋_GB2312"/>
          <w:color w:val="000000"/>
          <w:kern w:val="0"/>
          <w:sz w:val="31"/>
          <w:szCs w:val="31"/>
          <w:highlight w:val="none"/>
          <w:lang w:val="en-US" w:eastAsia="zh-CN" w:bidi="ar"/>
        </w:rPr>
      </w:pPr>
      <w:r>
        <w:rPr>
          <w:rFonts w:hint="eastAsia" w:ascii="仿宋" w:hAnsi="仿宋" w:eastAsia="仿宋" w:cs="仿宋"/>
          <w:sz w:val="32"/>
          <w:szCs w:val="32"/>
          <w:highlight w:val="none"/>
          <w:lang w:val="en-US" w:eastAsia="zh-CN"/>
        </w:rPr>
        <w:t>2</w:t>
      </w:r>
      <w:r>
        <w:rPr>
          <w:rFonts w:ascii="仿宋" w:hAnsi="仿宋" w:eastAsia="仿宋" w:cs="仿宋"/>
          <w:sz w:val="32"/>
          <w:highlight w:val="none"/>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315.55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_GB2312" w:hAnsi="宋体" w:eastAsia="仿宋_GB2312" w:cs="仿宋_GB2312"/>
          <w:color w:val="000000"/>
          <w:kern w:val="0"/>
          <w:sz w:val="31"/>
          <w:szCs w:val="31"/>
          <w:highlight w:val="none"/>
          <w:lang w:val="en-US" w:eastAsia="zh-CN" w:bidi="ar"/>
        </w:rPr>
        <w:t>主要用于人员基本工资福利及幼儿园开展教学活动支出，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减少22.42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6.63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Times New Roman" w:hAnsi="Times New Roman" w:eastAsia="宋体" w:cs="Times New Roman"/>
          <w:color w:val="000000"/>
          <w:kern w:val="0"/>
          <w:sz w:val="31"/>
          <w:szCs w:val="31"/>
          <w:highlight w:val="none"/>
          <w:lang w:val="en-US" w:eastAsia="zh-CN" w:bidi="ar"/>
        </w:rPr>
        <w:t>202</w:t>
      </w:r>
      <w:r>
        <w:rPr>
          <w:rFonts w:hint="eastAsia" w:ascii="Times New Roman" w:hAnsi="Times New Roman" w:eastAsia="宋体" w:cs="Times New Roman"/>
          <w:color w:val="000000"/>
          <w:kern w:val="0"/>
          <w:sz w:val="31"/>
          <w:szCs w:val="31"/>
          <w:highlight w:val="none"/>
          <w:lang w:val="en-US" w:eastAsia="zh-CN" w:bidi="ar"/>
        </w:rPr>
        <w:t>3</w:t>
      </w:r>
      <w:r>
        <w:rPr>
          <w:rFonts w:hint="eastAsia" w:ascii="仿宋_GB2312" w:hAnsi="宋体" w:eastAsia="仿宋_GB2312" w:cs="仿宋_GB2312"/>
          <w:color w:val="000000"/>
          <w:kern w:val="0"/>
          <w:sz w:val="31"/>
          <w:szCs w:val="31"/>
          <w:highlight w:val="none"/>
          <w:lang w:val="en-US" w:eastAsia="zh-CN" w:bidi="ar"/>
        </w:rPr>
        <w:t>年学生人数减少。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highlight w:val="none"/>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highlight w:val="none"/>
          <w:lang w:val="en-US" w:eastAsia="zh-CN" w:bidi="ar"/>
        </w:rPr>
        <w:t>主要用于单位基本养老缴费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增加134.17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2023年8月份新增教师控制数5人。</w:t>
      </w:r>
      <w:r>
        <w:rPr>
          <w:rFonts w:hint="eastAsia" w:ascii="仿宋" w:hAnsi="仿宋" w:eastAsia="仿宋" w:cs="仿宋"/>
          <w:sz w:val="32"/>
          <w:szCs w:val="32"/>
        </w:rPr>
        <w:t>2023年度调整工资标准。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4</w:t>
      </w:r>
      <w:r>
        <w:rPr>
          <w:rFonts w:ascii="仿宋" w:hAnsi="仿宋" w:eastAsia="仿宋" w:cs="仿宋"/>
          <w:sz w:val="32"/>
          <w:highlight w:val="none"/>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7.92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highlight w:val="none"/>
          <w:lang w:val="en-US" w:eastAsia="zh-CN" w:bidi="ar"/>
        </w:rPr>
        <w:t>住房公积金缴费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增加4.63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增加140.72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2023年8月份新增教师控制数5人。</w:t>
      </w:r>
      <w:r>
        <w:rPr>
          <w:rFonts w:hint="eastAsia" w:ascii="仿宋" w:hAnsi="仿宋" w:eastAsia="仿宋" w:cs="仿宋"/>
          <w:sz w:val="32"/>
          <w:szCs w:val="32"/>
        </w:rPr>
        <w:t>2023年度调整工资标准。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5.其他支出（229类）7.02万元，主要用于发放人员奖励性补贴。</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增加0.19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增加2.78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2023年8月份新增教师控制数5人。</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p>
    <w:p>
      <w:pPr>
        <w:ind w:firstLine="640" w:firstLineChars="200"/>
        <w:jc w:val="center"/>
        <w:rPr>
          <w:rFonts w:hint="eastAsia" w:ascii="仿宋" w:hAnsi="仿宋" w:eastAsia="仿宋" w:cs="仿宋"/>
          <w:sz w:val="32"/>
          <w:szCs w:val="32"/>
        </w:rPr>
      </w:pPr>
    </w:p>
    <w:p>
      <w:pPr>
        <w:jc w:val="center"/>
        <w:rPr>
          <w:rFonts w:ascii="仿宋" w:hAnsi="仿宋" w:eastAsia="仿宋" w:cs="仿宋"/>
          <w:sz w:val="32"/>
          <w:szCs w:val="32"/>
        </w:rPr>
      </w:pPr>
      <w:r>
        <w:rPr>
          <w:rFonts w:ascii="仿宋" w:hAnsi="仿宋" w:eastAsia="仿宋" w:cs="仿宋"/>
          <w:sz w:val="32"/>
          <w:szCs w:val="32"/>
        </w:rPr>
        <w:drawing>
          <wp:inline distT="0" distB="0" distL="0" distR="0">
            <wp:extent cx="5486400" cy="3552190"/>
            <wp:effectExtent l="4445" t="4445" r="1460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二、2023年度</w:t>
      </w:r>
      <w:bookmarkStart w:id="2" w:name="OLE_LINK1"/>
      <w:r>
        <w:rPr>
          <w:rFonts w:hint="eastAsia" w:ascii="黑体" w:hAnsi="黑体" w:eastAsia="黑体" w:cs="黑体"/>
          <w:sz w:val="32"/>
          <w:szCs w:val="32"/>
        </w:rPr>
        <w:t>一般公共预算财政拨款支出决算情况</w:t>
      </w:r>
      <w:bookmarkEnd w:id="2"/>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环江毛南族自治县川山镇中心幼儿园</w:t>
      </w:r>
      <w:r>
        <w:rPr>
          <w:rFonts w:hint="eastAsia" w:ascii="仿宋_GB2312" w:eastAsia="仿宋_GB2312"/>
          <w:kern w:val="0"/>
          <w:sz w:val="32"/>
          <w:szCs w:val="32"/>
          <w:u w:val="none"/>
        </w:rPr>
        <w:t>2</w:t>
      </w:r>
      <w:r>
        <w:rPr>
          <w:rFonts w:hint="eastAsia" w:ascii="仿宋_GB2312" w:eastAsia="仿宋_GB2312"/>
          <w:kern w:val="0"/>
          <w:sz w:val="32"/>
          <w:szCs w:val="32"/>
        </w:rPr>
        <w:t>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343.36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w:t>
      </w:r>
      <w:r>
        <w:rPr>
          <w:rFonts w:hint="eastAsia" w:ascii="仿宋_GB2312" w:eastAsia="仿宋_GB2312" w:cs="仿宋_GB2312"/>
          <w:kern w:val="0"/>
          <w:sz w:val="32"/>
          <w:szCs w:val="32"/>
          <w:lang w:val="en-US" w:eastAsia="zh-CN"/>
        </w:rPr>
        <w:t>9.96</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121.98</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221.38</w:t>
      </w:r>
      <w:r>
        <w:rPr>
          <w:rFonts w:hint="eastAsia" w:ascii="仿宋_GB2312" w:eastAsia="仿宋_GB2312" w:cs="仿宋_GB2312"/>
          <w:kern w:val="0"/>
          <w:sz w:val="32"/>
          <w:szCs w:val="32"/>
        </w:rPr>
        <w:t>万元。</w:t>
      </w:r>
    </w:p>
    <w:p>
      <w:pPr>
        <w:numPr>
          <w:ilvl w:val="0"/>
          <w:numId w:val="1"/>
        </w:numPr>
        <w:ind w:left="-210" w:leftChars="0" w:firstLineChars="0"/>
        <w:jc w:val="left"/>
        <w:rPr>
          <w:rFonts w:eastAsia="仿宋"/>
        </w:rPr>
      </w:pPr>
      <w:r>
        <w:rPr>
          <w:rFonts w:hint="eastAsia" w:ascii="仿宋_GB2312" w:hAnsi="黑体" w:eastAsia="仿宋_GB2312"/>
          <w:bCs/>
          <w:color w:val="000000"/>
          <w:sz w:val="32"/>
          <w:szCs w:val="32"/>
          <w:u w:val="none"/>
          <w:lang w:val="en-US" w:eastAsia="zh-CN"/>
        </w:rPr>
        <w:t>环江毛南族自治县川山镇中心幼儿园</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334.92</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343.36</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102.52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支出具体情况如下：</w:t>
      </w:r>
    </w:p>
    <w:p>
      <w:pPr>
        <w:numPr>
          <w:ilvl w:val="0"/>
          <w:numId w:val="0"/>
        </w:numPr>
        <w:ind w:firstLine="640" w:firstLineChars="200"/>
        <w:jc w:val="left"/>
        <w:rPr>
          <w:rFonts w:eastAsia="仿宋"/>
        </w:rPr>
      </w:pP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1.7</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无差异。</w:t>
      </w:r>
    </w:p>
    <w:p>
      <w:pPr>
        <w:ind w:firstLine="640" w:firstLineChars="200"/>
        <w:jc w:val="left"/>
        <w:rPr>
          <w:rFonts w:ascii="仿宋" w:hAnsi="仿宋" w:eastAsia="仿宋"/>
          <w:sz w:val="32"/>
          <w:szCs w:val="32"/>
        </w:rPr>
      </w:pPr>
      <w:r>
        <w:rPr>
          <w:rFonts w:hint="eastAsia" w:ascii="仿宋" w:hAnsi="仿宋" w:eastAsia="仿宋"/>
          <w:sz w:val="32"/>
          <w:szCs w:val="32"/>
        </w:rPr>
        <w:t>支出具体情况如下：</w:t>
      </w:r>
    </w:p>
    <w:tbl>
      <w:tblPr>
        <w:tblStyle w:val="7"/>
        <w:tblW w:w="8524" w:type="dxa"/>
        <w:jc w:val="center"/>
        <w:tblLayout w:type="fixed"/>
        <w:tblCellMar>
          <w:top w:w="0" w:type="dxa"/>
          <w:left w:w="108" w:type="dxa"/>
          <w:bottom w:w="0" w:type="dxa"/>
          <w:right w:w="108" w:type="dxa"/>
        </w:tblCellMar>
      </w:tblPr>
      <w:tblGrid>
        <w:gridCol w:w="943"/>
        <w:gridCol w:w="1076"/>
        <w:gridCol w:w="994"/>
        <w:gridCol w:w="806"/>
        <w:gridCol w:w="1097"/>
        <w:gridCol w:w="1783"/>
        <w:gridCol w:w="1825"/>
      </w:tblGrid>
      <w:tr>
        <w:tblPrEx>
          <w:tblCellMar>
            <w:top w:w="0" w:type="dxa"/>
            <w:left w:w="108" w:type="dxa"/>
            <w:bottom w:w="0" w:type="dxa"/>
            <w:right w:w="108" w:type="dxa"/>
          </w:tblCellMar>
        </w:tblPrEx>
        <w:trPr>
          <w:trHeight w:val="63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教职工工会活动费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Cs w:val="21"/>
              </w:rPr>
            </w:pPr>
            <w:r>
              <w:rPr>
                <w:rFonts w:hint="eastAsia" w:ascii="仿宋" w:hAnsi="仿宋" w:eastAsia="仿宋" w:cs="仿宋"/>
                <w:szCs w:val="21"/>
              </w:rPr>
              <w:t>无差异</w:t>
            </w:r>
          </w:p>
        </w:tc>
      </w:tr>
      <w:tr>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Fonts w:ascii="仿宋" w:hAnsi="仿宋" w:eastAsia="仿宋"/>
          <w:sz w:val="32"/>
          <w:szCs w:val="32"/>
        </w:rPr>
      </w:pPr>
    </w:p>
    <w:p>
      <w:pPr>
        <w:numPr>
          <w:ilvl w:val="0"/>
          <w:numId w:val="0"/>
        </w:numPr>
        <w:jc w:val="left"/>
        <w:rPr>
          <w:rFonts w:hint="eastAsia" w:ascii="仿宋" w:hAnsi="仿宋" w:eastAsia="仿宋" w:cs="仿宋"/>
          <w:sz w:val="32"/>
          <w:szCs w:val="32"/>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highlight w:val="none"/>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308.63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315.55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102.24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2023年8月份新增教师控制数5人，</w:t>
      </w:r>
      <w:r>
        <w:rPr>
          <w:rFonts w:hint="eastAsia" w:ascii="仿宋" w:hAnsi="仿宋" w:eastAsia="仿宋" w:cs="仿宋"/>
          <w:sz w:val="32"/>
          <w:szCs w:val="32"/>
        </w:rPr>
        <w:t>调整工资标准</w:t>
      </w:r>
      <w:r>
        <w:rPr>
          <w:rFonts w:hint="eastAsia" w:ascii="仿宋" w:hAnsi="仿宋" w:eastAsia="仿宋" w:cs="仿宋"/>
          <w:sz w:val="32"/>
          <w:szCs w:val="32"/>
          <w:lang w:eastAsia="zh-CN"/>
        </w:rPr>
        <w:t>。</w:t>
      </w:r>
    </w:p>
    <w:p>
      <w:pPr>
        <w:numPr>
          <w:ilvl w:val="0"/>
          <w:numId w:val="0"/>
        </w:numPr>
        <w:ind w:firstLine="640" w:firstLineChars="200"/>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308.63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315.55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102.24</w:t>
            </w:r>
            <w:r>
              <w:rPr>
                <w:rFonts w:hint="eastAsia" w:ascii="宋体" w:hAnsi="宋体" w:eastAsia="宋体" w:cs="宋体"/>
                <w:sz w:val="18"/>
                <w:szCs w:val="18"/>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_GB2312" w:hAnsi="仿宋_GB2312" w:eastAsia="仿宋_GB2312" w:cs="仿宋_GB2312"/>
                <w:sz w:val="16"/>
                <w:szCs w:val="16"/>
              </w:rPr>
              <w:t>人员基本工资，</w:t>
            </w:r>
            <w:r>
              <w:rPr>
                <w:rFonts w:hint="eastAsia" w:ascii="仿宋_GB2312" w:hAnsi="仿宋_GB2312" w:eastAsia="仿宋_GB2312" w:cs="仿宋_GB2312"/>
                <w:color w:val="000000"/>
                <w:kern w:val="0"/>
                <w:sz w:val="16"/>
                <w:szCs w:val="16"/>
                <w:highlight w:val="none"/>
                <w:lang w:val="en-US" w:eastAsia="zh-CN" w:bidi="ar"/>
              </w:rPr>
              <w:t>幼儿园开展教学活动支出</w:t>
            </w:r>
            <w:r>
              <w:rPr>
                <w:rFonts w:hint="eastAsia" w:ascii="仿宋_GB2312" w:hAnsi="仿宋_GB2312" w:eastAsia="仿宋_GB2312" w:cs="仿宋_GB2312"/>
                <w:sz w:val="16"/>
                <w:szCs w:val="16"/>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人员增加，调整工资标准。</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308.63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315.55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102.24</w:t>
            </w:r>
            <w:r>
              <w:rPr>
                <w:rFonts w:hint="eastAsia" w:ascii="宋体" w:hAnsi="宋体" w:eastAsia="宋体" w:cs="宋体"/>
                <w:sz w:val="18"/>
                <w:szCs w:val="18"/>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cs="仿宋"/>
          <w:color w:val="auto"/>
          <w:sz w:val="32"/>
          <w:szCs w:val="32"/>
          <w:highlight w:val="none"/>
        </w:rPr>
        <w:drawing>
          <wp:inline distT="0" distB="0" distL="114300" distR="114300">
            <wp:extent cx="5426710" cy="3244215"/>
            <wp:effectExtent l="4445" t="4445" r="17145"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仿宋" w:hAnsi="仿宋" w:eastAsia="仿宋"/>
          <w:sz w:val="32"/>
          <w:szCs w:val="32"/>
        </w:rPr>
      </w:pPr>
    </w:p>
    <w:p>
      <w:pPr>
        <w:numPr>
          <w:ilvl w:val="0"/>
          <w:numId w:val="0"/>
        </w:num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highlight w:val="none"/>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14.05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79.50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rPr>
        <w:t>年初预算缴费基数偏高。</w:t>
      </w:r>
    </w:p>
    <w:p>
      <w:pPr>
        <w:numPr>
          <w:ilvl w:val="0"/>
          <w:numId w:val="0"/>
        </w:numPr>
        <w:ind w:firstLine="640" w:firstLineChars="200"/>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jc w:val="center"/>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79.5</w:t>
            </w:r>
            <w:r>
              <w:rPr>
                <w:rFonts w:hint="eastAsia" w:ascii="宋体" w:hAnsi="宋体" w:eastAsia="宋体" w:cs="宋体"/>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14.05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11.17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79.5</w:t>
            </w:r>
            <w:r>
              <w:rPr>
                <w:rFonts w:hint="eastAsia" w:ascii="宋体" w:hAnsi="宋体" w:eastAsia="宋体" w:cs="宋体"/>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cs="仿宋"/>
          <w:color w:val="auto"/>
          <w:sz w:val="32"/>
          <w:szCs w:val="32"/>
          <w:highlight w:val="none"/>
        </w:rPr>
        <w:drawing>
          <wp:inline distT="0" distB="0" distL="114300" distR="114300">
            <wp:extent cx="5741670" cy="3244215"/>
            <wp:effectExtent l="4445" t="5080" r="6985" b="825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ascii="仿宋" w:hAnsi="仿宋" w:eastAsia="仿宋"/>
          <w:sz w:val="32"/>
          <w:szCs w:val="32"/>
        </w:rPr>
      </w:pPr>
    </w:p>
    <w:p>
      <w:pPr>
        <w:numPr>
          <w:ilvl w:val="0"/>
          <w:numId w:val="0"/>
        </w:numPr>
        <w:ind w:firstLine="640" w:firstLineChars="200"/>
        <w:jc w:val="left"/>
        <w:rPr>
          <w:rFonts w:eastAsia="仿宋"/>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highlight w:val="none"/>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10.54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7.92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75.14</w:t>
      </w:r>
      <w:r>
        <w:rPr>
          <w:rFonts w:ascii="仿宋" w:hAnsi="仿宋" w:eastAsia="仿宋"/>
          <w:sz w:val="32"/>
          <w:szCs w:val="32"/>
          <w:highlight w:val="none"/>
        </w:rPr>
        <w:t>%</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年初预算缴费基数偏高。</w:t>
      </w:r>
    </w:p>
    <w:p>
      <w:pPr>
        <w:ind w:firstLine="640" w:firstLineChars="200"/>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jc w:val="center"/>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10.54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75.14</w:t>
            </w:r>
            <w:r>
              <w:rPr>
                <w:rFonts w:hint="eastAsia" w:ascii="宋体" w:hAnsi="宋体" w:eastAsia="宋体" w:cs="宋体"/>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10.54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75.14%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cs="仿宋"/>
          <w:color w:val="auto"/>
          <w:sz w:val="32"/>
          <w:szCs w:val="32"/>
          <w:highlight w:val="none"/>
        </w:rPr>
        <w:drawing>
          <wp:inline distT="0" distB="0" distL="114300" distR="114300">
            <wp:extent cx="5580380" cy="2757805"/>
            <wp:effectExtent l="4445" t="4445" r="15875" b="19050"/>
            <wp:docPr id="13"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ascii="仿宋" w:hAnsi="仿宋" w:eastAsia="仿宋"/>
          <w:sz w:val="32"/>
          <w:szCs w:val="32"/>
        </w:rPr>
      </w:pPr>
    </w:p>
    <w:p>
      <w:pPr>
        <w:numPr>
          <w:ilvl w:val="0"/>
          <w:numId w:val="0"/>
        </w:numPr>
        <w:ind w:firstLine="640" w:firstLineChars="200"/>
        <w:jc w:val="left"/>
        <w:rPr>
          <w:rFonts w:hint="eastAsia" w:ascii="仿宋" w:hAnsi="仿宋" w:eastAsia="仿宋" w:cs="仿宋"/>
          <w:sz w:val="30"/>
          <w:szCs w:val="30"/>
        </w:rPr>
      </w:pPr>
      <w:r>
        <w:rPr>
          <w:rFonts w:hint="eastAsia" w:ascii="仿宋" w:hAnsi="仿宋" w:eastAsia="仿宋" w:cs="仿宋"/>
          <w:color w:val="auto"/>
          <w:kern w:val="2"/>
          <w:sz w:val="32"/>
          <w:szCs w:val="32"/>
          <w:highlight w:val="none"/>
          <w:lang w:val="en-US" w:eastAsia="zh-CN" w:bidi="ar"/>
        </w:rPr>
        <w:t>（五）其他支出（229类）年初预算为0万元，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7.02</w:t>
      </w:r>
      <w:r>
        <w:rPr>
          <w:rFonts w:hint="eastAsia" w:ascii="仿宋" w:hAnsi="仿宋" w:eastAsia="仿宋"/>
          <w:sz w:val="32"/>
          <w:szCs w:val="32"/>
          <w:highlight w:val="none"/>
        </w:rPr>
        <w:t>万元</w:t>
      </w:r>
      <w:r>
        <w:rPr>
          <w:rFonts w:hint="eastAsia" w:ascii="仿宋" w:hAnsi="仿宋" w:eastAsia="仿宋"/>
          <w:sz w:val="32"/>
          <w:szCs w:val="32"/>
        </w:rPr>
        <w:t>。预决算存有差异原因是：</w:t>
      </w:r>
      <w:r>
        <w:rPr>
          <w:rFonts w:hint="eastAsia" w:ascii="仿宋" w:hAnsi="仿宋" w:eastAsia="仿宋" w:cs="仿宋"/>
          <w:sz w:val="30"/>
          <w:szCs w:val="30"/>
          <w:lang w:val="en-US" w:eastAsia="zh-CN"/>
        </w:rPr>
        <w:t>此部分资金由上级部门预算直接下达，本部门无需做预算。</w:t>
      </w:r>
    </w:p>
    <w:p>
      <w:pPr>
        <w:ind w:firstLine="640" w:firstLineChars="200"/>
        <w:jc w:val="left"/>
        <w:rPr>
          <w:rFonts w:ascii="仿宋" w:hAnsi="仿宋" w:eastAsia="仿宋"/>
          <w:sz w:val="32"/>
          <w:szCs w:val="32"/>
        </w:rPr>
      </w:pPr>
      <w:r>
        <w:rPr>
          <w:rFonts w:hint="eastAsia" w:ascii="仿宋" w:hAnsi="仿宋" w:eastAsia="仿宋"/>
          <w:sz w:val="32"/>
          <w:szCs w:val="32"/>
        </w:rPr>
        <w:t>支出具体情况如下：</w:t>
      </w:r>
    </w:p>
    <w:tbl>
      <w:tblPr>
        <w:tblStyle w:val="7"/>
        <w:tblW w:w="8694" w:type="dxa"/>
        <w:tblInd w:w="398" w:type="dxa"/>
        <w:tblLayout w:type="fixed"/>
        <w:tblCellMar>
          <w:top w:w="0" w:type="dxa"/>
          <w:left w:w="108" w:type="dxa"/>
          <w:bottom w:w="0" w:type="dxa"/>
          <w:right w:w="108" w:type="dxa"/>
        </w:tblCellMar>
      </w:tblPr>
      <w:tblGrid>
        <w:gridCol w:w="1050"/>
        <w:gridCol w:w="1200"/>
        <w:gridCol w:w="990"/>
        <w:gridCol w:w="735"/>
        <w:gridCol w:w="1095"/>
        <w:gridCol w:w="1700"/>
        <w:gridCol w:w="1924"/>
      </w:tblGrid>
      <w:tr>
        <w:tblPrEx>
          <w:tblCellMar>
            <w:top w:w="0" w:type="dxa"/>
            <w:left w:w="108" w:type="dxa"/>
            <w:bottom w:w="0" w:type="dxa"/>
            <w:right w:w="108" w:type="dxa"/>
          </w:tblCellMar>
        </w:tblPrEx>
        <w:trPr>
          <w:trHeight w:val="630" w:hRule="atLeast"/>
        </w:trPr>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95" w:hRule="atLeast"/>
        </w:trPr>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7.02</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发放绩效考评奖金</w:t>
            </w:r>
          </w:p>
        </w:tc>
        <w:tc>
          <w:tcPr>
            <w:tcW w:w="1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此部分资金由上级部门预算直接下达，本部门无需做预算。</w:t>
            </w:r>
          </w:p>
        </w:tc>
      </w:tr>
      <w:tr>
        <w:tblPrEx>
          <w:tblCellMar>
            <w:top w:w="0" w:type="dxa"/>
            <w:left w:w="108" w:type="dxa"/>
            <w:bottom w:w="0" w:type="dxa"/>
            <w:right w:w="108" w:type="dxa"/>
          </w:tblCellMar>
        </w:tblPrEx>
        <w:trPr>
          <w:trHeight w:val="615" w:hRule="atLeast"/>
        </w:trPr>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7.02</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cs="仿宋"/>
          <w:color w:val="auto"/>
          <w:sz w:val="32"/>
          <w:szCs w:val="32"/>
          <w:highlight w:val="none"/>
        </w:rPr>
      </w:pPr>
    </w:p>
    <w:p>
      <w:pPr>
        <w:rPr>
          <w:rFonts w:hint="eastAsia" w:ascii="仿宋" w:hAnsi="仿宋" w:eastAsia="仿宋"/>
          <w:sz w:val="32"/>
          <w:szCs w:val="32"/>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drawing>
          <wp:inline distT="0" distB="0" distL="114300" distR="114300">
            <wp:extent cx="5228590" cy="3348990"/>
            <wp:effectExtent l="4445" t="4445" r="5715"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ascii="仿宋" w:hAnsi="仿宋" w:eastAsia="仿宋"/>
          <w:sz w:val="32"/>
          <w:szCs w:val="32"/>
        </w:rPr>
      </w:pPr>
    </w:p>
    <w:p>
      <w:pPr>
        <w:rPr>
          <w:rFonts w:ascii="仿宋" w:hAnsi="仿宋" w:eastAsia="仿宋"/>
          <w:sz w:val="32"/>
          <w:szCs w:val="32"/>
        </w:rPr>
      </w:pPr>
    </w:p>
    <w:p>
      <w:pPr>
        <w:jc w:val="left"/>
        <w:rPr>
          <w:rFonts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autoSpaceDE w:val="0"/>
        <w:autoSpaceDN w:val="0"/>
        <w:adjustRightInd w:val="0"/>
        <w:spacing w:line="560" w:lineRule="exact"/>
        <w:ind w:firstLine="640" w:firstLineChars="200"/>
        <w:jc w:val="both"/>
        <w:rPr>
          <w:rFonts w:ascii="仿宋" w:hAnsi="仿宋" w:eastAsia="仿宋" w:cs="仿宋"/>
          <w:sz w:val="32"/>
          <w:szCs w:val="32"/>
          <w:highlight w:val="none"/>
        </w:rPr>
      </w:pPr>
      <w:r>
        <w:rPr>
          <w:rFonts w:hint="eastAsia" w:ascii="仿宋_GB2312" w:eastAsia="仿宋_GB2312" w:cs="仿宋_GB2312"/>
          <w:kern w:val="0"/>
          <w:sz w:val="32"/>
          <w:szCs w:val="32"/>
          <w:lang w:val="en-US" w:eastAsia="zh-CN"/>
        </w:rPr>
        <w:t>环江毛南族自治县川山镇中心幼儿园</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121.98</w:t>
      </w:r>
      <w:r>
        <w:rPr>
          <w:rFonts w:hint="eastAsia" w:ascii="仿宋_GB2312" w:eastAsia="仿宋_GB2312" w:cs="仿宋_GB2312"/>
          <w:kern w:val="0"/>
          <w:sz w:val="32"/>
          <w:szCs w:val="32"/>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120.28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1.70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_GB2312" w:eastAsia="仿宋_GB2312"/>
          <w:bCs/>
          <w:kern w:val="0"/>
          <w:sz w:val="32"/>
          <w:szCs w:val="32"/>
          <w:highlight w:val="none"/>
        </w:rPr>
        <w:t>工资福利支出</w:t>
      </w:r>
      <w:r>
        <w:rPr>
          <w:rFonts w:hint="eastAsia" w:ascii="仿宋_GB2312" w:eastAsia="仿宋_GB2312" w:cs="仿宋_GB2312"/>
          <w:kern w:val="0"/>
          <w:sz w:val="32"/>
          <w:szCs w:val="32"/>
          <w:highlight w:val="none"/>
          <w:lang w:val="en-US" w:eastAsia="zh-CN"/>
        </w:rPr>
        <w:t>120.28</w:t>
      </w:r>
      <w:r>
        <w:rPr>
          <w:rFonts w:hint="eastAsia" w:ascii="仿宋_GB2312" w:eastAsia="仿宋_GB2312"/>
          <w:bCs/>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111.14</w:t>
      </w:r>
      <w:r>
        <w:rPr>
          <w:rFonts w:hint="eastAsia" w:ascii="仿宋_GB2312" w:eastAsia="仿宋_GB2312"/>
          <w:bCs/>
          <w:kern w:val="0"/>
          <w:sz w:val="32"/>
          <w:szCs w:val="32"/>
          <w:highlight w:val="none"/>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2023年8月份新增教师控制数5人，</w:t>
      </w:r>
      <w:r>
        <w:rPr>
          <w:rFonts w:hint="eastAsia" w:ascii="仿宋" w:hAnsi="仿宋" w:eastAsia="仿宋" w:cs="仿宋"/>
          <w:sz w:val="32"/>
          <w:szCs w:val="32"/>
        </w:rPr>
        <w:t>2023年度调整工资标准</w:t>
      </w:r>
      <w:r>
        <w:rPr>
          <w:rFonts w:hint="eastAsia" w:ascii="仿宋" w:hAnsi="仿宋" w:eastAsia="仿宋" w:cs="仿宋"/>
          <w:sz w:val="32"/>
          <w:szCs w:val="32"/>
          <w:lang w:eastAsia="zh-CN"/>
        </w:rPr>
        <w:t>，</w:t>
      </w:r>
      <w:r>
        <w:rPr>
          <w:rFonts w:hint="eastAsia" w:ascii="仿宋" w:hAnsi="仿宋" w:eastAsia="仿宋" w:cs="仿宋"/>
          <w:sz w:val="32"/>
          <w:szCs w:val="32"/>
        </w:rPr>
        <w:t>职工五险一金基数调整。</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42.38万元，30102津贴补贴10.92万元，30103奖金22.76万元，30107绩效工资19.78万元，30108机关事业单位基本养老保险缴费11.17万元，30110职工基本医疗保险缴费4.8万元，30112其他社会保障缴费0.55万元，30113住房公积金7.92万元。</w:t>
      </w:r>
    </w:p>
    <w:p>
      <w:pPr>
        <w:ind w:firstLine="640" w:firstLineChars="200"/>
        <w:jc w:val="left"/>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hint="eastAsia" w:ascii="仿宋" w:hAnsi="仿宋" w:eastAsia="仿宋" w:cs="仿宋"/>
          <w:sz w:val="32"/>
          <w:lang w:val="en-US" w:eastAsia="zh-CN"/>
        </w:rPr>
        <w:t>1.70</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主要原因是：无差异。</w:t>
      </w:r>
    </w:p>
    <w:p>
      <w:pPr>
        <w:ind w:left="958" w:leftChars="304" w:hanging="320" w:hangingChars="100"/>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w:t>
      </w:r>
      <w:r>
        <w:rPr>
          <w:rFonts w:hint="eastAsia" w:ascii="仿宋" w:hAnsi="仿宋" w:eastAsia="仿宋" w:cs="仿宋"/>
          <w:sz w:val="32"/>
          <w:szCs w:val="32"/>
          <w:lang w:val="en-US" w:eastAsia="zh-CN"/>
        </w:rPr>
        <w:t>1.70</w:t>
      </w:r>
      <w:r>
        <w:rPr>
          <w:rFonts w:hint="eastAsia" w:ascii="仿宋" w:hAnsi="仿宋" w:eastAsia="仿宋" w:cs="仿宋"/>
          <w:sz w:val="32"/>
          <w:szCs w:val="32"/>
        </w:rPr>
        <w:t>万元。</w:t>
      </w:r>
      <w:r>
        <w:rPr>
          <w:rFonts w:hint="eastAsia" w:ascii="仿宋" w:hAnsi="仿宋" w:eastAsia="仿宋" w:cs="仿宋"/>
          <w:color w:val="auto"/>
          <w:sz w:val="32"/>
          <w:szCs w:val="32"/>
          <w:highlight w:val="none"/>
        </w:rPr>
        <w:drawing>
          <wp:inline distT="0" distB="0" distL="114300" distR="114300">
            <wp:extent cx="4474845" cy="2958465"/>
            <wp:effectExtent l="4445" t="4445" r="16510" b="8890"/>
            <wp:docPr id="17"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仿宋" w:hAnsi="仿宋" w:eastAsia="仿宋" w:cs="仿宋"/>
          <w:sz w:val="32"/>
          <w:szCs w:val="32"/>
        </w:rPr>
      </w:pPr>
    </w:p>
    <w:p>
      <w:pPr>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主要原因是：本单位无对个人和家庭的补助。</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ind w:left="420"/>
        <w:jc w:val="center"/>
        <w:rPr>
          <w:rFonts w:hint="eastAsia" w:ascii="仿宋" w:hAnsi="仿宋" w:eastAsia="仿宋" w:cs="仿宋"/>
          <w:sz w:val="32"/>
          <w:szCs w:val="32"/>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left="420"/>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主要原因是：无债务利息及费用支出。</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ind w:left="420"/>
        <w:jc w:val="center"/>
        <w:rPr>
          <w:rFonts w:hint="eastAsia" w:ascii="仿宋" w:hAnsi="仿宋" w:eastAsia="仿宋" w:cs="仿宋"/>
          <w:b/>
          <w:bCs/>
          <w:sz w:val="32"/>
          <w:szCs w:val="32"/>
        </w:rPr>
      </w:pPr>
      <w:r>
        <w:rPr>
          <w:rFonts w:hint="eastAsia" w:ascii="仿宋" w:hAnsi="仿宋" w:eastAsia="仿宋" w:cs="仿宋"/>
          <w:color w:val="auto"/>
          <w:sz w:val="32"/>
          <w:szCs w:val="32"/>
          <w:highlight w:val="none"/>
        </w:rPr>
        <w:drawing>
          <wp:inline distT="0" distB="0" distL="114300" distR="114300">
            <wp:extent cx="4627245" cy="320611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left="420"/>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主要原因是：无资本性支出。</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ind w:left="420"/>
        <w:jc w:val="center"/>
        <w:rPr>
          <w:rFonts w:hint="eastAsia" w:ascii="仿宋" w:hAnsi="仿宋" w:eastAsia="仿宋" w:cs="仿宋"/>
          <w:sz w:val="32"/>
          <w:szCs w:val="32"/>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left="420"/>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主要原因是：无其他支出。</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jc w:val="center"/>
        <w:rPr>
          <w:rFonts w:hint="eastAsia" w:ascii="仿宋" w:hAnsi="仿宋" w:eastAsia="仿宋" w:cs="仿宋"/>
          <w:sz w:val="32"/>
          <w:szCs w:val="32"/>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rPr>
      </w:pPr>
    </w:p>
    <w:p>
      <w:pPr>
        <w:ind w:firstLine="640" w:firstLineChars="200"/>
        <w:jc w:val="left"/>
        <w:rPr>
          <w:rFonts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ascii="仿宋" w:hAnsi="仿宋" w:eastAsia="仿宋" w:cs="仿宋"/>
          <w:sz w:val="32"/>
          <w:szCs w:val="32"/>
        </w:rPr>
      </w:pPr>
      <w:r>
        <w:rPr>
          <w:rFonts w:hint="eastAsia" w:ascii="仿宋_GB2312" w:hAnsi="黑体" w:eastAsia="仿宋_GB2312"/>
          <w:bCs/>
          <w:color w:val="000000"/>
          <w:sz w:val="32"/>
          <w:szCs w:val="32"/>
          <w:u w:val="none"/>
          <w:lang w:val="en-US" w:eastAsia="zh-CN"/>
        </w:rPr>
        <w:t>环江毛南族自治县川山镇中心幼儿园</w:t>
      </w:r>
      <w:r>
        <w:rPr>
          <w:rFonts w:hint="eastAsia" w:ascii="仿宋" w:hAnsi="仿宋" w:eastAsia="仿宋" w:cs="仿宋"/>
          <w:sz w:val="32"/>
          <w:szCs w:val="32"/>
        </w:rPr>
        <w:t>2023年度政府性基金支出</w:t>
      </w:r>
      <w:r>
        <w:rPr>
          <w:rFonts w:ascii="仿宋" w:hAnsi="仿宋" w:eastAsia="仿宋" w:cs="仿宋"/>
          <w:sz w:val="32"/>
          <w:szCs w:val="32"/>
        </w:rPr>
        <w:t>0.00</w:t>
      </w:r>
      <w:r>
        <w:rPr>
          <w:rFonts w:hint="eastAsia" w:ascii="仿宋" w:hAnsi="仿宋" w:eastAsia="仿宋" w:cs="仿宋"/>
          <w:sz w:val="32"/>
          <w:szCs w:val="32"/>
        </w:rPr>
        <w:t>万元，较2022年度决算数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lang w:eastAsia="zh-CN"/>
        </w:rPr>
        <w:t>。</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_GB2312" w:hAnsi="黑体" w:eastAsia="仿宋_GB2312"/>
          <w:bCs/>
          <w:color w:val="000000"/>
          <w:sz w:val="32"/>
          <w:szCs w:val="32"/>
          <w:u w:val="none"/>
          <w:lang w:val="en-US" w:eastAsia="zh-CN"/>
        </w:rPr>
        <w:t>环江毛南族自治县川山镇中心幼儿园</w:t>
      </w:r>
      <w:r>
        <w:rPr>
          <w:rFonts w:hint="eastAsia" w:ascii="仿宋" w:hAnsi="仿宋" w:eastAsia="仿宋" w:cs="仿宋"/>
          <w:sz w:val="32"/>
          <w:szCs w:val="32"/>
        </w:rPr>
        <w:t>2023年度政府性基金支出年初预算为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黑体" w:eastAsia="仿宋_GB2312"/>
          <w:bCs/>
          <w:color w:val="000000"/>
          <w:sz w:val="32"/>
          <w:szCs w:val="32"/>
          <w:u w:val="none"/>
          <w:lang w:val="en-US" w:eastAsia="zh-CN"/>
        </w:rPr>
        <w:t>环江毛南族自治县川山镇中心幼儿园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。故本段落无表述。</w:t>
      </w:r>
    </w:p>
    <w:p>
      <w:pPr>
        <w:ind w:firstLine="640" w:firstLineChars="200"/>
        <w:jc w:val="left"/>
        <w:rPr>
          <w:rFonts w:ascii="仿宋" w:hAnsi="仿宋" w:eastAsia="仿宋" w:cs="仿宋"/>
          <w:sz w:val="32"/>
          <w:szCs w:val="32"/>
        </w:rPr>
      </w:pPr>
      <w:r>
        <w:rPr>
          <w:rFonts w:hint="eastAsia" w:ascii="黑体" w:hAnsi="黑体" w:eastAsia="黑体" w:cs="黑体"/>
          <w:sz w:val="32"/>
          <w:szCs w:val="32"/>
        </w:rPr>
        <w:t>五、2023年度国有资本经营预算支出决算情况</w:t>
      </w:r>
    </w:p>
    <w:p>
      <w:pPr>
        <w:ind w:firstLine="640" w:firstLineChars="200"/>
        <w:jc w:val="left"/>
        <w:rPr>
          <w:rFonts w:ascii="仿宋" w:hAnsi="仿宋" w:eastAsia="仿宋" w:cs="仿宋"/>
          <w:sz w:val="32"/>
          <w:szCs w:val="32"/>
        </w:rPr>
      </w:pPr>
      <w:r>
        <w:rPr>
          <w:rFonts w:hint="eastAsia" w:ascii="仿宋_GB2312" w:hAnsi="黑体" w:eastAsia="仿宋_GB2312"/>
          <w:bCs/>
          <w:color w:val="000000"/>
          <w:sz w:val="32"/>
          <w:szCs w:val="32"/>
          <w:u w:val="none"/>
          <w:lang w:val="en-US" w:eastAsia="zh-CN"/>
        </w:rPr>
        <w:t>环江毛南族自治县川山镇中心幼儿园</w:t>
      </w:r>
      <w:r>
        <w:rPr>
          <w:rFonts w:hint="eastAsia" w:ascii="仿宋" w:hAnsi="仿宋" w:eastAsia="仿宋" w:cs="仿宋"/>
          <w:sz w:val="32"/>
          <w:szCs w:val="32"/>
        </w:rPr>
        <w:t>2023年度国有资本经营预算支出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_GB2312" w:hAnsi="黑体" w:eastAsia="仿宋_GB2312"/>
          <w:bCs/>
          <w:color w:val="000000"/>
          <w:sz w:val="32"/>
          <w:szCs w:val="32"/>
          <w:u w:val="none"/>
          <w:lang w:val="en-US" w:eastAsia="zh-CN"/>
        </w:rPr>
        <w:t>环江毛南族自治县川山镇中心幼儿园</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3" w:name="PO_part3A5B1C1DiffReason1"/>
      <w:r>
        <w:rPr>
          <w:rFonts w:hint="eastAsia" w:ascii="仿宋_GB2312" w:hAnsi="黑体" w:eastAsia="仿宋_GB2312"/>
          <w:bCs/>
          <w:color w:val="000000"/>
          <w:sz w:val="32"/>
          <w:szCs w:val="32"/>
          <w:u w:val="none"/>
          <w:lang w:val="en-US" w:eastAsia="zh-CN"/>
        </w:rPr>
        <w:t>环江毛南族自治县川山镇中心幼儿园</w:t>
      </w:r>
      <w:r>
        <w:rPr>
          <w:rFonts w:ascii="仿宋_GB2312" w:hAnsi="仿宋_GB2312" w:eastAsia="仿宋_GB2312" w:cs="仿宋_GB2312"/>
          <w:sz w:val="32"/>
        </w:rPr>
        <w:t>没有国有资本经营预算收入，也没有国有资本经营预算收入和</w:t>
      </w:r>
      <w:r>
        <w:rPr>
          <w:rFonts w:hint="eastAsia" w:ascii="仿宋_GB2312" w:hAnsi="Times New Roman" w:eastAsia="仿宋_GB2312" w:cs="Times New Roman"/>
          <w:sz w:val="32"/>
          <w:szCs w:val="32"/>
        </w:rPr>
        <w:t>安排的支出。</w:t>
      </w:r>
      <w:bookmarkEnd w:id="3"/>
    </w:p>
    <w:p>
      <w:pPr>
        <w:ind w:firstLine="640" w:firstLineChars="200"/>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2023年预算财政拨款安排的“三公”经费支出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万元，主要原因是：无财政拨款安排的“三公”经费支出。其中：因公出国（境）费支出决算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万元。原因是：本单位</w:t>
      </w:r>
      <w:r>
        <w:rPr>
          <w:rFonts w:hint="eastAsia" w:ascii="仿宋_GB2312" w:hAnsi="Times New Roman" w:eastAsia="仿宋_GB2312" w:cs="Times New Roman"/>
          <w:sz w:val="32"/>
          <w:szCs w:val="32"/>
        </w:rPr>
        <w:t>无因公出国（境）费支出。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4" w:name="PO_part3A6B2IncReason1"/>
      <w:r>
        <w:rPr>
          <w:rFonts w:hint="eastAsia" w:ascii="仿宋" w:hAnsi="仿宋" w:eastAsia="仿宋" w:cs="仿宋"/>
          <w:sz w:val="32"/>
          <w:szCs w:val="32"/>
        </w:rPr>
        <w:t>本部门无公务用车购置</w:t>
      </w:r>
      <w:bookmarkEnd w:id="4"/>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万元。主要原因是：本部门无公务用车。2023年，</w:t>
      </w:r>
      <w:r>
        <w:rPr>
          <w:rFonts w:hint="eastAsia" w:ascii="仿宋_GB2312" w:hAnsi="黑体" w:eastAsia="仿宋_GB2312"/>
          <w:bCs/>
          <w:color w:val="000000"/>
          <w:sz w:val="32"/>
          <w:szCs w:val="32"/>
          <w:u w:val="none"/>
          <w:lang w:val="en-US" w:eastAsia="zh-CN"/>
        </w:rPr>
        <w:t>环江毛南族自治县川山镇中心幼儿园</w:t>
      </w:r>
      <w:r>
        <w:rPr>
          <w:rFonts w:hint="eastAsia" w:ascii="仿宋" w:hAnsi="仿宋" w:eastAsia="仿宋" w:cs="仿宋"/>
          <w:sz w:val="32"/>
          <w:szCs w:val="32"/>
        </w:rPr>
        <w:t>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万元，平均每辆0万元。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万元，主要原因是：本单位无公务接待。国内公务接待批次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eastAsia" w:ascii="仿宋" w:hAnsi="仿宋" w:eastAsia="仿宋" w:cs="仿宋"/>
          <w:sz w:val="32"/>
          <w:szCs w:val="32"/>
        </w:rPr>
        <w:t>0.00万元，</w:t>
      </w:r>
      <w:r>
        <w:rPr>
          <w:rFonts w:ascii="仿宋" w:hAnsi="仿宋" w:eastAsia="仿宋" w:cs="仿宋"/>
          <w:sz w:val="32"/>
          <w:szCs w:val="32"/>
        </w:rPr>
        <w:t>下降</w:t>
      </w:r>
      <w:r>
        <w:rPr>
          <w:rFonts w:hint="eastAsia" w:ascii="仿宋" w:hAnsi="仿宋" w:eastAsia="仿宋" w:cs="仿宋"/>
          <w:sz w:val="32"/>
          <w:szCs w:val="32"/>
        </w:rPr>
        <w:t>0.00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。原因是：本部门2023年度无机关运行经费支出。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截至2023年12月31日，本部门共有车辆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根据财政预算管理要求，本部门组织对2023年度一般公共预算项目支出全面开展绩效自评。2023年度一般公共预算项目总共1</w:t>
      </w:r>
      <w:r>
        <w:rPr>
          <w:rFonts w:hint="eastAsia" w:ascii="仿宋" w:hAnsi="仿宋" w:eastAsia="仿宋" w:cs="仿宋"/>
          <w:sz w:val="32"/>
          <w:szCs w:val="32"/>
          <w:lang w:val="en-US" w:eastAsia="zh-CN"/>
        </w:rPr>
        <w:t>5</w:t>
      </w:r>
      <w:r>
        <w:rPr>
          <w:rFonts w:hint="eastAsia" w:ascii="仿宋" w:hAnsi="仿宋" w:eastAsia="仿宋" w:cs="仿宋"/>
          <w:sz w:val="32"/>
          <w:szCs w:val="32"/>
        </w:rPr>
        <w:t>个,其中一等项目1</w:t>
      </w:r>
      <w:r>
        <w:rPr>
          <w:rFonts w:hint="eastAsia" w:ascii="仿宋" w:hAnsi="仿宋" w:eastAsia="仿宋" w:cs="仿宋"/>
          <w:sz w:val="32"/>
          <w:szCs w:val="32"/>
          <w:lang w:val="en-US" w:eastAsia="zh-CN"/>
        </w:rPr>
        <w:t>4</w:t>
      </w:r>
      <w:r>
        <w:rPr>
          <w:rFonts w:hint="eastAsia" w:ascii="仿宋" w:hAnsi="仿宋" w:eastAsia="仿宋" w:cs="仿宋"/>
          <w:sz w:val="32"/>
          <w:szCs w:val="32"/>
        </w:rPr>
        <w:t>个，二等项目</w:t>
      </w:r>
      <w:r>
        <w:rPr>
          <w:rFonts w:hint="eastAsia" w:ascii="仿宋" w:hAnsi="仿宋" w:eastAsia="仿宋" w:cs="仿宋"/>
          <w:sz w:val="32"/>
          <w:szCs w:val="32"/>
          <w:lang w:val="en-US" w:eastAsia="zh-CN"/>
        </w:rPr>
        <w:t>1</w:t>
      </w:r>
      <w:r>
        <w:rPr>
          <w:rFonts w:hint="eastAsia" w:ascii="仿宋" w:hAnsi="仿宋" w:eastAsia="仿宋" w:cs="仿宋"/>
          <w:sz w:val="32"/>
          <w:szCs w:val="32"/>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426.52</w:t>
      </w:r>
      <w:r>
        <w:rPr>
          <w:rFonts w:hint="eastAsia" w:ascii="仿宋" w:hAnsi="仿宋" w:eastAsia="仿宋" w:cs="仿宋"/>
          <w:sz w:val="32"/>
          <w:szCs w:val="32"/>
        </w:rPr>
        <w:t>万元，占一般公共预算项目支出总额的</w:t>
      </w:r>
      <w:r>
        <w:rPr>
          <w:rFonts w:hint="eastAsia" w:ascii="仿宋" w:hAnsi="仿宋" w:eastAsia="仿宋" w:cs="仿宋"/>
          <w:sz w:val="32"/>
          <w:szCs w:val="32"/>
          <w:lang w:val="en-US" w:eastAsia="zh-CN"/>
        </w:rPr>
        <w:t>192.66</w:t>
      </w:r>
      <w:r>
        <w:rPr>
          <w:rFonts w:hint="eastAsia" w:ascii="仿宋" w:hAnsi="仿宋" w:eastAsia="仿宋" w:cs="仿宋"/>
          <w:sz w:val="32"/>
          <w:szCs w:val="32"/>
        </w:rPr>
        <w:t>%。组织对2023年度等0个政府性基金预算项目支出开展绩效自评，共涉及资金0万元，占政府性基金预算项目支出总额的0%。组织对2023年度等0个国有资本经营预算项目支出开展绩效自评，共涉及资金0万元，占国有资本经营预算项目支出总额的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w:t>
      </w:r>
      <w:r>
        <w:rPr>
          <w:rFonts w:hint="eastAsia" w:ascii="仿宋" w:hAnsi="仿宋" w:eastAsia="仿宋" w:cs="仿宋"/>
          <w:color w:val="000000" w:themeColor="text1"/>
          <w:sz w:val="32"/>
          <w:szCs w:val="32"/>
          <w:lang w:val="en-US" w:eastAsia="zh-CN"/>
          <w14:textFill>
            <w14:solidFill>
              <w14:schemeClr w14:val="tx1"/>
            </w14:solidFill>
          </w14:textFill>
        </w:rPr>
        <w:t>学前教育免保教费县本级补助资金</w:t>
      </w:r>
      <w:r>
        <w:rPr>
          <w:rFonts w:hint="eastAsia" w:ascii="仿宋" w:hAnsi="仿宋" w:eastAsia="仿宋" w:cs="仿宋"/>
          <w:sz w:val="32"/>
          <w:szCs w:val="32"/>
        </w:rPr>
        <w:t>”等</w:t>
      </w:r>
      <w:r>
        <w:rPr>
          <w:rFonts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426.52</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组织对本单位开展整体支出绩效评价试点，涉及一般公共预算项目支出</w:t>
      </w:r>
      <w:r>
        <w:rPr>
          <w:rFonts w:hint="eastAsia" w:ascii="仿宋" w:hAnsi="仿宋" w:eastAsia="仿宋" w:cs="仿宋"/>
          <w:color w:val="000000" w:themeColor="text1"/>
          <w:sz w:val="32"/>
          <w:szCs w:val="32"/>
          <w:lang w:val="en-US" w:eastAsia="zh-CN"/>
          <w14:textFill>
            <w14:solidFill>
              <w14:schemeClr w14:val="tx1"/>
            </w14:solidFill>
          </w14:textFill>
        </w:rPr>
        <w:t>426.52</w:t>
      </w:r>
      <w:r>
        <w:rPr>
          <w:rFonts w:hint="eastAsia" w:ascii="仿宋" w:hAnsi="仿宋" w:eastAsia="仿宋" w:cs="仿宋"/>
          <w:sz w:val="32"/>
          <w:szCs w:val="32"/>
        </w:rPr>
        <w:t>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2.部门决算中项目绩效自评结果。</w:t>
      </w:r>
    </w:p>
    <w:p>
      <w:pPr>
        <w:ind w:firstLine="640" w:firstLineChars="200"/>
        <w:jc w:val="left"/>
        <w:rPr>
          <w:rFonts w:hint="eastAsia" w:ascii="仿宋_GB2312" w:hAnsi="仿宋_GB2312" w:eastAsia="仿宋_GB2312" w:cs="仿宋_GB2312"/>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（1）学前教育免保教费县本级补助资金自评得分为94.98分。</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（2）班主任津贴自评得分为100分。</w:t>
      </w:r>
    </w:p>
    <w:p>
      <w:pPr>
        <w:ind w:firstLine="640" w:firstLineChars="200"/>
        <w:jc w:val="left"/>
        <w:rPr>
          <w:rFonts w:hint="eastAsia" w:ascii="仿宋_GB2312" w:hAnsi="仿宋_GB2312" w:eastAsia="仿宋_GB2312" w:cs="仿宋_GB2312"/>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（3）学前生均公用经费自评得分93.19分。</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（4）普惠幼儿园奖补县本级奖补资金自评得分80分。</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ind w:firstLine="640" w:firstLineChars="200"/>
        <w:jc w:val="left"/>
        <w:rPr>
          <w:rFonts w:hint="default" w:ascii="Helvetica" w:hAnsi="Helvetica" w:eastAsia="宋体" w:cs="Helvetica"/>
          <w:i w:val="0"/>
          <w:iCs w:val="0"/>
          <w:caps w:val="0"/>
          <w:color w:val="333333"/>
          <w:spacing w:val="0"/>
          <w:sz w:val="19"/>
          <w:szCs w:val="19"/>
          <w:shd w:val="clear" w:fill="D6E6FF"/>
          <w:lang w:val="en-US" w:eastAsia="zh-CN"/>
        </w:rPr>
      </w:pPr>
      <w:r>
        <w:rPr>
          <w:rFonts w:hint="eastAsia" w:ascii="仿宋_GB2312" w:hAnsi="仿宋_GB2312" w:eastAsia="仿宋_GB2312" w:cs="仿宋_GB2312"/>
          <w:sz w:val="32"/>
          <w:szCs w:val="32"/>
          <w:lang w:val="en-US" w:eastAsia="zh-CN"/>
        </w:rPr>
        <w:t>（5）奖励性补贴自评得分100分。</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（6）教师节经费自评得分100分。</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（7）学前教育免除保教费中央补助资金自评得分99.96分。</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（8）普惠民办幼儿园奖补中央补助资金自评得分100分。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（9）环江毛南族自治县川山镇中心幼儿园年初预算经费（保育教育费）自评得分92.46分。</w:t>
      </w:r>
      <w:r>
        <w:rPr>
          <w:rFonts w:hint="eastAsia" w:ascii="仿宋_GB2312" w:hAnsi="仿宋_GB2312" w:eastAsia="仿宋_GB2312" w:cs="仿宋_GB2312"/>
          <w:color w:val="auto"/>
          <w:sz w:val="32"/>
          <w:szCs w:val="32"/>
        </w:rPr>
        <w:t>发现的主要问题及原因：</w:t>
      </w:r>
      <w:r>
        <w:rPr>
          <w:rFonts w:hint="eastAsia" w:ascii="仿宋_GB2312" w:eastAsia="仿宋_GB2312" w:cs="仿宋_GB2312"/>
          <w:i w:val="0"/>
          <w:iCs w:val="0"/>
          <w:caps w:val="0"/>
          <w:color w:val="000000"/>
          <w:spacing w:val="0"/>
          <w:sz w:val="32"/>
          <w:szCs w:val="32"/>
          <w:shd w:val="clear" w:fill="FDFDFE"/>
          <w:lang w:val="en-US" w:eastAsia="zh-CN"/>
        </w:rPr>
        <w:t>在项目资金预算绩效方面总体上是管理使用到位，但项目未完成预算资金使用量</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（10）六一儿童节活动经费自评得分90分。</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ind w:firstLine="640" w:firstLineChars="200"/>
        <w:jc w:val="left"/>
        <w:rPr>
          <w:rFonts w:hint="default" w:ascii="Helvetica" w:hAnsi="Helvetica" w:eastAsia="宋体" w:cs="Helvetica"/>
          <w:i w:val="0"/>
          <w:iCs w:val="0"/>
          <w:caps w:val="0"/>
          <w:color w:val="333333"/>
          <w:spacing w:val="0"/>
          <w:sz w:val="19"/>
          <w:szCs w:val="19"/>
          <w:shd w:val="clear" w:fill="D6E6FF"/>
          <w:lang w:val="en-US" w:eastAsia="zh-CN"/>
        </w:rPr>
      </w:pPr>
      <w:r>
        <w:rPr>
          <w:rFonts w:hint="eastAsia" w:ascii="仿宋_GB2312" w:hAnsi="仿宋_GB2312" w:eastAsia="仿宋_GB2312" w:cs="仿宋_GB2312"/>
          <w:sz w:val="32"/>
          <w:szCs w:val="32"/>
          <w:lang w:val="en-US" w:eastAsia="zh-CN"/>
        </w:rPr>
        <w:t>（11）奖励性补贴（非三保）自评得分100分。</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（12）学前教育免除保教费环江毛南族自治县资金自评得分99.16分。</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（13）普惠性民办幼儿园专职保安员配备环江毛南族自治县补助经费自评得分100分。</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（14）普惠性民办幼儿园专职保安员配备市级补助经费自评得分100分。</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kern w:val="0"/>
          <w:sz w:val="32"/>
          <w:szCs w:val="32"/>
        </w:rPr>
      </w:pPr>
      <w:r>
        <w:rPr>
          <w:rFonts w:hint="eastAsia" w:ascii="仿宋_GB2312" w:hAnsi="仿宋_GB2312" w:eastAsia="仿宋_GB2312" w:cs="仿宋_GB2312"/>
          <w:sz w:val="32"/>
          <w:szCs w:val="32"/>
          <w:lang w:val="en-US" w:eastAsia="zh-CN"/>
        </w:rPr>
        <w:t>（15）普惠性民办幼儿园奖补环江毛南族自治县补助资金自评得分90分。</w:t>
      </w:r>
      <w:r>
        <w:rPr>
          <w:rFonts w:hint="eastAsia" w:ascii="仿宋_GB2312" w:hAnsi="仿宋_GB2312" w:eastAsia="仿宋_GB2312" w:cs="仿宋_GB2312"/>
          <w:color w:val="auto"/>
          <w:sz w:val="32"/>
          <w:szCs w:val="32"/>
        </w:rPr>
        <w:t>发现的主要问题及原因：</w:t>
      </w:r>
      <w:r>
        <w:rPr>
          <w:rFonts w:hint="eastAsia" w:ascii="仿宋" w:hAnsi="仿宋" w:eastAsia="仿宋" w:cs="仿宋"/>
          <w:sz w:val="32"/>
          <w:szCs w:val="32"/>
        </w:rPr>
        <w:t>督促民办幼儿园及时整理报账材料；二是加快资金进度安排</w:t>
      </w:r>
      <w:r>
        <w:rPr>
          <w:rFonts w:hint="eastAsia" w:ascii="仿宋_GB2312" w:hAnsi="仿宋_GB2312" w:eastAsia="仿宋_GB2312" w:cs="仿宋_GB2312"/>
          <w:sz w:val="32"/>
          <w:szCs w:val="32"/>
        </w:rPr>
        <w:t>。</w:t>
      </w:r>
    </w:p>
    <w:p>
      <w:pPr>
        <w:autoSpaceDE w:val="0"/>
        <w:autoSpaceDN w:val="0"/>
        <w:adjustRightInd w:val="0"/>
        <w:spacing w:line="560" w:lineRule="exact"/>
        <w:jc w:val="center"/>
        <w:rPr>
          <w:rFonts w:hint="eastAsia" w:ascii="黑体" w:hAnsi="黑体" w:eastAsia="黑体" w:cs="仿宋_GB2312"/>
          <w:kern w:val="0"/>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使用非财政拨款结余(含专用结余):指事业单位在当年的“财政拨款收入”“事业收入”“经营收入”“其他收入”不足以安排当年支出的情况下，使用非财政拨款结余、专用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418" w:bottom="1440" w:left="1418" w:header="851"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21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637D7558"/>
    <w:rsid w:val="00002C84"/>
    <w:rsid w:val="000215CB"/>
    <w:rsid w:val="00022149"/>
    <w:rsid w:val="00030AB3"/>
    <w:rsid w:val="00047F6C"/>
    <w:rsid w:val="00076722"/>
    <w:rsid w:val="00093C26"/>
    <w:rsid w:val="00094B91"/>
    <w:rsid w:val="00095722"/>
    <w:rsid w:val="000A135D"/>
    <w:rsid w:val="000B06D8"/>
    <w:rsid w:val="000D1958"/>
    <w:rsid w:val="000E3D1C"/>
    <w:rsid w:val="000E5855"/>
    <w:rsid w:val="000F465F"/>
    <w:rsid w:val="00105933"/>
    <w:rsid w:val="001418A5"/>
    <w:rsid w:val="0014233D"/>
    <w:rsid w:val="00146888"/>
    <w:rsid w:val="00146DEE"/>
    <w:rsid w:val="00147D40"/>
    <w:rsid w:val="00156EF2"/>
    <w:rsid w:val="0018314C"/>
    <w:rsid w:val="001909DC"/>
    <w:rsid w:val="00190D2D"/>
    <w:rsid w:val="0019279E"/>
    <w:rsid w:val="001B7D88"/>
    <w:rsid w:val="001D7B97"/>
    <w:rsid w:val="00210E20"/>
    <w:rsid w:val="002235C1"/>
    <w:rsid w:val="00223F38"/>
    <w:rsid w:val="00233613"/>
    <w:rsid w:val="00253597"/>
    <w:rsid w:val="00254DBE"/>
    <w:rsid w:val="00255BDE"/>
    <w:rsid w:val="00265464"/>
    <w:rsid w:val="002717CD"/>
    <w:rsid w:val="0027200D"/>
    <w:rsid w:val="00275CAB"/>
    <w:rsid w:val="0028709C"/>
    <w:rsid w:val="0029328F"/>
    <w:rsid w:val="002B0097"/>
    <w:rsid w:val="002B2731"/>
    <w:rsid w:val="002D767E"/>
    <w:rsid w:val="002F1822"/>
    <w:rsid w:val="00317203"/>
    <w:rsid w:val="00335F91"/>
    <w:rsid w:val="00382867"/>
    <w:rsid w:val="003A4973"/>
    <w:rsid w:val="003C1C96"/>
    <w:rsid w:val="003C69F8"/>
    <w:rsid w:val="003E40BA"/>
    <w:rsid w:val="003E7165"/>
    <w:rsid w:val="0041579D"/>
    <w:rsid w:val="00417C52"/>
    <w:rsid w:val="00427074"/>
    <w:rsid w:val="00434D04"/>
    <w:rsid w:val="00453B69"/>
    <w:rsid w:val="004825A6"/>
    <w:rsid w:val="004C4D73"/>
    <w:rsid w:val="004D7D0E"/>
    <w:rsid w:val="004E5B42"/>
    <w:rsid w:val="005053D3"/>
    <w:rsid w:val="00516D4E"/>
    <w:rsid w:val="005234F5"/>
    <w:rsid w:val="00531745"/>
    <w:rsid w:val="00544FEF"/>
    <w:rsid w:val="00574196"/>
    <w:rsid w:val="00595AA4"/>
    <w:rsid w:val="005B212D"/>
    <w:rsid w:val="005B2552"/>
    <w:rsid w:val="005C34CD"/>
    <w:rsid w:val="005D509D"/>
    <w:rsid w:val="005F46D9"/>
    <w:rsid w:val="005F778E"/>
    <w:rsid w:val="00603C1F"/>
    <w:rsid w:val="006123AD"/>
    <w:rsid w:val="006148F3"/>
    <w:rsid w:val="006218DA"/>
    <w:rsid w:val="00623EB4"/>
    <w:rsid w:val="00634E83"/>
    <w:rsid w:val="00645B83"/>
    <w:rsid w:val="006555EC"/>
    <w:rsid w:val="0066173C"/>
    <w:rsid w:val="006868DF"/>
    <w:rsid w:val="0069493C"/>
    <w:rsid w:val="006972BA"/>
    <w:rsid w:val="006C030D"/>
    <w:rsid w:val="006C03CC"/>
    <w:rsid w:val="006D677A"/>
    <w:rsid w:val="006F0A3A"/>
    <w:rsid w:val="006F1F8A"/>
    <w:rsid w:val="006F2850"/>
    <w:rsid w:val="00707C70"/>
    <w:rsid w:val="00722C60"/>
    <w:rsid w:val="00746089"/>
    <w:rsid w:val="007640BB"/>
    <w:rsid w:val="00764CD2"/>
    <w:rsid w:val="00771953"/>
    <w:rsid w:val="00776E0B"/>
    <w:rsid w:val="007826C6"/>
    <w:rsid w:val="007A0641"/>
    <w:rsid w:val="007B326F"/>
    <w:rsid w:val="007B360B"/>
    <w:rsid w:val="007C12BE"/>
    <w:rsid w:val="007C52E7"/>
    <w:rsid w:val="007C54EA"/>
    <w:rsid w:val="007C5E05"/>
    <w:rsid w:val="007C776D"/>
    <w:rsid w:val="007C7EE5"/>
    <w:rsid w:val="007D7CE3"/>
    <w:rsid w:val="007E2F6C"/>
    <w:rsid w:val="007E4AD4"/>
    <w:rsid w:val="00817C69"/>
    <w:rsid w:val="00823A94"/>
    <w:rsid w:val="00824151"/>
    <w:rsid w:val="008315A9"/>
    <w:rsid w:val="008328DC"/>
    <w:rsid w:val="00834354"/>
    <w:rsid w:val="00834F70"/>
    <w:rsid w:val="00857E1F"/>
    <w:rsid w:val="008C1530"/>
    <w:rsid w:val="008C73ED"/>
    <w:rsid w:val="008F1B95"/>
    <w:rsid w:val="008F4AE2"/>
    <w:rsid w:val="008F6882"/>
    <w:rsid w:val="00916349"/>
    <w:rsid w:val="00926DDF"/>
    <w:rsid w:val="00934C72"/>
    <w:rsid w:val="00946CCF"/>
    <w:rsid w:val="0097721B"/>
    <w:rsid w:val="009831F8"/>
    <w:rsid w:val="009B3E00"/>
    <w:rsid w:val="009D1667"/>
    <w:rsid w:val="009D6589"/>
    <w:rsid w:val="009F7C5A"/>
    <w:rsid w:val="00A07CCE"/>
    <w:rsid w:val="00A1185B"/>
    <w:rsid w:val="00A11F99"/>
    <w:rsid w:val="00A14DC9"/>
    <w:rsid w:val="00A27624"/>
    <w:rsid w:val="00A354CF"/>
    <w:rsid w:val="00A358E6"/>
    <w:rsid w:val="00A850E8"/>
    <w:rsid w:val="00A85B26"/>
    <w:rsid w:val="00A924D1"/>
    <w:rsid w:val="00AA78EE"/>
    <w:rsid w:val="00AA7E40"/>
    <w:rsid w:val="00AB53E1"/>
    <w:rsid w:val="00AB5FCD"/>
    <w:rsid w:val="00AC40BB"/>
    <w:rsid w:val="00AC5E3C"/>
    <w:rsid w:val="00AD51BB"/>
    <w:rsid w:val="00AE2867"/>
    <w:rsid w:val="00AE3F4D"/>
    <w:rsid w:val="00AE5F66"/>
    <w:rsid w:val="00B07A0B"/>
    <w:rsid w:val="00B22F28"/>
    <w:rsid w:val="00B3646D"/>
    <w:rsid w:val="00B37453"/>
    <w:rsid w:val="00B37EFE"/>
    <w:rsid w:val="00B450B5"/>
    <w:rsid w:val="00B45479"/>
    <w:rsid w:val="00B462BE"/>
    <w:rsid w:val="00B60171"/>
    <w:rsid w:val="00B64E7B"/>
    <w:rsid w:val="00B743C3"/>
    <w:rsid w:val="00B763E9"/>
    <w:rsid w:val="00B837AC"/>
    <w:rsid w:val="00BA22DF"/>
    <w:rsid w:val="00BA5669"/>
    <w:rsid w:val="00BB4FB8"/>
    <w:rsid w:val="00BC1C92"/>
    <w:rsid w:val="00BD315D"/>
    <w:rsid w:val="00C02FF7"/>
    <w:rsid w:val="00C3279E"/>
    <w:rsid w:val="00C34857"/>
    <w:rsid w:val="00C530F6"/>
    <w:rsid w:val="00C7313F"/>
    <w:rsid w:val="00CA2E26"/>
    <w:rsid w:val="00CF3BB3"/>
    <w:rsid w:val="00D00918"/>
    <w:rsid w:val="00D1343C"/>
    <w:rsid w:val="00D14326"/>
    <w:rsid w:val="00D212C0"/>
    <w:rsid w:val="00D24B91"/>
    <w:rsid w:val="00D3083C"/>
    <w:rsid w:val="00D772CC"/>
    <w:rsid w:val="00D84F30"/>
    <w:rsid w:val="00D878A6"/>
    <w:rsid w:val="00DB1B6C"/>
    <w:rsid w:val="00DB50FC"/>
    <w:rsid w:val="00DE74BD"/>
    <w:rsid w:val="00DE7D07"/>
    <w:rsid w:val="00E249E4"/>
    <w:rsid w:val="00E25BEA"/>
    <w:rsid w:val="00E45F3F"/>
    <w:rsid w:val="00E66B4F"/>
    <w:rsid w:val="00E72198"/>
    <w:rsid w:val="00E73576"/>
    <w:rsid w:val="00E8276B"/>
    <w:rsid w:val="00E93951"/>
    <w:rsid w:val="00E95007"/>
    <w:rsid w:val="00EB7822"/>
    <w:rsid w:val="00EC50A9"/>
    <w:rsid w:val="00ED04DB"/>
    <w:rsid w:val="00ED2849"/>
    <w:rsid w:val="00EE3B28"/>
    <w:rsid w:val="00F02C15"/>
    <w:rsid w:val="00F07939"/>
    <w:rsid w:val="00F112F6"/>
    <w:rsid w:val="00F21455"/>
    <w:rsid w:val="00F42674"/>
    <w:rsid w:val="00F51E9A"/>
    <w:rsid w:val="00F5354B"/>
    <w:rsid w:val="00F94229"/>
    <w:rsid w:val="00F95135"/>
    <w:rsid w:val="00F9658C"/>
    <w:rsid w:val="00F978FD"/>
    <w:rsid w:val="00FA738E"/>
    <w:rsid w:val="00FC438B"/>
    <w:rsid w:val="00FE7433"/>
    <w:rsid w:val="00FF4566"/>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744D3E"/>
    <w:rsid w:val="1B973C63"/>
    <w:rsid w:val="1BA1001E"/>
    <w:rsid w:val="1D317259"/>
    <w:rsid w:val="1E664F5B"/>
    <w:rsid w:val="1EB23B8A"/>
    <w:rsid w:val="1EB34BE1"/>
    <w:rsid w:val="215E639F"/>
    <w:rsid w:val="21EC3183"/>
    <w:rsid w:val="225E72CD"/>
    <w:rsid w:val="246E2F77"/>
    <w:rsid w:val="254B4E2B"/>
    <w:rsid w:val="283D7C94"/>
    <w:rsid w:val="29480E03"/>
    <w:rsid w:val="2983634D"/>
    <w:rsid w:val="2BA016C4"/>
    <w:rsid w:val="2BB02055"/>
    <w:rsid w:val="2C575A56"/>
    <w:rsid w:val="2F257714"/>
    <w:rsid w:val="2F3275E5"/>
    <w:rsid w:val="30AA08EF"/>
    <w:rsid w:val="30D23D1C"/>
    <w:rsid w:val="31221CF5"/>
    <w:rsid w:val="31400178"/>
    <w:rsid w:val="31BA0BD0"/>
    <w:rsid w:val="321E3342"/>
    <w:rsid w:val="327759C8"/>
    <w:rsid w:val="33185FE3"/>
    <w:rsid w:val="34EE2E36"/>
    <w:rsid w:val="36777241"/>
    <w:rsid w:val="371E78D5"/>
    <w:rsid w:val="38A951DB"/>
    <w:rsid w:val="38B31605"/>
    <w:rsid w:val="39003F4F"/>
    <w:rsid w:val="3C07002B"/>
    <w:rsid w:val="3D0D152A"/>
    <w:rsid w:val="3DF62756"/>
    <w:rsid w:val="3E7B6F50"/>
    <w:rsid w:val="3F1B7587"/>
    <w:rsid w:val="41E57B4F"/>
    <w:rsid w:val="432F26F6"/>
    <w:rsid w:val="43880F63"/>
    <w:rsid w:val="441C5A6F"/>
    <w:rsid w:val="44C44FCC"/>
    <w:rsid w:val="44CC7369"/>
    <w:rsid w:val="457F5108"/>
    <w:rsid w:val="46022BE9"/>
    <w:rsid w:val="46951B6B"/>
    <w:rsid w:val="49A34401"/>
    <w:rsid w:val="4A3E30AB"/>
    <w:rsid w:val="4A631061"/>
    <w:rsid w:val="4AC14DAC"/>
    <w:rsid w:val="4BC121AC"/>
    <w:rsid w:val="4D154C85"/>
    <w:rsid w:val="4EB35ECE"/>
    <w:rsid w:val="508F4E24"/>
    <w:rsid w:val="512F1E48"/>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D76698"/>
    <w:rsid w:val="73E069A3"/>
    <w:rsid w:val="762724ED"/>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决算收入支出图表</a:t>
            </a:r>
            <a:endParaRPr lang="zh-CN" altLang="en-US" b="0"/>
          </a:p>
        </c:rich>
      </c:tx>
      <c:layout/>
      <c:overlay val="0"/>
    </c:title>
    <c:autoTitleDeleted val="0"/>
    <c:plotArea>
      <c:layout/>
      <c:pieChart>
        <c:varyColors val="1"/>
        <c:ser>
          <c:idx val="0"/>
          <c:order val="0"/>
          <c:tx>
            <c:strRef>
              <c:f>Sheet1!$B$1</c:f>
              <c:strCache>
                <c:ptCount val="1"/>
                <c:pt idx="0">
                  <c:v>决算收入支出图表</c:v>
                </c:pt>
              </c:strCache>
            </c:strRef>
          </c:tx>
          <c:explosion val="25"/>
          <c:dPt>
            <c:idx val="0"/>
            <c:bubble3D val="0"/>
            <c:explosion val="0"/>
          </c:dPt>
          <c:dLbls>
            <c:delete val="1"/>
          </c:dLbls>
          <c:cat>
            <c:strRef>
              <c:f>Sheet1!$A$2</c:f>
              <c:strCache>
                <c:ptCount val="1"/>
                <c:pt idx="0">
                  <c:v>一般公共预算财政拨款收入</c:v>
                </c:pt>
              </c:strCache>
            </c:strRef>
          </c:cat>
          <c:val>
            <c:numRef>
              <c:f>Sheet1!$B$2</c:f>
              <c:numCache>
                <c:formatCode>General</c:formatCode>
                <c:ptCount val="1"/>
                <c:pt idx="0">
                  <c:v>343.36</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支出决算图表</a:t>
            </a:r>
            <a:endParaRPr lang="zh-CN" altLang="en-US" b="0"/>
          </a:p>
        </c:rich>
      </c:tx>
      <c:layout/>
      <c:overlay val="0"/>
    </c:title>
    <c:autoTitleDeleted val="0"/>
    <c:plotArea>
      <c:layout/>
      <c:barChart>
        <c:barDir val="col"/>
        <c:grouping val="clustered"/>
        <c:varyColors val="0"/>
        <c:ser>
          <c:idx val="0"/>
          <c:order val="0"/>
          <c:tx>
            <c:strRef>
              <c:f>Sheet1!$B$1</c:f>
              <c:strCache>
                <c:ptCount val="1"/>
                <c:pt idx="0">
                  <c:v>2022</c:v>
                </c:pt>
              </c:strCache>
            </c:strRef>
          </c:tx>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0.47</c:v>
                </c:pt>
                <c:pt idx="1">
                  <c:v>337.97</c:v>
                </c:pt>
                <c:pt idx="2">
                  <c:v>4.77</c:v>
                </c:pt>
                <c:pt idx="3">
                  <c:v>3.29</c:v>
                </c:pt>
                <c:pt idx="4">
                  <c:v>6.83</c:v>
                </c:pt>
              </c:numCache>
            </c:numRef>
          </c:val>
        </c:ser>
        <c:ser>
          <c:idx val="1"/>
          <c:order val="1"/>
          <c:tx>
            <c:strRef>
              <c:f>Sheet1!$C$1</c:f>
              <c:strCache>
                <c:ptCount val="1"/>
                <c:pt idx="0">
                  <c:v>2023</c:v>
                </c:pt>
              </c:strCache>
            </c:strRef>
          </c:tx>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1.7</c:v>
                </c:pt>
                <c:pt idx="1">
                  <c:v>315.55</c:v>
                </c:pt>
                <c:pt idx="2">
                  <c:v>11.17</c:v>
                </c:pt>
                <c:pt idx="3">
                  <c:v>7.92</c:v>
                </c:pt>
                <c:pt idx="4">
                  <c:v>7.02</c:v>
                </c:pt>
              </c:numCache>
            </c:numRef>
          </c:val>
        </c:ser>
        <c:dLbls>
          <c:showLegendKey val="0"/>
          <c:showVal val="0"/>
          <c:showCatName val="0"/>
          <c:showSerName val="0"/>
          <c:showPercent val="0"/>
          <c:showBubbleSize val="0"/>
        </c:dLbls>
        <c:gapWidth val="150"/>
        <c:axId val="325528576"/>
        <c:axId val="325612672"/>
      </c:barChart>
      <c:catAx>
        <c:axId val="3255285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12672"/>
        <c:crosses val="autoZero"/>
        <c:auto val="1"/>
        <c:lblAlgn val="ctr"/>
        <c:lblOffset val="100"/>
        <c:noMultiLvlLbl val="0"/>
      </c:catAx>
      <c:valAx>
        <c:axId val="325612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528576"/>
        <c:crosses val="autoZero"/>
        <c:crossBetween val="between"/>
      </c:valAx>
      <c:spPr>
        <a:ln>
          <a:solidFill>
            <a:srgbClr val="5B9BD5">
              <a:alpha val="30000"/>
            </a:srgbClr>
          </a:solidFill>
        </a:ln>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solidFill>
        <a:srgbClr val="5B9BD5">
          <a:alpha val="30000"/>
        </a:srgbClr>
      </a:solid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1.7</c:v>
                </c:pt>
                <c:pt idx="1">
                  <c:v>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315.55</c:v>
                </c:pt>
                <c:pt idx="1">
                  <c:v>315.55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11.17</c:v>
                </c:pt>
                <c:pt idx="1">
                  <c:v>11.17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7.92</c:v>
                </c:pt>
                <c:pt idx="1">
                  <c:v>7.92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7.02</c:v>
                </c:pt>
                <c:pt idx="1">
                  <c:v>7.02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42.38</c:v>
                </c:pt>
                <c:pt idx="1">
                  <c:v>10.92</c:v>
                </c:pt>
                <c:pt idx="2">
                  <c:v>22.76</c:v>
                </c:pt>
                <c:pt idx="3">
                  <c:v>0</c:v>
                </c:pt>
                <c:pt idx="4">
                  <c:v>19.78</c:v>
                </c:pt>
                <c:pt idx="5">
                  <c:v>11.17</c:v>
                </c:pt>
                <c:pt idx="6">
                  <c:v>0</c:v>
                </c:pt>
                <c:pt idx="7">
                  <c:v>4.8</c:v>
                </c:pt>
                <c:pt idx="8">
                  <c:v>0</c:v>
                </c:pt>
                <c:pt idx="9">
                  <c:v>0.55</c:v>
                </c:pt>
                <c:pt idx="10">
                  <c:v>7.92</c:v>
                </c:pt>
                <c:pt idx="11">
                  <c:v>0</c:v>
                </c:pt>
                <c:pt idx="12">
                  <c:v>0</c:v>
                </c:pt>
              </c:numCache>
            </c:numRef>
          </c:val>
        </c:ser>
        <c:dLbls>
          <c:showLegendKey val="0"/>
          <c:showVal val="0"/>
          <c:showCatName val="0"/>
          <c:showSerName val="0"/>
          <c:showPercent val="0"/>
          <c:showBubbleSize val="0"/>
        </c:dLbls>
        <c:gapWidth val="219"/>
        <c:overlap val="-27"/>
        <c:axId val="392049408"/>
        <c:axId val="392052096"/>
      </c:barChart>
      <c:catAx>
        <c:axId val="3920494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052096"/>
        <c:crosses val="autoZero"/>
        <c:auto val="1"/>
        <c:lblAlgn val="ctr"/>
        <c:lblOffset val="100"/>
        <c:noMultiLvlLbl val="0"/>
      </c:catAx>
      <c:valAx>
        <c:axId val="392052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049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DFB3-FB80-4D80-903A-52B798D4E452}">
  <ds:schemaRefs/>
</ds:datastoreItem>
</file>

<file path=docProps/app.xml><?xml version="1.0" encoding="utf-8"?>
<Properties xmlns="http://schemas.openxmlformats.org/officeDocument/2006/extended-properties" xmlns:vt="http://schemas.openxmlformats.org/officeDocument/2006/docPropsVTypes">
  <Template>Normal</Template>
  <Pages>36</Pages>
  <Words>4008</Words>
  <Characters>5907</Characters>
  <Lines>103</Lines>
  <Paragraphs>29</Paragraphs>
  <TotalTime>54</TotalTime>
  <ScaleCrop>false</ScaleCrop>
  <LinksUpToDate>false</LinksUpToDate>
  <CharactersWithSpaces>6077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2023-11-19T10:12:00Z</dcterms:created>
  <dc:creator>C D D</dc:creator>
  <cp:lastModifiedBy>hjxjyj</cp:lastModifiedBy>
  <cp:lastPrinted>2024-12-25T07:46:00Z</cp:lastPrinted>
  <dcterms:modified xsi:type="dcterms:W3CDTF">2025-01-02T07:19:31Z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F664FF1F2E384213B28B406ECEF07E5B_13</vt:lpwstr>
  </property>
  <property fmtid="{D5CDD505-2E9C-101B-9397-08002B2CF9AE}" pid="4" name="KSOTemplateDocerSaveRecord">
    <vt:lpwstr>eyJoZGlkIjoiYmUxMzE0ZTAzY2IwZmU1M2UyZjJmNzhhOWNlZDUzMGYiLCJ1c2VySWQiOiI0MDQ5NjEzMTMifQ==</vt:lpwstr>
  </property>
</Properties>
</file>