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环江毛南族自治县大安乡中心幼儿园202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单位负责人：蒙甲秀</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环江毛南族自治县大安乡中心幼儿园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（一）贯彻执行党和国家的教育方针、政策和法律法规；拟订全园教育改革与发展规划并组织实施。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（二）编制本园教育事业发展规划并检查实施情况，向自治县人民政府和上级教育部门作出报告。</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（三）督促检查全园贯彻执行教育方针、政策、法令、法规和上级的各项规定；评估指导全园教育教学工作。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（四）负责推进幼儿教育均衡发展和促进教育公平。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（五）负责全园人才队伍和教师队伍建设，包括园长岗位培训、后备干部队伍建设、教师学历教育、继续教育等。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（六）负责组织全园做好学籍管理工作。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（七）按照中央关于全面推进素质教育要求，负责教育教学管理、教育教学改革及教育教学科学研究工作，检查指导全园实施素质教育工作，并组织推广先进的教育教学经验。</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（八）检查指导</w:t>
      </w:r>
      <w:r>
        <w:rPr>
          <w:rFonts w:hint="eastAsia" w:ascii="仿宋" w:hAnsi="仿宋" w:eastAsia="仿宋" w:cs="仿宋"/>
          <w:color w:val="auto"/>
          <w:sz w:val="32"/>
          <w:szCs w:val="32"/>
          <w:lang w:val="en-US" w:eastAsia="zh-CN"/>
        </w:rPr>
        <w:t>本园</w:t>
      </w:r>
      <w:r>
        <w:rPr>
          <w:rFonts w:hint="eastAsia" w:ascii="仿宋" w:hAnsi="仿宋" w:eastAsia="仿宋" w:cs="仿宋"/>
          <w:color w:val="auto"/>
          <w:sz w:val="32"/>
          <w:szCs w:val="32"/>
        </w:rPr>
        <w:t>教育教学设备的装备、管理和使用工作。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（九）检查指导全园开展电化教育和信息化教学工作。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（十）负责全园教师初级专业技术职务资格的评审，中、高级专业技术职务资格的申报工作。按照管理权限对教师进行考核、聘任、奖惩、晋升等工作。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（十一）负责监督审计全园教育经费和教育基建经费拨付及教育附加费和教育费附加的征收、管理与使用工作。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（十二）负责指导全园学生资助管理工作。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（十三）负责语言文字和指导推广普通话工作。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1549"/>
        <w:gridCol w:w="3351"/>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rPr>
          <w:trHeight w:val="301" w:hRule="atLeast"/>
        </w:trPr>
        <w:tc>
          <w:tcPr>
            <w:tcW w:w="6485"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35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4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4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164.99</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140.63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164.99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164.99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140.63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140.63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164.99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96.41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68.58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140.63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72.05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sz w:val="22"/>
                <w:szCs w:val="22"/>
                <w:highlight w:val="none"/>
                <w:lang w:eastAsia="zh-CN"/>
              </w:rPr>
              <w:t>68.58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jc w:val="center"/>
        <w:tblLayout w:type="fixed"/>
        <w:tblCellMar>
          <w:top w:w="0" w:type="dxa"/>
          <w:left w:w="108" w:type="dxa"/>
          <w:bottom w:w="0" w:type="dxa"/>
          <w:right w:w="108" w:type="dxa"/>
        </w:tblCellMar>
      </w:tblPr>
      <w:tblGrid>
        <w:gridCol w:w="1994"/>
        <w:gridCol w:w="825"/>
        <w:gridCol w:w="1189"/>
        <w:gridCol w:w="2658"/>
        <w:gridCol w:w="717"/>
        <w:gridCol w:w="1224"/>
        <w:gridCol w:w="1773"/>
        <w:gridCol w:w="1803"/>
        <w:gridCol w:w="1894"/>
      </w:tblGrid>
      <w:tr>
        <w:tblPrEx>
          <w:tblCellMar>
            <w:top w:w="0" w:type="dxa"/>
            <w:left w:w="108" w:type="dxa"/>
            <w:bottom w:w="0" w:type="dxa"/>
            <w:right w:w="108" w:type="dxa"/>
          </w:tblCellMar>
        </w:tblPrEx>
        <w:trPr>
          <w:trHeight w:val="520" w:hRule="atLeast"/>
          <w:jc w:val="center"/>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jc w:val="center"/>
        </w:trPr>
        <w:tc>
          <w:tcPr>
            <w:tcW w:w="7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jc w:val="center"/>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jc w:val="center"/>
        </w:trPr>
        <w:tc>
          <w:tcPr>
            <w:tcW w:w="14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57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jc w:val="center"/>
        </w:trPr>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jc w:val="center"/>
        </w:trPr>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1.36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140.63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140.63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9.17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6.48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7.35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164.99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jc w:val="center"/>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164.99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96.41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68.58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140.63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72.05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lang w:eastAsia="zh-CN"/>
              </w:rPr>
              <w:t>68.58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9.17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9.17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6.48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6.48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7.35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7.35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004"/>
        <w:gridCol w:w="1050"/>
        <w:gridCol w:w="2426"/>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00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35"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95.05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1.36</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33.05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7.22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19.32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15.54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9.17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3.81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0.45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6.48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1.36</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eastAsia="zh-CN" w:bidi="ar"/>
              </w:rPr>
              <w:t>95.05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1.36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 xml:space="preserve">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w:t>
      </w:r>
      <w:r>
        <w:rPr>
          <w:rFonts w:hint="eastAsia" w:ascii="仿宋" w:hAnsi="仿宋" w:eastAsia="仿宋" w:cs="仿宋"/>
          <w:sz w:val="32"/>
          <w:u w:color="auto"/>
          <w:lang w:eastAsia="zh-CN"/>
        </w:rPr>
        <w:t>4.12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2.56%</w:t>
      </w:r>
      <w:r>
        <w:rPr>
          <w:rFonts w:hint="eastAsia" w:ascii="仿宋" w:hAnsi="仿宋" w:eastAsia="仿宋" w:cs="仿宋"/>
          <w:sz w:val="32"/>
          <w:szCs w:val="32"/>
          <w:highlight w:val="none"/>
        </w:rPr>
        <w:t>，其中本年收入</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eastAsia="zh-CN"/>
        </w:rPr>
        <w:t>164.99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w:t>
      </w:r>
      <w:r>
        <w:rPr>
          <w:rFonts w:hint="eastAsia" w:ascii="仿宋" w:hAnsi="仿宋" w:eastAsia="仿宋" w:cs="仿宋"/>
          <w:sz w:val="32"/>
          <w:u w:color="auto"/>
          <w:lang w:eastAsia="zh-CN"/>
        </w:rPr>
        <w:t>4.12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2.56%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人员变动工资福利增加。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1531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w:t>
      </w:r>
      <w:r>
        <w:rPr>
          <w:rFonts w:hint="eastAsia" w:ascii="仿宋" w:hAnsi="仿宋" w:eastAsia="仿宋" w:cs="仿宋"/>
          <w:sz w:val="32"/>
          <w:u w:color="auto"/>
          <w:lang w:eastAsia="zh-CN"/>
        </w:rPr>
        <w:t>4.12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2.56%</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1.36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auto"/>
          <w:sz w:val="32"/>
          <w:szCs w:val="32"/>
          <w:highlight w:val="none"/>
          <w:lang w:val="en-US" w:eastAsia="zh-CN"/>
        </w:rPr>
        <w:t>主要用于群众团体事务。</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eastAsia="zh-CN" w:bidi="ar"/>
        </w:rPr>
        <w:t>1.36</w:t>
      </w:r>
      <w:r>
        <w:rPr>
          <w:rFonts w:hint="eastAsia" w:ascii="仿宋" w:hAnsi="仿宋" w:eastAsia="仿宋" w:cs="仿宋"/>
          <w:color w:val="auto"/>
          <w:sz w:val="32"/>
          <w:szCs w:val="32"/>
          <w:highlight w:val="none"/>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140.63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主要用于人员基本工资，商品服务支出。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5.88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4.01%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2023年聘用教师减少4人。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9.17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5.08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120.21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 xml:space="preserve">是2023年公招新进4人，主要用于单位基本养老缴费。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6.48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增长83.01%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2023年公招新进5人。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7.35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增加4.07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增长138.44%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2023年公招新进5人。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1" name="图表 1"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w:t>
      </w:r>
      <w:r>
        <w:rPr>
          <w:rFonts w:hint="eastAsia" w:ascii="仿宋" w:hAnsi="仿宋" w:eastAsia="仿宋" w:cs="仿宋"/>
          <w:sz w:val="32"/>
          <w:u w:color="auto"/>
          <w:lang w:eastAsia="zh-CN"/>
        </w:rPr>
        <w:t>4.12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2.56%</w:t>
      </w:r>
      <w:r>
        <w:rPr>
          <w:rFonts w:hint="eastAsia" w:ascii="仿宋" w:hAnsi="仿宋" w:eastAsia="仿宋" w:cs="仿宋"/>
          <w:sz w:val="32"/>
          <w:szCs w:val="32"/>
          <w:highlight w:val="none"/>
        </w:rPr>
        <w:t>。其中：基本支出</w:t>
      </w:r>
      <w:r>
        <w:rPr>
          <w:rFonts w:hint="eastAsia" w:ascii="仿宋" w:hAnsi="仿宋" w:eastAsia="仿宋" w:cs="仿宋"/>
          <w:sz w:val="32"/>
          <w:u w:color="auto"/>
          <w:lang w:eastAsia="zh-CN"/>
        </w:rPr>
        <w:t>96.41</w:t>
      </w:r>
      <w:r>
        <w:rPr>
          <w:rFonts w:hint="eastAsia" w:ascii="仿宋" w:hAnsi="仿宋" w:eastAsia="仿宋" w:cs="仿宋"/>
          <w:sz w:val="32"/>
          <w:szCs w:val="32"/>
          <w:highlight w:val="none"/>
        </w:rPr>
        <w:t>万元，项目支出</w:t>
      </w:r>
      <w:r>
        <w:rPr>
          <w:rFonts w:hint="eastAsia" w:ascii="仿宋" w:hAnsi="仿宋" w:eastAsia="仿宋" w:cs="仿宋"/>
          <w:sz w:val="32"/>
          <w:u w:color="auto"/>
          <w:lang w:eastAsia="zh-CN"/>
        </w:rPr>
        <w:t>68.58</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共预算财政拨款支出年初预算为</w:t>
      </w:r>
      <w:r>
        <w:rPr>
          <w:rFonts w:hint="eastAsia" w:ascii="仿宋" w:hAnsi="仿宋" w:eastAsia="仿宋" w:cs="仿宋"/>
          <w:sz w:val="32"/>
          <w:u w:color="auto"/>
          <w:lang w:val="en-US" w:eastAsia="zh-CN"/>
        </w:rPr>
        <w:t>176.82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eastAsia="zh-CN"/>
        </w:rPr>
        <w:t>164.99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93.31</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eastAsia="zh-CN"/>
        </w:rPr>
        <w:t>1.36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1.36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608830" cy="3389630"/>
            <wp:effectExtent l="0" t="0" r="127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608830" cy="3389630"/>
                    </a:xfrm>
                    <a:prstGeom prst="rect">
                      <a:avLst/>
                    </a:prstGeom>
                    <a:noFill/>
                    <a:ln>
                      <a:noFill/>
                    </a:ln>
                  </pic:spPr>
                </pic:pic>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155.82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140.63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90.25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主要用于人员基本工资，商品服务支出。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w:t>
            </w:r>
            <w:r>
              <w:rPr>
                <w:rFonts w:hint="eastAsia"/>
                <w:lang w:val="en-US" w:eastAsia="zh-CN"/>
              </w:rPr>
              <w:t>工资</w:t>
            </w:r>
            <w:r>
              <w:rPr>
                <w:rFonts w:hint="eastAsia"/>
              </w:rPr>
              <w:t>，商品服务支出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年初预算数编高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11.22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9.17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81.73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实际缴费基数比预算基数低。</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缴</w:t>
            </w:r>
            <w:r>
              <w:rPr>
                <w:rFonts w:hint="eastAsia" w:ascii="宋体" w:hAnsi="宋体" w:eastAsia="宋体" w:cs="宋体"/>
                <w:i w:val="0"/>
                <w:iCs w:val="0"/>
                <w:color w:val="auto"/>
                <w:sz w:val="18"/>
                <w:szCs w:val="18"/>
                <w:highlight w:val="none"/>
                <w:u w:val="none"/>
                <w:lang w:val="en-US" w:eastAsia="zh-CN"/>
              </w:rPr>
              <w:t>纳职工</w:t>
            </w:r>
            <w:r>
              <w:rPr>
                <w:rFonts w:hint="default" w:ascii="宋体" w:hAnsi="宋体" w:eastAsia="宋体" w:cs="宋体"/>
                <w:i w:val="0"/>
                <w:iCs w:val="0"/>
                <w:color w:val="auto"/>
                <w:sz w:val="18"/>
                <w:szCs w:val="18"/>
                <w:highlight w:val="none"/>
                <w:u w:val="none"/>
                <w:lang w:val="en-US" w:eastAsia="zh-CN"/>
              </w:rPr>
              <w:t>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实际缴费基数比预算基数低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sz w:val="18"/>
                <w:szCs w:val="18"/>
              </w:rPr>
              <w:t>缴</w:t>
            </w:r>
            <w:r>
              <w:rPr>
                <w:rFonts w:hint="eastAsia"/>
                <w:sz w:val="18"/>
                <w:szCs w:val="18"/>
                <w:lang w:val="en-US" w:eastAsia="zh-CN"/>
              </w:rPr>
              <w:t>纳职工</w:t>
            </w:r>
            <w:r>
              <w:rPr>
                <w:rFonts w:hint="eastAsia"/>
                <w:sz w:val="18"/>
                <w:szCs w:val="18"/>
              </w:rPr>
              <w:t>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实际缴费基数比预算基数低</w:t>
            </w:r>
            <w:r>
              <w:rPr>
                <w:rFonts w:hint="eastAsia"/>
                <w:sz w:val="18"/>
                <w:szCs w:val="18"/>
              </w:rPr>
              <w:tab/>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eastAsia="zh-CN"/>
        </w:rPr>
        <w:t>6.48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6.48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2023年公招新进5人，主要用于单位基本养老缴费。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bookmarkStart w:id="6" w:name="_GoBack"/>
            <w:bookmarkEnd w:id="6"/>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7.35</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lang w:val="en-US" w:eastAsia="zh-CN"/>
        </w:rPr>
        <w:t>此部分资金每年上级部门都有预算，直接下达，本部门无需做预算。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sz w:val="21"/>
                <w:szCs w:val="21"/>
              </w:rPr>
              <w:t>用于人员</w:t>
            </w:r>
            <w:r>
              <w:rPr>
                <w:rFonts w:hint="eastAsia" w:ascii="仿宋" w:hAnsi="仿宋" w:eastAsia="仿宋" w:cs="仿宋"/>
                <w:sz w:val="21"/>
                <w:szCs w:val="21"/>
                <w:lang w:val="en-US" w:eastAsia="zh-CN"/>
              </w:rPr>
              <w:t>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sz w:val="21"/>
                <w:szCs w:val="21"/>
              </w:rPr>
              <w:tab/>
            </w:r>
            <w:r>
              <w:rPr>
                <w:rFonts w:hint="eastAsia" w:ascii="仿宋" w:hAnsi="仿宋" w:eastAsia="仿宋" w:cs="仿宋"/>
                <w:sz w:val="21"/>
                <w:szCs w:val="21"/>
                <w:lang w:val="en-US" w:eastAsia="zh-CN"/>
              </w:rPr>
              <w:t>此部分资金每年上级部门都有预算，直接下达，本部门无需做预算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ab/>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u w:color="auto"/>
          <w:lang w:eastAsia="zh-CN"/>
        </w:rPr>
        <w:t>96.41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eastAsia="zh-CN"/>
        </w:rPr>
        <w:t>95.05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eastAsia="zh-CN"/>
        </w:rPr>
        <w:t>1.36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eastAsia="zh-CN"/>
        </w:rPr>
        <w:t>95.05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135.02%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：2023年公招新进5人。</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33.05万元，30102津贴补贴7.22万元，30103奖金19.32万元，30107绩效工资15.54万元，30108机关事业单位基本养老保险缴费9.17万元，30110职工基本医疗保险缴费3.81万元，30112其他社会保障缴费0.45万元，30113住房公积金6.48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eastAsia="zh-CN"/>
        </w:rPr>
        <w:t>1.36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30228工会经费1.36万元。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环江毛南族自治县大安乡中心幼儿园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环江毛南族自治县大安乡中心幼儿园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本部门2023年度没有“三公”经费资金收入，也没有“三公”经费资金安排的支出。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本部门无机关运行经费支出。</w:t>
      </w:r>
    </w:p>
    <w:p>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267.47</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组织对</w:t>
      </w:r>
      <w:r>
        <w:rPr>
          <w:rFonts w:hint="eastAsia" w:ascii="仿宋" w:hAnsi="仿宋" w:eastAsia="仿宋" w:cs="仿宋"/>
          <w:sz w:val="32"/>
          <w:szCs w:val="32"/>
          <w:lang w:eastAsia="zh-CN"/>
        </w:rPr>
        <w:t>2023</w:t>
      </w:r>
      <w:r>
        <w:rPr>
          <w:rFonts w:hint="eastAsia" w:ascii="仿宋" w:hAnsi="仿宋" w:eastAsia="仿宋" w:cs="仿宋"/>
          <w:sz w:val="32"/>
          <w:szCs w:val="32"/>
        </w:rPr>
        <w:t>年度等0个政府性基金预算项目支出开展绩效自评，共涉及资金0万元，占政府性基金预算项目支出总额的0%。组织对</w:t>
      </w:r>
      <w:r>
        <w:rPr>
          <w:rFonts w:hint="eastAsia" w:ascii="仿宋" w:hAnsi="仿宋" w:eastAsia="仿宋" w:cs="仿宋"/>
          <w:sz w:val="32"/>
          <w:szCs w:val="32"/>
          <w:lang w:eastAsia="zh-CN"/>
        </w:rPr>
        <w:t>2023</w:t>
      </w:r>
      <w:r>
        <w:rPr>
          <w:rFonts w:hint="eastAsia" w:ascii="仿宋" w:hAnsi="仿宋" w:eastAsia="仿宋" w:cs="仿宋"/>
          <w:sz w:val="32"/>
          <w:szCs w:val="32"/>
        </w:rPr>
        <w:t>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组织对“学前生均公用经费”等</w:t>
      </w:r>
      <w:r>
        <w:rPr>
          <w:rFonts w:hint="eastAsia" w:ascii="仿宋" w:hAnsi="仿宋" w:eastAsia="仿宋" w:cs="仿宋"/>
          <w:sz w:val="32"/>
          <w:szCs w:val="32"/>
          <w:lang w:val="en-US" w:eastAsia="zh-CN"/>
        </w:rPr>
        <w:t>10</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267.47</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从评价情况来看，我单位绩效管理情况较为理想，达到了年初设定的各项绩效目标。</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267.47</w:t>
      </w:r>
      <w:r>
        <w:rPr>
          <w:rFonts w:hint="eastAsia" w:ascii="仿宋" w:hAnsi="仿宋" w:eastAsia="仿宋" w:cs="仿宋"/>
          <w:sz w:val="32"/>
          <w:szCs w:val="32"/>
        </w:rPr>
        <w:t>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eastAsia" w:ascii="仿宋" w:hAnsi="仿宋" w:eastAsia="仿宋" w:cs="仿宋"/>
          <w:sz w:val="32"/>
          <w:szCs w:val="32"/>
        </w:rPr>
      </w:pPr>
      <w:r>
        <w:rPr>
          <w:rFonts w:hint="eastAsia" w:ascii="仿宋" w:hAnsi="仿宋" w:eastAsia="仿宋" w:cs="仿宋"/>
          <w:sz w:val="32"/>
          <w:szCs w:val="32"/>
        </w:rPr>
        <w:t>我部门根据年初设定的绩效目标，</w:t>
      </w:r>
      <w:bookmarkStart w:id="5" w:name="_Hlk151217930"/>
      <w:r>
        <w:rPr>
          <w:rFonts w:hint="eastAsia" w:ascii="仿宋" w:hAnsi="仿宋" w:eastAsia="仿宋" w:cs="仿宋"/>
          <w:sz w:val="32"/>
          <w:szCs w:val="32"/>
        </w:rPr>
        <w:t>学前教育免除保教费自治区补助资金</w:t>
      </w:r>
      <w:r>
        <w:rPr>
          <w:rFonts w:hint="eastAsia" w:ascii="仿宋" w:hAnsi="仿宋" w:eastAsia="仿宋" w:cs="仿宋"/>
          <w:sz w:val="32"/>
          <w:szCs w:val="32"/>
          <w:lang w:eastAsia="zh-CN"/>
        </w:rPr>
        <w:t>、奖励性补贴、奖励性补贴(非三保)、教师节经费、班主任津贴、大安乡中心幼儿园2022年年初预算经费(保育教育费)</w:t>
      </w:r>
      <w:r>
        <w:rPr>
          <w:rFonts w:hint="eastAsia" w:ascii="仿宋" w:hAnsi="仿宋" w:eastAsia="仿宋" w:cs="仿宋"/>
          <w:sz w:val="32"/>
          <w:szCs w:val="32"/>
        </w:rPr>
        <w:t>这</w:t>
      </w:r>
      <w:r>
        <w:rPr>
          <w:rFonts w:hint="eastAsia" w:ascii="仿宋" w:hAnsi="仿宋" w:eastAsia="仿宋" w:cs="仿宋"/>
          <w:sz w:val="32"/>
          <w:szCs w:val="32"/>
          <w:lang w:val="en-US" w:eastAsia="zh-CN"/>
        </w:rPr>
        <w:t>6</w:t>
      </w:r>
      <w:r>
        <w:rPr>
          <w:rFonts w:hint="eastAsia" w:ascii="仿宋" w:hAnsi="仿宋" w:eastAsia="仿宋" w:cs="仿宋"/>
          <w:sz w:val="32"/>
          <w:szCs w:val="32"/>
        </w:rPr>
        <w:t>个项目都能按时完成支付，自评得分均为100分。</w:t>
      </w:r>
      <w:r>
        <w:rPr>
          <w:rFonts w:hint="eastAsia" w:ascii="仿宋" w:hAnsi="仿宋" w:eastAsia="仿宋" w:cs="仿宋"/>
          <w:sz w:val="32"/>
          <w:szCs w:val="32"/>
          <w:lang w:val="en-US" w:eastAsia="zh-CN"/>
        </w:rPr>
        <w:t>学前教育免除保教费中央补助资金项目评分为95.63。</w:t>
      </w:r>
      <w:r>
        <w:rPr>
          <w:rFonts w:hint="eastAsia" w:ascii="仿宋" w:hAnsi="仿宋" w:eastAsia="仿宋" w:cs="仿宋"/>
          <w:sz w:val="32"/>
          <w:szCs w:val="32"/>
        </w:rPr>
        <w:t>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学前生均公用经费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92.79</w:t>
      </w:r>
      <w:r>
        <w:rPr>
          <w:rFonts w:hint="eastAsia" w:ascii="仿宋" w:hAnsi="仿宋" w:eastAsia="仿宋" w:cs="仿宋"/>
          <w:sz w:val="32"/>
          <w:szCs w:val="32"/>
        </w:rPr>
        <w:t>分。发现的主要问题及原因：部分报账材料未能及时整理。下一步改进措施：及时整理报账材料，完成年度资金进度安排。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大安乡中心幼儿园年初经费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95.56</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color w:val="0000FF"/>
          <w:sz w:val="32"/>
          <w:szCs w:val="32"/>
          <w:highlight w:val="none"/>
        </w:rPr>
        <w:t>。</w:t>
      </w:r>
      <w:r>
        <w:rPr>
          <w:rFonts w:hint="eastAsia" w:ascii="仿宋" w:hAnsi="仿宋" w:eastAsia="仿宋" w:cs="仿宋"/>
          <w:sz w:val="32"/>
          <w:szCs w:val="32"/>
          <w:lang w:val="en-US" w:eastAsia="zh-CN"/>
        </w:rPr>
        <w:t>学前教育免保教费县本级补助资金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98.78</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bookmarkEnd w:id="5"/>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rPr>
        <w:t>大安乡中心</w:t>
      </w:r>
      <w:r>
        <w:rPr>
          <w:rFonts w:hint="eastAsia" w:ascii="仿宋" w:hAnsi="仿宋" w:eastAsia="仿宋" w:cs="仿宋"/>
          <w:sz w:val="32"/>
          <w:szCs w:val="32"/>
          <w:highlight w:val="none"/>
        </w:rPr>
        <w:t>幼儿园</w:t>
      </w:r>
    </w:p>
    <w:p>
      <w:pPr>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2023年10月8日</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63A95"/>
    <w:multiLevelType w:val="singleLevel"/>
    <w:tmpl w:val="90763A95"/>
    <w:lvl w:ilvl="0" w:tentative="0">
      <w:start w:val="2"/>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mQ2YmNkY2RiNjUyNWZiZGVkZjI3NTk0Mjc4Mj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6B7DC5"/>
    <w:rsid w:val="04E54546"/>
    <w:rsid w:val="04EF245B"/>
    <w:rsid w:val="05992762"/>
    <w:rsid w:val="07B0770E"/>
    <w:rsid w:val="0942143F"/>
    <w:rsid w:val="0D100297"/>
    <w:rsid w:val="0D202B45"/>
    <w:rsid w:val="0E8E3161"/>
    <w:rsid w:val="0F8D4C87"/>
    <w:rsid w:val="10505FAA"/>
    <w:rsid w:val="105F7E7E"/>
    <w:rsid w:val="106531D0"/>
    <w:rsid w:val="11DF2C63"/>
    <w:rsid w:val="11E56B5B"/>
    <w:rsid w:val="125C77AB"/>
    <w:rsid w:val="14CB726E"/>
    <w:rsid w:val="176A523D"/>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CC537BA"/>
    <w:rsid w:val="2F257714"/>
    <w:rsid w:val="2F3275E5"/>
    <w:rsid w:val="30AA08EF"/>
    <w:rsid w:val="30D23D1C"/>
    <w:rsid w:val="31221CF5"/>
    <w:rsid w:val="31400178"/>
    <w:rsid w:val="321E3342"/>
    <w:rsid w:val="327759C8"/>
    <w:rsid w:val="33185FE3"/>
    <w:rsid w:val="34EE2E36"/>
    <w:rsid w:val="36343E21"/>
    <w:rsid w:val="364F3943"/>
    <w:rsid w:val="36777241"/>
    <w:rsid w:val="371E78D5"/>
    <w:rsid w:val="38A951DB"/>
    <w:rsid w:val="38B31605"/>
    <w:rsid w:val="39003F4F"/>
    <w:rsid w:val="3C07002B"/>
    <w:rsid w:val="3D0D152A"/>
    <w:rsid w:val="3DF62756"/>
    <w:rsid w:val="3F1B7587"/>
    <w:rsid w:val="3FE63EF0"/>
    <w:rsid w:val="41E57B4F"/>
    <w:rsid w:val="42822499"/>
    <w:rsid w:val="429D32EA"/>
    <w:rsid w:val="432F26F6"/>
    <w:rsid w:val="43880F63"/>
    <w:rsid w:val="441C5A6F"/>
    <w:rsid w:val="44C44FCC"/>
    <w:rsid w:val="44CC7369"/>
    <w:rsid w:val="44ED2FF3"/>
    <w:rsid w:val="457F5108"/>
    <w:rsid w:val="45E82F72"/>
    <w:rsid w:val="46951B6B"/>
    <w:rsid w:val="49A34401"/>
    <w:rsid w:val="4A3E30AB"/>
    <w:rsid w:val="4AC14DAC"/>
    <w:rsid w:val="4D154C85"/>
    <w:rsid w:val="4EB35ECE"/>
    <w:rsid w:val="508F4E24"/>
    <w:rsid w:val="51461E90"/>
    <w:rsid w:val="51463753"/>
    <w:rsid w:val="52553A93"/>
    <w:rsid w:val="53521F8B"/>
    <w:rsid w:val="53E22F47"/>
    <w:rsid w:val="541E2399"/>
    <w:rsid w:val="54522FF8"/>
    <w:rsid w:val="55450629"/>
    <w:rsid w:val="56692963"/>
    <w:rsid w:val="568B0F48"/>
    <w:rsid w:val="5786217B"/>
    <w:rsid w:val="59337A15"/>
    <w:rsid w:val="59810274"/>
    <w:rsid w:val="59860699"/>
    <w:rsid w:val="5A30100A"/>
    <w:rsid w:val="5CA96A00"/>
    <w:rsid w:val="5CF730BC"/>
    <w:rsid w:val="5D0D50CE"/>
    <w:rsid w:val="5DC16718"/>
    <w:rsid w:val="5E5F0DCE"/>
    <w:rsid w:val="5FA40A7B"/>
    <w:rsid w:val="5FD56D29"/>
    <w:rsid w:val="5FEC7F3F"/>
    <w:rsid w:val="60F74BC3"/>
    <w:rsid w:val="617D3BF8"/>
    <w:rsid w:val="61841F6A"/>
    <w:rsid w:val="623007A9"/>
    <w:rsid w:val="62B21879"/>
    <w:rsid w:val="637D7558"/>
    <w:rsid w:val="644F19AC"/>
    <w:rsid w:val="65AA4920"/>
    <w:rsid w:val="65E31D0B"/>
    <w:rsid w:val="67694F1E"/>
    <w:rsid w:val="69597934"/>
    <w:rsid w:val="6B964DDC"/>
    <w:rsid w:val="6C783074"/>
    <w:rsid w:val="6D9E65C6"/>
    <w:rsid w:val="6DA81947"/>
    <w:rsid w:val="6E5C28F2"/>
    <w:rsid w:val="6EB66DE2"/>
    <w:rsid w:val="6ED3075F"/>
    <w:rsid w:val="6F2A2D4B"/>
    <w:rsid w:val="6F8A0C1E"/>
    <w:rsid w:val="700806D3"/>
    <w:rsid w:val="703F45D4"/>
    <w:rsid w:val="715D6546"/>
    <w:rsid w:val="717665CA"/>
    <w:rsid w:val="71BE069E"/>
    <w:rsid w:val="72800FDA"/>
    <w:rsid w:val="73953409"/>
    <w:rsid w:val="73E069A3"/>
    <w:rsid w:val="749B72AC"/>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160.87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751975308641975"/>
          <c:y val="0.25609243697479"/>
          <c:w val="0.898427469135802"/>
          <c:h val="0.409327731092437"/>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0.47</c:v>
                </c:pt>
                <c:pt idx="1">
                  <c:v>146.51</c:v>
                </c:pt>
                <c:pt idx="2">
                  <c:v>4.09</c:v>
                </c:pt>
                <c:pt idx="3">
                  <c:v>2.8</c:v>
                </c:pt>
                <c:pt idx="4">
                  <c:v>7.01</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1.36</c:v>
                </c:pt>
                <c:pt idx="1">
                  <c:v>140.63</c:v>
                </c:pt>
                <c:pt idx="2">
                  <c:v>9.17</c:v>
                </c:pt>
                <c:pt idx="3">
                  <c:v>6.48</c:v>
                </c:pt>
                <c:pt idx="4">
                  <c:v>7.35</c:v>
                </c:pt>
              </c:numCache>
            </c:numRef>
          </c:val>
        </c:ser>
        <c:dLbls>
          <c:showLegendKey val="0"/>
          <c:showVal val="0"/>
          <c:showCatName val="0"/>
          <c:showSerName val="0"/>
          <c:showPercent val="0"/>
          <c:showBubbleSize val="0"/>
        </c:dLbls>
        <c:gapWidth val="150"/>
        <c:overlap val="-25"/>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140.63</c:v>
                </c:pt>
                <c:pt idx="1">
                  <c:v>140.63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9.17</c:v>
                </c:pt>
                <c:pt idx="1">
                  <c:v>9.17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manualLayout>
          <c:layoutTarget val="inner"/>
          <c:xMode val="edge"/>
          <c:yMode val="edge"/>
          <c:x val="0.06990208599404"/>
          <c:y val="0.164691943127962"/>
          <c:w val="0.898878955583936"/>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6.48</c:v>
                </c:pt>
                <c:pt idx="1">
                  <c:v>6.48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7.35</c:v>
                </c:pt>
                <c:pt idx="1">
                  <c:v>7.35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33.05</c:v>
                </c:pt>
                <c:pt idx="1">
                  <c:v>7.22</c:v>
                </c:pt>
                <c:pt idx="2">
                  <c:v>19.32</c:v>
                </c:pt>
                <c:pt idx="3">
                  <c:v>0</c:v>
                </c:pt>
                <c:pt idx="4">
                  <c:v>15.54</c:v>
                </c:pt>
                <c:pt idx="5">
                  <c:v>9.17</c:v>
                </c:pt>
                <c:pt idx="6">
                  <c:v>0</c:v>
                </c:pt>
                <c:pt idx="7">
                  <c:v>3.18</c:v>
                </c:pt>
                <c:pt idx="8">
                  <c:v>0</c:v>
                </c:pt>
                <c:pt idx="9">
                  <c:v>0.45</c:v>
                </c:pt>
                <c:pt idx="10">
                  <c:v>6.48</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1.36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3081</Words>
  <Characters>4324</Characters>
  <Lines>90</Lines>
  <Paragraphs>25</Paragraphs>
  <TotalTime>19</TotalTime>
  <ScaleCrop>false</ScaleCrop>
  <LinksUpToDate>false</LinksUpToDate>
  <CharactersWithSpaces>4374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2024-12-26T08:53:00Z</cp:lastPrinted>
  <dcterms:modified xsi:type="dcterms:W3CDTF">2025-01-02T04:01:14Z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E2FB2949283F4B3C850E7753BD041789_13</vt:lpwstr>
  </property>
  <property fmtid="{D5CDD505-2E9C-101B-9397-08002B2CF9AE}" pid="4" name="KSOTemplateDocerSaveRecord">
    <vt:lpwstr>eyJoZGlkIjoiN2Q4OTc3ODc5NTliMTk2YmVjYTliZWVmMDNhODIxZTYifQ==</vt:lpwstr>
  </property>
</Properties>
</file>