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center"/>
        <w:rPr>
          <w:rFonts w:hint="eastAsia" w:ascii="黑体" w:hAnsi="黑体" w:eastAsia="黑体" w:cs="黑体"/>
          <w:b/>
          <w:bCs/>
          <w:sz w:val="52"/>
          <w:szCs w:val="52"/>
        </w:rPr>
      </w:pPr>
      <w:r>
        <w:rPr>
          <w:rFonts w:hint="eastAsia" w:ascii="黑体" w:hAnsi="黑体" w:eastAsia="黑体" w:cs="黑体"/>
          <w:b/>
          <w:bCs/>
          <w:sz w:val="52"/>
          <w:szCs w:val="52"/>
        </w:rPr>
        <w:t>环江毛南族自治县第三幼儿园</w:t>
      </w:r>
    </w:p>
    <w:p>
      <w:pPr>
        <w:jc w:val="center"/>
        <w:rPr>
          <w:rFonts w:hint="eastAsia" w:ascii="黑体" w:hAnsi="黑体" w:eastAsia="黑体" w:cs="黑体"/>
          <w:b/>
          <w:bCs/>
          <w:sz w:val="52"/>
          <w:szCs w:val="52"/>
        </w:rPr>
      </w:pPr>
      <w:r>
        <w:rPr>
          <w:rFonts w:hint="eastAsia" w:ascii="黑体" w:hAnsi="黑体" w:eastAsia="黑体" w:cs="黑体"/>
          <w:b/>
          <w:bCs/>
          <w:sz w:val="52"/>
          <w:szCs w:val="52"/>
        </w:rPr>
        <w:t>2023年度部门决算</w:t>
      </w:r>
    </w:p>
    <w:p>
      <w:pPr>
        <w:jc w:val="center"/>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仿宋" w:hAnsi="仿宋" w:eastAsia="仿宋" w:cs="仿宋"/>
          <w:sz w:val="32"/>
          <w:szCs w:val="32"/>
        </w:rPr>
      </w:pPr>
    </w:p>
    <w:p>
      <w:pPr>
        <w:ind w:firstLine="2560" w:firstLineChars="800"/>
        <w:jc w:val="left"/>
        <w:rPr>
          <w:rFonts w:hint="eastAsia" w:ascii="黑体" w:hAnsi="黑体" w:eastAsia="黑体" w:cs="仿宋"/>
          <w:sz w:val="32"/>
          <w:szCs w:val="32"/>
        </w:rPr>
      </w:pPr>
      <w:r>
        <w:rPr>
          <w:rFonts w:hint="eastAsia" w:ascii="黑体" w:hAnsi="黑体" w:eastAsia="黑体" w:cs="仿宋"/>
          <w:sz w:val="32"/>
          <w:szCs w:val="32"/>
        </w:rPr>
        <w:t>单位负责人：卢正芳</w:t>
      </w:r>
    </w:p>
    <w:p>
      <w:pPr>
        <w:jc w:val="left"/>
        <w:rPr>
          <w:rFonts w:hint="eastAsia" w:ascii="仿宋" w:hAnsi="仿宋" w:eastAsia="仿宋" w:cs="仿宋"/>
          <w:sz w:val="32"/>
          <w:szCs w:val="32"/>
        </w:rPr>
      </w:pPr>
    </w:p>
    <w:p>
      <w:pPr>
        <w:jc w:val="center"/>
        <w:rPr>
          <w:rFonts w:hint="eastAsia" w:ascii="黑体" w:hAnsi="黑体" w:eastAsia="黑体" w:cs="黑体"/>
          <w:b/>
          <w:bCs/>
          <w:sz w:val="36"/>
          <w:szCs w:val="36"/>
        </w:rPr>
      </w:pPr>
      <w:r>
        <w:rPr>
          <w:rFonts w:hint="eastAsia" w:ascii="黑体" w:hAnsi="黑体" w:eastAsia="黑体" w:cs="黑体"/>
          <w:b/>
          <w:bCs/>
          <w:sz w:val="36"/>
          <w:szCs w:val="36"/>
        </w:rPr>
        <w:t>2024年12月3日</w:t>
      </w:r>
    </w:p>
    <w:p>
      <w:pPr>
        <w:rPr>
          <w:rFonts w:hint="eastAsia" w:ascii="仿宋" w:hAnsi="仿宋" w:eastAsia="仿宋" w:cs="仿宋"/>
          <w:sz w:val="32"/>
          <w:szCs w:val="32"/>
        </w:rPr>
      </w:pPr>
      <w:r>
        <w:rPr>
          <w:rFonts w:ascii="仿宋" w:hAnsi="仿宋" w:eastAsia="仿宋" w:cs="仿宋"/>
          <w:sz w:val="32"/>
          <w:szCs w:val="32"/>
        </w:rPr>
        <w:br w:type="page"/>
      </w:r>
    </w:p>
    <w:p>
      <w:pPr>
        <w:jc w:val="center"/>
        <w:rPr>
          <w:rFonts w:hint="eastAsia" w:ascii="黑体" w:hAnsi="黑体" w:eastAsia="黑体" w:cs="黑体"/>
          <w:b/>
          <w:bCs/>
          <w:sz w:val="36"/>
          <w:szCs w:val="36"/>
        </w:rPr>
      </w:pPr>
      <w:r>
        <w:rPr>
          <w:rFonts w:hint="eastAsia" w:ascii="黑体" w:hAnsi="黑体" w:eastAsia="黑体" w:cs="黑体"/>
          <w:b/>
          <w:bCs/>
          <w:sz w:val="36"/>
          <w:szCs w:val="36"/>
        </w:rPr>
        <w:t>目   录</w:t>
      </w:r>
    </w:p>
    <w:p>
      <w:pPr>
        <w:jc w:val="left"/>
        <w:rPr>
          <w:rFonts w:hint="eastAsia" w:ascii="黑体" w:hAnsi="黑体" w:eastAsia="黑体" w:cs="黑体"/>
          <w:b/>
          <w:bCs/>
          <w:sz w:val="36"/>
          <w:szCs w:val="36"/>
        </w:rPr>
      </w:pPr>
    </w:p>
    <w:p>
      <w:pPr>
        <w:jc w:val="left"/>
        <w:rPr>
          <w:rFonts w:hint="eastAsia" w:ascii="仿宋" w:hAnsi="仿宋" w:eastAsia="仿宋" w:cs="仿宋"/>
          <w:sz w:val="32"/>
          <w:szCs w:val="32"/>
        </w:rPr>
      </w:pPr>
      <w:r>
        <w:rPr>
          <w:rFonts w:hint="eastAsia" w:ascii="黑体" w:hAnsi="黑体" w:eastAsia="黑体" w:cs="黑体"/>
          <w:sz w:val="32"/>
          <w:szCs w:val="32"/>
        </w:rPr>
        <w:t>第一部分：</w:t>
      </w:r>
      <w:r>
        <w:rPr>
          <w:rFonts w:ascii="黑体" w:hAnsi="黑体" w:eastAsia="黑体" w:cs="黑体"/>
          <w:sz w:val="32"/>
        </w:rPr>
        <w:t>环江毛南族自治县第三幼儿园</w:t>
      </w:r>
      <w:r>
        <w:rPr>
          <w:rFonts w:hint="eastAsia" w:ascii="黑体" w:hAnsi="黑体" w:eastAsia="黑体" w:cs="黑体"/>
          <w:sz w:val="32"/>
          <w:szCs w:val="32"/>
        </w:rPr>
        <w:t>概况</w:t>
      </w:r>
    </w:p>
    <w:p>
      <w:pPr>
        <w:jc w:val="left"/>
        <w:rPr>
          <w:rFonts w:hint="eastAsia" w:ascii="仿宋" w:hAnsi="仿宋" w:eastAsia="仿宋" w:cs="仿宋"/>
          <w:sz w:val="32"/>
          <w:szCs w:val="32"/>
        </w:rPr>
      </w:pPr>
      <w:r>
        <w:rPr>
          <w:rFonts w:hint="eastAsia" w:ascii="仿宋" w:hAnsi="仿宋" w:eastAsia="仿宋" w:cs="仿宋"/>
          <w:sz w:val="32"/>
          <w:szCs w:val="32"/>
        </w:rPr>
        <w:t>一、主要职能</w:t>
      </w:r>
    </w:p>
    <w:p>
      <w:pPr>
        <w:jc w:val="left"/>
        <w:rPr>
          <w:rFonts w:hint="eastAsia" w:ascii="仿宋" w:hAnsi="仿宋" w:eastAsia="仿宋" w:cs="仿宋"/>
          <w:sz w:val="32"/>
          <w:szCs w:val="32"/>
        </w:rPr>
      </w:pPr>
      <w:r>
        <w:rPr>
          <w:rFonts w:hint="eastAsia" w:ascii="仿宋" w:hAnsi="仿宋" w:eastAsia="仿宋" w:cs="仿宋"/>
          <w:sz w:val="32"/>
          <w:szCs w:val="32"/>
        </w:rPr>
        <w:t>二、部门决算单位构成</w:t>
      </w:r>
    </w:p>
    <w:p>
      <w:pPr>
        <w:jc w:val="left"/>
        <w:rPr>
          <w:rFonts w:hint="eastAsia"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环江毛南族自治县第三幼儿园</w:t>
      </w:r>
      <w:r>
        <w:rPr>
          <w:rFonts w:hint="eastAsia" w:ascii="黑体" w:hAnsi="黑体" w:eastAsia="黑体" w:cs="黑体"/>
          <w:sz w:val="32"/>
          <w:szCs w:val="32"/>
        </w:rPr>
        <w:t>2023年度部门决算报表</w:t>
      </w:r>
    </w:p>
    <w:p>
      <w:pPr>
        <w:rPr>
          <w:rFonts w:ascii="仿宋_GB2312" w:eastAsia="仿宋_GB2312"/>
          <w:sz w:val="32"/>
          <w:szCs w:val="32"/>
        </w:rPr>
      </w:pPr>
      <w:r>
        <w:rPr>
          <w:rFonts w:hint="eastAsia" w:ascii="仿宋_GB2312" w:eastAsia="仿宋_GB2312"/>
          <w:sz w:val="32"/>
          <w:szCs w:val="32"/>
        </w:rPr>
        <w:t>表一：收入支出决算总表</w:t>
      </w:r>
    </w:p>
    <w:p>
      <w:pPr>
        <w:rPr>
          <w:rFonts w:ascii="仿宋_GB2312" w:eastAsia="仿宋_GB2312"/>
          <w:sz w:val="32"/>
          <w:szCs w:val="32"/>
        </w:rPr>
      </w:pPr>
      <w:r>
        <w:rPr>
          <w:rFonts w:hint="eastAsia" w:ascii="仿宋_GB2312" w:eastAsia="仿宋_GB2312"/>
          <w:sz w:val="32"/>
          <w:szCs w:val="32"/>
        </w:rPr>
        <w:t>表二：收入决算表</w:t>
      </w:r>
    </w:p>
    <w:p>
      <w:pPr>
        <w:rPr>
          <w:rFonts w:ascii="仿宋_GB2312" w:eastAsia="仿宋_GB2312"/>
          <w:sz w:val="32"/>
          <w:szCs w:val="32"/>
        </w:rPr>
      </w:pPr>
      <w:r>
        <w:rPr>
          <w:rFonts w:hint="eastAsia" w:ascii="仿宋_GB2312" w:eastAsia="仿宋_GB2312"/>
          <w:sz w:val="32"/>
          <w:szCs w:val="32"/>
        </w:rPr>
        <w:t>表三：支出决算表</w:t>
      </w:r>
    </w:p>
    <w:p>
      <w:pPr>
        <w:rPr>
          <w:rFonts w:ascii="仿宋_GB2312" w:eastAsia="仿宋_GB2312"/>
          <w:sz w:val="32"/>
          <w:szCs w:val="32"/>
        </w:rPr>
      </w:pPr>
      <w:r>
        <w:rPr>
          <w:rFonts w:hint="eastAsia" w:ascii="仿宋_GB2312" w:eastAsia="仿宋_GB2312"/>
          <w:sz w:val="32"/>
          <w:szCs w:val="32"/>
        </w:rPr>
        <w:t>表四：财政拨款收入支出决算总表</w:t>
      </w:r>
    </w:p>
    <w:p>
      <w:pPr>
        <w:rPr>
          <w:rFonts w:ascii="仿宋_GB2312" w:eastAsia="仿宋_GB2312"/>
          <w:sz w:val="32"/>
          <w:szCs w:val="32"/>
        </w:rPr>
      </w:pPr>
      <w:r>
        <w:rPr>
          <w:rFonts w:hint="eastAsia" w:ascii="仿宋_GB2312" w:eastAsia="仿宋_GB2312"/>
          <w:sz w:val="32"/>
          <w:szCs w:val="32"/>
        </w:rPr>
        <w:t>表五：一般公共预算财政拨款支出决算表</w:t>
      </w:r>
    </w:p>
    <w:p>
      <w:pPr>
        <w:rPr>
          <w:rFonts w:ascii="仿宋_GB2312" w:eastAsia="仿宋_GB2312"/>
          <w:sz w:val="32"/>
          <w:szCs w:val="32"/>
        </w:rPr>
      </w:pPr>
      <w:r>
        <w:rPr>
          <w:rFonts w:hint="eastAsia" w:ascii="仿宋_GB2312" w:eastAsia="仿宋_GB2312"/>
          <w:sz w:val="32"/>
          <w:szCs w:val="32"/>
        </w:rPr>
        <w:t>表六：一般公共预算财政拨款基本支出决算明细表</w:t>
      </w:r>
    </w:p>
    <w:p>
      <w:pPr>
        <w:rPr>
          <w:rFonts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rPr>
          <w:rFonts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rPr>
          <w:rFonts w:ascii="仿宋_GB2312" w:eastAsia="仿宋_GB2312"/>
          <w:sz w:val="32"/>
          <w:szCs w:val="32"/>
        </w:rPr>
      </w:pPr>
      <w:r>
        <w:rPr>
          <w:rFonts w:hint="eastAsia" w:ascii="仿宋_GB2312" w:eastAsia="仿宋_GB2312"/>
          <w:sz w:val="32"/>
          <w:szCs w:val="32"/>
        </w:rPr>
        <w:t>表九：财政拨款“三公”经费支出决算表</w:t>
      </w:r>
    </w:p>
    <w:p>
      <w:pPr>
        <w:jc w:val="left"/>
        <w:rPr>
          <w:rFonts w:hint="eastAsia"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环江毛南族自治县第三幼儿园</w:t>
      </w:r>
      <w:r>
        <w:rPr>
          <w:rFonts w:hint="eastAsia" w:ascii="黑体" w:hAnsi="黑体" w:eastAsia="黑体" w:cs="黑体"/>
          <w:sz w:val="32"/>
          <w:szCs w:val="32"/>
        </w:rPr>
        <w:t>2023年度部门决算情况说明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2023</w:t>
      </w:r>
      <w:r>
        <w:rPr>
          <w:rFonts w:hint="eastAsia" w:ascii="仿宋_GB2312" w:eastAsia="仿宋_GB2312" w:cs="仿宋_GB2312"/>
          <w:kern w:val="0"/>
          <w:sz w:val="32"/>
          <w:szCs w:val="32"/>
        </w:rPr>
        <w:t>年度收入支出决算总体情况。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三、2023年度一般公共预算财政拨款基本支出决算情况说明。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2023</w:t>
      </w:r>
      <w:r>
        <w:rPr>
          <w:rFonts w:hint="eastAsia" w:ascii="仿宋_GB2312" w:eastAsia="仿宋_GB2312" w:cs="仿宋_GB2312"/>
          <w:kern w:val="0"/>
          <w:sz w:val="32"/>
          <w:szCs w:val="32"/>
        </w:rPr>
        <w:t>年度政府性基金支出决算情况。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五、2023年度国有资本经营预算支出决算情况。</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六、财政拨款“三公”经费支出决算情况说明。</w:t>
      </w:r>
    </w:p>
    <w:p>
      <w:pPr>
        <w:autoSpaceDE w:val="0"/>
        <w:autoSpaceDN w:val="0"/>
        <w:adjustRightInd w:val="0"/>
        <w:jc w:val="left"/>
        <w:rPr>
          <w:rFonts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jc w:val="left"/>
        <w:rPr>
          <w:rFonts w:ascii="仿宋_GB2312" w:eastAsia="仿宋_GB2312" w:cs="仿宋_GB2312"/>
          <w:kern w:val="0"/>
          <w:sz w:val="32"/>
          <w:szCs w:val="32"/>
        </w:rPr>
      </w:pPr>
      <w:r>
        <w:rPr>
          <w:rFonts w:ascii="仿宋_GB2312" w:eastAsia="仿宋_GB2312" w:cs="仿宋_GB2312"/>
          <w:kern w:val="0"/>
          <w:sz w:val="32"/>
          <w:szCs w:val="32"/>
        </w:rPr>
        <w:t>八、预算绩效管理工作开展情况</w:t>
      </w:r>
      <w:r>
        <w:rPr>
          <w:rFonts w:hint="eastAsia" w:ascii="仿宋_GB2312" w:eastAsia="仿宋_GB2312" w:cs="仿宋_GB2312"/>
          <w:kern w:val="0"/>
          <w:sz w:val="32"/>
          <w:szCs w:val="32"/>
        </w:rPr>
        <w:t>。</w:t>
      </w:r>
    </w:p>
    <w:p>
      <w:pPr>
        <w:jc w:val="left"/>
        <w:rPr>
          <w:rFonts w:hint="eastAsia" w:ascii="黑体" w:hAnsi="黑体" w:eastAsia="黑体" w:cs="黑体"/>
          <w:sz w:val="32"/>
          <w:szCs w:val="32"/>
        </w:rPr>
      </w:pPr>
      <w:r>
        <w:rPr>
          <w:rFonts w:hint="eastAsia" w:ascii="黑体" w:hAnsi="黑体" w:eastAsia="黑体" w:cs="黑体"/>
          <w:sz w:val="32"/>
          <w:szCs w:val="32"/>
        </w:rPr>
        <w:t>第四部分：名词解释</w:t>
      </w:r>
    </w:p>
    <w:p>
      <w:pPr>
        <w:jc w:val="left"/>
        <w:rPr>
          <w:rFonts w:hint="eastAsia" w:ascii="黑体" w:hAnsi="黑体" w:eastAsia="黑体" w:cs="黑体"/>
          <w:sz w:val="32"/>
          <w:szCs w:val="32"/>
        </w:rPr>
      </w:pPr>
      <w:r>
        <w:rPr>
          <w:rFonts w:hint="eastAsia" w:ascii="黑体" w:hAnsi="黑体" w:eastAsia="黑体" w:cs="黑体"/>
          <w:sz w:val="32"/>
          <w:szCs w:val="32"/>
        </w:rPr>
        <w:br w:type="page"/>
      </w:r>
    </w:p>
    <w:p>
      <w:pPr>
        <w:jc w:val="center"/>
        <w:rPr>
          <w:rFonts w:hint="eastAsia" w:ascii="仿宋" w:hAnsi="仿宋" w:eastAsia="仿宋" w:cs="仿宋"/>
          <w:sz w:val="32"/>
          <w:szCs w:val="32"/>
        </w:rPr>
      </w:pPr>
      <w:r>
        <w:rPr>
          <w:rFonts w:hint="eastAsia" w:ascii="黑体" w:hAnsi="黑体" w:eastAsia="黑体" w:cs="黑体"/>
          <w:b/>
          <w:bCs/>
          <w:sz w:val="32"/>
          <w:szCs w:val="32"/>
        </w:rPr>
        <w:t>第一部分：</w:t>
      </w:r>
      <w:r>
        <w:rPr>
          <w:rFonts w:ascii="黑体" w:hAnsi="黑体" w:eastAsia="黑体" w:cs="黑体"/>
          <w:b/>
          <w:sz w:val="32"/>
        </w:rPr>
        <w:t>环江毛南族自治县第三幼儿园</w:t>
      </w:r>
      <w:r>
        <w:rPr>
          <w:rFonts w:hint="eastAsia" w:ascii="黑体" w:hAnsi="黑体" w:eastAsia="黑体" w:cs="黑体"/>
          <w:b/>
          <w:bCs/>
          <w:sz w:val="32"/>
          <w:szCs w:val="32"/>
        </w:rPr>
        <w:t>概况</w:t>
      </w:r>
    </w:p>
    <w:p>
      <w:pPr>
        <w:jc w:val="left"/>
        <w:rPr>
          <w:rFonts w:hint="eastAsia" w:ascii="仿宋" w:hAnsi="仿宋" w:eastAsia="仿宋" w:cs="仿宋"/>
          <w:sz w:val="32"/>
          <w:szCs w:val="32"/>
        </w:rPr>
      </w:pPr>
      <w:r>
        <w:rPr>
          <w:rFonts w:hint="eastAsia" w:ascii="黑体" w:hAnsi="黑体" w:eastAsia="黑体" w:cs="黑体"/>
          <w:sz w:val="32"/>
          <w:szCs w:val="32"/>
        </w:rPr>
        <w:t>一、主要职能</w:t>
      </w:r>
    </w:p>
    <w:p>
      <w:pPr>
        <w:jc w:val="left"/>
        <w:rPr>
          <w:rFonts w:hint="eastAsia" w:ascii="仿宋" w:hAnsi="仿宋" w:eastAsia="仿宋" w:cs="仿宋"/>
          <w:sz w:val="32"/>
          <w:szCs w:val="32"/>
        </w:rPr>
      </w:pPr>
      <w:r>
        <w:rPr>
          <w:rFonts w:hint="eastAsia" w:ascii="仿宋" w:hAnsi="仿宋" w:eastAsia="仿宋" w:cs="仿宋"/>
          <w:sz w:val="32"/>
          <w:szCs w:val="32"/>
        </w:rPr>
        <w:t>（一）贯彻执行党和国家的教育方针、政策和法律法规；拟订全园教育改革与发展规划并组织实施。</w:t>
      </w:r>
    </w:p>
    <w:p>
      <w:pPr>
        <w:jc w:val="left"/>
        <w:rPr>
          <w:rFonts w:hint="eastAsia" w:ascii="仿宋" w:hAnsi="仿宋" w:eastAsia="仿宋" w:cs="仿宋"/>
          <w:sz w:val="32"/>
          <w:szCs w:val="32"/>
        </w:rPr>
      </w:pPr>
      <w:r>
        <w:rPr>
          <w:rFonts w:hint="eastAsia" w:ascii="仿宋" w:hAnsi="仿宋" w:eastAsia="仿宋" w:cs="仿宋"/>
          <w:sz w:val="32"/>
          <w:szCs w:val="32"/>
        </w:rPr>
        <w:t>（二）编制本园教育事业发展规划并检查实施情况，向自治县人民政府和上级教育部门作出报告。</w:t>
      </w:r>
    </w:p>
    <w:p>
      <w:pPr>
        <w:jc w:val="left"/>
        <w:rPr>
          <w:rFonts w:hint="eastAsia" w:ascii="仿宋" w:hAnsi="仿宋" w:eastAsia="仿宋" w:cs="仿宋"/>
          <w:sz w:val="32"/>
          <w:szCs w:val="32"/>
        </w:rPr>
      </w:pPr>
      <w:r>
        <w:rPr>
          <w:rFonts w:hint="eastAsia" w:ascii="仿宋" w:hAnsi="仿宋" w:eastAsia="仿宋" w:cs="仿宋"/>
          <w:sz w:val="32"/>
          <w:szCs w:val="32"/>
        </w:rPr>
        <w:t>（三）督促检查全园贯彻执行教育方针、政策、法令、法规和上级的各项规定；评估指导全园教育教学工作。</w:t>
      </w:r>
    </w:p>
    <w:p>
      <w:pPr>
        <w:jc w:val="left"/>
        <w:rPr>
          <w:rFonts w:hint="eastAsia" w:ascii="仿宋" w:hAnsi="仿宋" w:eastAsia="仿宋" w:cs="仿宋"/>
          <w:sz w:val="32"/>
          <w:szCs w:val="32"/>
        </w:rPr>
      </w:pPr>
      <w:r>
        <w:rPr>
          <w:rFonts w:hint="eastAsia" w:ascii="仿宋" w:hAnsi="仿宋" w:eastAsia="仿宋" w:cs="仿宋"/>
          <w:sz w:val="32"/>
          <w:szCs w:val="32"/>
        </w:rPr>
        <w:t>（四）负责推进幼儿教育均衡发展和促进教育公平。</w:t>
      </w:r>
    </w:p>
    <w:p>
      <w:pPr>
        <w:jc w:val="left"/>
        <w:rPr>
          <w:rFonts w:hint="eastAsia" w:ascii="仿宋" w:hAnsi="仿宋" w:eastAsia="仿宋" w:cs="仿宋"/>
          <w:sz w:val="32"/>
          <w:szCs w:val="32"/>
        </w:rPr>
      </w:pPr>
      <w:r>
        <w:rPr>
          <w:rFonts w:hint="eastAsia" w:ascii="仿宋" w:hAnsi="仿宋" w:eastAsia="仿宋" w:cs="仿宋"/>
          <w:sz w:val="32"/>
          <w:szCs w:val="32"/>
        </w:rPr>
        <w:t>（五）负责全园人才队伍和教师队伍建设，包括园长岗位培训、后备干部队伍建设、教师学历教育、继续教育等。</w:t>
      </w:r>
    </w:p>
    <w:p>
      <w:pPr>
        <w:jc w:val="left"/>
        <w:rPr>
          <w:rFonts w:hint="eastAsia" w:ascii="仿宋" w:hAnsi="仿宋" w:eastAsia="仿宋" w:cs="仿宋"/>
          <w:sz w:val="32"/>
          <w:szCs w:val="32"/>
        </w:rPr>
      </w:pPr>
      <w:r>
        <w:rPr>
          <w:rFonts w:hint="eastAsia" w:ascii="仿宋" w:hAnsi="仿宋" w:eastAsia="仿宋" w:cs="仿宋"/>
          <w:sz w:val="32"/>
          <w:szCs w:val="32"/>
        </w:rPr>
        <w:t>（六）负责组织全园做好学籍管理工作。</w:t>
      </w:r>
    </w:p>
    <w:p>
      <w:pPr>
        <w:jc w:val="left"/>
        <w:rPr>
          <w:rFonts w:hint="eastAsia" w:ascii="仿宋" w:hAnsi="仿宋" w:eastAsia="仿宋" w:cs="仿宋"/>
          <w:sz w:val="32"/>
          <w:szCs w:val="32"/>
        </w:rPr>
      </w:pPr>
      <w:r>
        <w:rPr>
          <w:rFonts w:hint="eastAsia" w:ascii="仿宋" w:hAnsi="仿宋" w:eastAsia="仿宋" w:cs="仿宋"/>
          <w:sz w:val="32"/>
          <w:szCs w:val="32"/>
        </w:rPr>
        <w:t>（七）按照中央关于全面推进素质教育要求，负责教育教学管理、教育教学改革及教育教学科学研究工作，检查指导全园实施素质教育工作，并组织推广先进的教育教学经验。</w:t>
      </w:r>
    </w:p>
    <w:p>
      <w:pPr>
        <w:jc w:val="left"/>
        <w:rPr>
          <w:rFonts w:hint="eastAsia" w:ascii="仿宋" w:hAnsi="仿宋" w:eastAsia="仿宋" w:cs="仿宋"/>
          <w:sz w:val="32"/>
          <w:szCs w:val="32"/>
        </w:rPr>
      </w:pPr>
      <w:r>
        <w:rPr>
          <w:rFonts w:hint="eastAsia" w:ascii="仿宋" w:hAnsi="仿宋" w:eastAsia="仿宋" w:cs="仿宋"/>
          <w:sz w:val="32"/>
          <w:szCs w:val="32"/>
        </w:rPr>
        <w:t>（八）检查指导学校教育教学设备的装备、管理和使用工作。</w:t>
      </w:r>
    </w:p>
    <w:p>
      <w:pPr>
        <w:jc w:val="left"/>
        <w:rPr>
          <w:rFonts w:hint="eastAsia" w:ascii="仿宋" w:hAnsi="仿宋" w:eastAsia="仿宋" w:cs="仿宋"/>
          <w:sz w:val="32"/>
          <w:szCs w:val="32"/>
        </w:rPr>
      </w:pPr>
      <w:r>
        <w:rPr>
          <w:rFonts w:hint="eastAsia" w:ascii="仿宋" w:hAnsi="仿宋" w:eastAsia="仿宋" w:cs="仿宋"/>
          <w:sz w:val="32"/>
          <w:szCs w:val="32"/>
        </w:rPr>
        <w:t>（九）检查指导全园开展电化教育和信息化教学工作。</w:t>
      </w:r>
    </w:p>
    <w:p>
      <w:pPr>
        <w:jc w:val="left"/>
        <w:rPr>
          <w:rFonts w:hint="eastAsia" w:ascii="仿宋" w:hAnsi="仿宋" w:eastAsia="仿宋" w:cs="仿宋"/>
          <w:sz w:val="32"/>
          <w:szCs w:val="32"/>
        </w:rPr>
      </w:pPr>
      <w:r>
        <w:rPr>
          <w:rFonts w:hint="eastAsia" w:ascii="仿宋" w:hAnsi="仿宋" w:eastAsia="仿宋" w:cs="仿宋"/>
          <w:sz w:val="32"/>
          <w:szCs w:val="32"/>
        </w:rPr>
        <w:t>（十）负责全园教师初级专业技术职务资格的评审，中、高级专业技术职务资格的申报工作。按照管理权限对教师进行考核、聘任、奖惩、晋升等工作。</w:t>
      </w:r>
    </w:p>
    <w:p>
      <w:pPr>
        <w:jc w:val="left"/>
        <w:rPr>
          <w:rFonts w:hint="eastAsia" w:ascii="仿宋" w:hAnsi="仿宋" w:eastAsia="仿宋" w:cs="仿宋"/>
          <w:sz w:val="32"/>
          <w:szCs w:val="32"/>
        </w:rPr>
      </w:pPr>
      <w:r>
        <w:rPr>
          <w:rFonts w:hint="eastAsia" w:ascii="仿宋" w:hAnsi="仿宋" w:eastAsia="仿宋" w:cs="仿宋"/>
          <w:sz w:val="32"/>
          <w:szCs w:val="32"/>
        </w:rPr>
        <w:t>（十一）负责监督审计全园教育经费和教育基建经费拨付及教育附加费和教育费附加的征收、管理与使用工作。</w:t>
      </w:r>
    </w:p>
    <w:p>
      <w:pPr>
        <w:jc w:val="left"/>
        <w:rPr>
          <w:rFonts w:hint="eastAsia" w:ascii="仿宋" w:hAnsi="仿宋" w:eastAsia="仿宋" w:cs="仿宋"/>
          <w:sz w:val="32"/>
          <w:szCs w:val="32"/>
        </w:rPr>
      </w:pPr>
      <w:r>
        <w:rPr>
          <w:rFonts w:hint="eastAsia" w:ascii="仿宋" w:hAnsi="仿宋" w:eastAsia="仿宋" w:cs="仿宋"/>
          <w:sz w:val="32"/>
          <w:szCs w:val="32"/>
        </w:rPr>
        <w:t>（十二）负责指导全园学生资助管理工作。</w:t>
      </w:r>
    </w:p>
    <w:p>
      <w:pPr>
        <w:jc w:val="left"/>
        <w:rPr>
          <w:rFonts w:hint="eastAsia" w:ascii="仿宋" w:hAnsi="仿宋" w:eastAsia="仿宋" w:cs="仿宋"/>
          <w:sz w:val="32"/>
          <w:szCs w:val="32"/>
        </w:rPr>
      </w:pPr>
      <w:r>
        <w:rPr>
          <w:rFonts w:hint="eastAsia" w:ascii="仿宋" w:hAnsi="仿宋" w:eastAsia="仿宋" w:cs="仿宋"/>
          <w:sz w:val="32"/>
          <w:szCs w:val="32"/>
        </w:rPr>
        <w:t>（十三）负责语言文字和指导推广普通话工作。</w:t>
      </w:r>
    </w:p>
    <w:p>
      <w:pPr>
        <w:jc w:val="left"/>
        <w:rPr>
          <w:rFonts w:hint="eastAsia" w:ascii="仿宋" w:hAnsi="仿宋" w:eastAsia="仿宋" w:cs="仿宋"/>
          <w:sz w:val="32"/>
          <w:szCs w:val="32"/>
        </w:rPr>
      </w:pPr>
      <w:r>
        <w:rPr>
          <w:rFonts w:hint="eastAsia" w:ascii="仿宋" w:hAnsi="仿宋" w:eastAsia="仿宋" w:cs="仿宋"/>
          <w:sz w:val="32"/>
          <w:szCs w:val="32"/>
        </w:rPr>
        <w:t>（十四）完成上级部门交办的其他工作。</w:t>
      </w:r>
    </w:p>
    <w:p>
      <w:pPr>
        <w:jc w:val="left"/>
        <w:rPr>
          <w:rFonts w:hint="eastAsia" w:ascii="仿宋" w:hAnsi="仿宋" w:eastAsia="仿宋" w:cs="仿宋"/>
          <w:sz w:val="32"/>
          <w:szCs w:val="32"/>
        </w:rPr>
      </w:pPr>
      <w:r>
        <w:rPr>
          <w:rFonts w:hint="eastAsia" w:ascii="黑体" w:hAnsi="黑体" w:eastAsia="黑体" w:cs="黑体"/>
          <w:sz w:val="32"/>
          <w:szCs w:val="32"/>
        </w:rPr>
        <w:t>二、部门决算单位构成</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第三幼儿园有四个内设机构，分别为：行政办公室、保教室、财务室、安全办。共有2</w:t>
      </w:r>
      <w:r>
        <w:rPr>
          <w:rFonts w:ascii="仿宋" w:hAnsi="仿宋" w:eastAsia="仿宋" w:cs="仿宋"/>
          <w:sz w:val="32"/>
          <w:szCs w:val="32"/>
        </w:rPr>
        <w:t>0</w:t>
      </w:r>
      <w:r>
        <w:rPr>
          <w:rFonts w:hint="eastAsia" w:ascii="仿宋" w:hAnsi="仿宋" w:eastAsia="仿宋" w:cs="仿宋"/>
          <w:sz w:val="32"/>
          <w:szCs w:val="32"/>
        </w:rPr>
        <w:t>名编制，其中5名实名制编制，14名教师控制数编制。现实有编制人数19人，单位自聘教职工22名。</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p>
    <w:p>
      <w:pPr>
        <w:rPr>
          <w:rFonts w:hint="eastAsia" w:ascii="黑体" w:hAnsi="黑体" w:eastAsia="黑体" w:cs="黑体"/>
          <w:sz w:val="32"/>
          <w:szCs w:val="32"/>
        </w:rPr>
        <w:sectPr>
          <w:pgSz w:w="11906" w:h="16838"/>
          <w:pgMar w:top="1440" w:right="1800" w:bottom="1440" w:left="1800" w:header="851" w:footer="992" w:gutter="0"/>
          <w:cols w:space="425" w:num="1"/>
          <w:docGrid w:type="lines" w:linePitch="312" w:charSpace="0"/>
        </w:sectPr>
      </w:pPr>
    </w:p>
    <w:p>
      <w:pPr>
        <w:rPr>
          <w:rFonts w:hint="eastAsia" w:ascii="黑体" w:hAnsi="黑体" w:eastAsia="黑体" w:cs="黑体"/>
          <w:sz w:val="32"/>
          <w:szCs w:val="32"/>
        </w:rPr>
      </w:pPr>
    </w:p>
    <w:p>
      <w:pPr>
        <w:jc w:val="center"/>
        <w:rPr>
          <w:rFonts w:hint="eastAsia"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rPr>
        <w:t>环江毛南族自治县第三幼儿园</w:t>
      </w:r>
      <w:r>
        <w:rPr>
          <w:rFonts w:hint="eastAsia" w:ascii="黑体" w:hAnsi="黑体" w:eastAsia="黑体" w:cs="黑体"/>
          <w:sz w:val="32"/>
          <w:szCs w:val="32"/>
        </w:rPr>
        <w:t xml:space="preserve"> 2023年度部门决算报表</w:t>
      </w:r>
    </w:p>
    <w:tbl>
      <w:tblPr>
        <w:tblStyle w:val="6"/>
        <w:tblW w:w="14120" w:type="dxa"/>
        <w:tblInd w:w="5" w:type="dxa"/>
        <w:tblLayout w:type="fixed"/>
        <w:tblCellMar>
          <w:top w:w="0" w:type="dxa"/>
          <w:left w:w="108" w:type="dxa"/>
          <w:bottom w:w="0" w:type="dxa"/>
          <w:right w:w="108" w:type="dxa"/>
        </w:tblCellMar>
      </w:tblPr>
      <w:tblGrid>
        <w:gridCol w:w="91"/>
        <w:gridCol w:w="2543"/>
        <w:gridCol w:w="2393"/>
        <w:gridCol w:w="294"/>
        <w:gridCol w:w="705"/>
        <w:gridCol w:w="1034"/>
        <w:gridCol w:w="198"/>
        <w:gridCol w:w="2669"/>
        <w:gridCol w:w="2202"/>
        <w:gridCol w:w="167"/>
        <w:gridCol w:w="739"/>
        <w:gridCol w:w="996"/>
        <w:gridCol w:w="89"/>
      </w:tblGrid>
      <w:tr>
        <w:trPr>
          <w:gridBefore w:val="1"/>
          <w:gridAfter w:val="1"/>
          <w:wBefore w:w="91" w:type="dxa"/>
          <w:wAfter w:w="89" w:type="dxa"/>
          <w:trHeight w:val="902" w:hRule="atLeast"/>
        </w:trPr>
        <w:tc>
          <w:tcPr>
            <w:tcW w:w="13940" w:type="dxa"/>
            <w:gridSpan w:val="11"/>
            <w:tcBorders>
              <w:top w:val="nil"/>
              <w:left w:val="nil"/>
              <w:bottom w:val="nil"/>
              <w:right w:val="nil"/>
            </w:tcBorders>
            <w:shd w:val="clear" w:color="auto" w:fill="auto"/>
            <w:noWrap/>
            <w:vAlign w:val="bottom"/>
          </w:tcPr>
          <w:p>
            <w:pPr>
              <w:jc w:val="left"/>
              <w:rPr>
                <w:rFonts w:hint="eastAsia" w:ascii="仿宋" w:hAnsi="仿宋" w:eastAsia="仿宋" w:cs="仿宋"/>
                <w:sz w:val="24"/>
              </w:rPr>
            </w:pPr>
            <w:r>
              <w:rPr>
                <w:rFonts w:hint="eastAsia" w:ascii="仿宋" w:hAnsi="仿宋" w:eastAsia="仿宋" w:cs="仿宋"/>
                <w:sz w:val="24"/>
              </w:rPr>
              <w:t>表一：收入支出决算总表</w:t>
            </w:r>
          </w:p>
          <w:p>
            <w:pPr>
              <w:jc w:val="left"/>
              <w:rPr>
                <w:rFonts w:hint="eastAsia" w:ascii="仿宋" w:hAnsi="仿宋" w:eastAsia="仿宋" w:cs="仿宋"/>
                <w:sz w:val="24"/>
              </w:rPr>
            </w:pPr>
          </w:p>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收入支出决算总表</w:t>
            </w:r>
          </w:p>
        </w:tc>
      </w:tr>
      <w:tr>
        <w:tblPrEx>
          <w:tblCellMar>
            <w:top w:w="0" w:type="dxa"/>
            <w:left w:w="108" w:type="dxa"/>
            <w:bottom w:w="0" w:type="dxa"/>
            <w:right w:w="108" w:type="dxa"/>
          </w:tblCellMar>
        </w:tblPrEx>
        <w:trPr>
          <w:gridBefore w:val="1"/>
          <w:gridAfter w:val="1"/>
          <w:wBefore w:w="91" w:type="dxa"/>
          <w:wAfter w:w="89" w:type="dxa"/>
          <w:trHeight w:val="301" w:hRule="atLeast"/>
        </w:trPr>
        <w:tc>
          <w:tcPr>
            <w:tcW w:w="254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31" w:type="dxa"/>
            <w:gridSpan w:val="4"/>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6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02" w:type="dxa"/>
            <w:gridSpan w:val="3"/>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公开01表</w:t>
            </w:r>
          </w:p>
        </w:tc>
      </w:tr>
      <w:tr>
        <w:tblPrEx>
          <w:tblCellMar>
            <w:top w:w="0" w:type="dxa"/>
            <w:left w:w="108" w:type="dxa"/>
            <w:bottom w:w="0" w:type="dxa"/>
            <w:right w:w="108" w:type="dxa"/>
          </w:tblCellMar>
        </w:tblPrEx>
        <w:trPr>
          <w:gridBefore w:val="1"/>
          <w:gridAfter w:val="1"/>
          <w:wBefore w:w="91" w:type="dxa"/>
          <w:wAfter w:w="89" w:type="dxa"/>
          <w:trHeight w:val="301" w:hRule="atLeast"/>
        </w:trPr>
        <w:tc>
          <w:tcPr>
            <w:tcW w:w="7167" w:type="dxa"/>
            <w:gridSpan w:val="6"/>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2669"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202"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02" w:type="dxa"/>
            <w:gridSpan w:val="3"/>
            <w:tcBorders>
              <w:top w:val="nil"/>
              <w:left w:val="nil"/>
              <w:bottom w:val="single" w:color="auto" w:sz="4" w:space="0"/>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0" w:hRule="atLeast"/>
        </w:trPr>
        <w:tc>
          <w:tcPr>
            <w:tcW w:w="7060" w:type="dxa"/>
            <w:gridSpan w:val="6"/>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收入</w:t>
            </w:r>
          </w:p>
        </w:tc>
        <w:tc>
          <w:tcPr>
            <w:tcW w:w="7060" w:type="dxa"/>
            <w:gridSpan w:val="7"/>
            <w:tcBorders>
              <w:top w:val="single" w:color="000000" w:sz="4" w:space="0"/>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支出</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034"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行次</w:t>
            </w:r>
          </w:p>
        </w:tc>
        <w:tc>
          <w:tcPr>
            <w:tcW w:w="108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金额</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34"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栏次</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1085" w:type="dxa"/>
            <w:gridSpan w:val="2"/>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一、一般公共预算财政拨款收入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342.09</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一、一般公共服务支出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2.55</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二、政府性基金预算财政拨款收入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二、外交支出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33</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三、国有资本经营预算财政拨款收入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三、国防支出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四、上级补助收入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四、公共安全支出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35</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五、事业收入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五、教育支出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36</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289.21</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六、经营收入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六、科学技术支出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37</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七、附属单位上缴收入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七、文化旅游体育与传媒支出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38</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八、其他收入</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八、社会保障和就业支出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39</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18.27</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九、卫生健康支出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十、节能环保支出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41</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十一、城乡社区支出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42</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十二、农林水支出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43</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十三、交通运输支出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44</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十四、资源勘探工业信息等支出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45</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十五、商业服务业等支出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46</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十六、金融支出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47</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十七、援助其他地区支出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十八、自然资源海洋气象等支出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49</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十九、住房保障支出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50</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13.45</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二十、粮油物资储备支出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51</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二十一、国有资本经营预算支出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52</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22</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二十二、灾害防治及应急管理支出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53</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23</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二十三、其他支出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54</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18.62</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二十四、债务还本支出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55</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二十五、债务付息支出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56</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二十六、抗疫特别国债安排的支出</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57</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本年收入合计</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27</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342.09</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本年支出合计</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58</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342.09</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使用非财政拨款结余（含专用结余）</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28</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结余分配</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59</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年初结转和结余</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29</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年末结转和结余</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60</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30</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61</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tblPrEx>
          <w:tblCellMar>
            <w:top w:w="0" w:type="dxa"/>
            <w:left w:w="108" w:type="dxa"/>
            <w:bottom w:w="0" w:type="dxa"/>
            <w:right w:w="108" w:type="dxa"/>
          </w:tblCellMar>
        </w:tblPrEx>
        <w:trPr>
          <w:trHeight w:val="300" w:hRule="atLeast"/>
        </w:trPr>
        <w:tc>
          <w:tcPr>
            <w:tcW w:w="5321" w:type="dxa"/>
            <w:gridSpan w:val="4"/>
            <w:tcBorders>
              <w:top w:val="nil"/>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705"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31</w:t>
            </w:r>
          </w:p>
        </w:tc>
        <w:tc>
          <w:tcPr>
            <w:tcW w:w="1034" w:type="dxa"/>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342.09</w:t>
            </w:r>
          </w:p>
        </w:tc>
        <w:tc>
          <w:tcPr>
            <w:tcW w:w="5236" w:type="dxa"/>
            <w:gridSpan w:val="4"/>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总计</w:t>
            </w:r>
          </w:p>
        </w:tc>
        <w:tc>
          <w:tcPr>
            <w:tcW w:w="739" w:type="dxa"/>
            <w:tcBorders>
              <w:top w:val="nil"/>
              <w:left w:val="nil"/>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62</w:t>
            </w:r>
          </w:p>
        </w:tc>
        <w:tc>
          <w:tcPr>
            <w:tcW w:w="108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342.09</w:t>
            </w:r>
          </w:p>
        </w:tc>
      </w:tr>
    </w:tbl>
    <w:p>
      <w:pPr>
        <w:rPr>
          <w:rFonts w:hint="eastAsia" w:ascii="宋体" w:hAnsi="宋体" w:eastAsia="宋体" w:cs="宋体"/>
          <w:color w:val="000000"/>
          <w:kern w:val="0"/>
          <w:sz w:val="30"/>
          <w:szCs w:val="30"/>
          <w:lang w:bidi="ar"/>
        </w:rPr>
      </w:pPr>
      <w:r>
        <w:rPr>
          <w:rFonts w:hint="eastAsia" w:ascii="宋体" w:hAnsi="宋体" w:eastAsia="宋体" w:cs="宋体"/>
          <w:color w:val="000000"/>
          <w:kern w:val="0"/>
          <w:sz w:val="30"/>
          <w:szCs w:val="30"/>
          <w:lang w:bidi="ar"/>
        </w:rPr>
        <w:br w:type="page"/>
      </w:r>
    </w:p>
    <w:tbl>
      <w:tblPr>
        <w:tblStyle w:val="6"/>
        <w:tblW w:w="0" w:type="auto"/>
        <w:tblInd w:w="5" w:type="dxa"/>
        <w:tblLayout w:type="autofit"/>
        <w:tblCellMar>
          <w:top w:w="0" w:type="dxa"/>
          <w:left w:w="108" w:type="dxa"/>
          <w:bottom w:w="0" w:type="dxa"/>
          <w:right w:w="108" w:type="dxa"/>
        </w:tblCellMar>
      </w:tblPr>
      <w:tblGrid>
        <w:gridCol w:w="1658"/>
        <w:gridCol w:w="1067"/>
        <w:gridCol w:w="1067"/>
        <w:gridCol w:w="1067"/>
        <w:gridCol w:w="535"/>
        <w:gridCol w:w="648"/>
        <w:gridCol w:w="609"/>
        <w:gridCol w:w="573"/>
        <w:gridCol w:w="683"/>
        <w:gridCol w:w="1099"/>
        <w:gridCol w:w="834"/>
        <w:gridCol w:w="1616"/>
        <w:gridCol w:w="682"/>
        <w:gridCol w:w="682"/>
        <w:gridCol w:w="1054"/>
        <w:gridCol w:w="295"/>
      </w:tblGrid>
      <w:tr>
        <w:tblPrEx>
          <w:tblCellMar>
            <w:top w:w="0" w:type="dxa"/>
            <w:left w:w="108" w:type="dxa"/>
            <w:bottom w:w="0" w:type="dxa"/>
            <w:right w:w="108" w:type="dxa"/>
          </w:tblCellMar>
        </w:tblPrEx>
        <w:trPr>
          <w:gridAfter w:val="3"/>
          <w:wAfter w:w="1758" w:type="dxa"/>
          <w:trHeight w:val="951" w:hRule="atLeast"/>
        </w:trPr>
        <w:tc>
          <w:tcPr>
            <w:tcW w:w="0" w:type="auto"/>
            <w:gridSpan w:val="13"/>
            <w:tcBorders>
              <w:top w:val="nil"/>
              <w:left w:val="nil"/>
              <w:bottom w:val="nil"/>
              <w:right w:val="nil"/>
            </w:tcBorders>
            <w:shd w:val="clear" w:color="auto" w:fill="auto"/>
            <w:noWrap/>
            <w:vAlign w:val="bottom"/>
          </w:tcPr>
          <w:p>
            <w:pPr>
              <w:jc w:val="left"/>
              <w:rPr>
                <w:rFonts w:hint="eastAsia" w:ascii="仿宋" w:hAnsi="仿宋" w:eastAsia="仿宋" w:cs="仿宋"/>
                <w:sz w:val="24"/>
              </w:rPr>
            </w:pPr>
            <w:r>
              <w:rPr>
                <w:rFonts w:hint="eastAsia" w:ascii="仿宋" w:hAnsi="仿宋" w:eastAsia="仿宋" w:cs="仿宋"/>
                <w:sz w:val="24"/>
              </w:rPr>
              <w:t>表二：收入决算表</w:t>
            </w:r>
          </w:p>
          <w:p>
            <w:pPr>
              <w:jc w:val="left"/>
              <w:rPr>
                <w:rFonts w:hint="eastAsia" w:ascii="仿宋" w:hAnsi="仿宋" w:eastAsia="仿宋" w:cs="仿宋"/>
                <w:sz w:val="24"/>
              </w:rPr>
            </w:pPr>
          </w:p>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收入决算表</w:t>
            </w:r>
          </w:p>
        </w:tc>
      </w:tr>
      <w:tr>
        <w:tblPrEx>
          <w:tblCellMar>
            <w:top w:w="0" w:type="dxa"/>
            <w:left w:w="108" w:type="dxa"/>
            <w:bottom w:w="0" w:type="dxa"/>
            <w:right w:w="108" w:type="dxa"/>
          </w:tblCellMar>
        </w:tblPrEx>
        <w:trPr>
          <w:gridAfter w:val="3"/>
          <w:wAfter w:w="1758" w:type="dxa"/>
          <w:trHeight w:val="317"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108" w:type="dxa"/>
            <w:bottom w:w="0" w:type="dxa"/>
            <w:right w:w="108" w:type="dxa"/>
          </w:tblCellMar>
        </w:tblPrEx>
        <w:trPr>
          <w:gridAfter w:val="3"/>
          <w:wAfter w:w="1758" w:type="dxa"/>
          <w:trHeight w:val="317" w:hRule="atLeast"/>
        </w:trPr>
        <w:tc>
          <w:tcPr>
            <w:tcW w:w="0" w:type="auto"/>
            <w:gridSpan w:val="8"/>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0" w:type="auto"/>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single" w:color="auto" w:sz="4" w:space="0"/>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222" w:type="dxa"/>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color w:val="000000"/>
                <w:sz w:val="22"/>
                <w:szCs w:val="22"/>
              </w:rPr>
              <w:t>项目</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本年收入合计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财政拨款收入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上级补助收入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事业收入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经营收入</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附属单位上缴收入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其他收入</w:t>
            </w:r>
          </w:p>
        </w:tc>
      </w:tr>
      <w:tr>
        <w:tblPrEx>
          <w:tblCellMar>
            <w:top w:w="0" w:type="dxa"/>
            <w:left w:w="108" w:type="dxa"/>
            <w:bottom w:w="0" w:type="dxa"/>
            <w:right w:w="108" w:type="dxa"/>
          </w:tblCellMar>
        </w:tblPrEx>
        <w:trPr>
          <w:gridAfter w:val="1"/>
          <w:wAfter w:w="222" w:type="dxa"/>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科目代码</w:t>
            </w:r>
          </w:p>
        </w:tc>
        <w:tc>
          <w:tcPr>
            <w:tcW w:w="0" w:type="auto"/>
            <w:gridSpan w:val="4"/>
            <w:vMerge w:val="restart"/>
            <w:tcBorders>
              <w:top w:val="nil"/>
              <w:left w:val="single" w:color="000000" w:sz="4" w:space="0"/>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科目名称</w:t>
            </w: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4"/>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color w:val="000000"/>
                <w:sz w:val="22"/>
                <w:szCs w:val="22"/>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4"/>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40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000000" w:fill="F1F1F1"/>
            <w:noWrap/>
            <w:vAlign w:val="center"/>
          </w:tcPr>
          <w:p>
            <w:pPr>
              <w:jc w:val="center"/>
              <w:rPr>
                <w:rFonts w:hint="eastAsia" w:ascii="宋体" w:hAnsi="宋体" w:eastAsia="宋体" w:cs="宋体"/>
                <w:color w:val="000000"/>
                <w:sz w:val="22"/>
                <w:szCs w:val="22"/>
              </w:rPr>
            </w:pPr>
            <w:r>
              <w:rPr>
                <w:rFonts w:hint="eastAsia"/>
                <w:color w:val="000000"/>
                <w:sz w:val="22"/>
                <w:szCs w:val="22"/>
              </w:rPr>
              <w:t>栏次</w:t>
            </w:r>
          </w:p>
        </w:tc>
        <w:tc>
          <w:tcPr>
            <w:tcW w:w="0" w:type="auto"/>
            <w:gridSpan w:val="2"/>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1</w:t>
            </w:r>
          </w:p>
        </w:tc>
        <w:tc>
          <w:tcPr>
            <w:tcW w:w="0" w:type="auto"/>
            <w:gridSpan w:val="2"/>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2</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3</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4</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5</w:t>
            </w:r>
          </w:p>
        </w:tc>
        <w:tc>
          <w:tcPr>
            <w:tcW w:w="0" w:type="auto"/>
            <w:gridSpan w:val="2"/>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6</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7</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405"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合计</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342.09</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342.09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2012999</w:t>
            </w:r>
          </w:p>
        </w:tc>
        <w:tc>
          <w:tcPr>
            <w:tcW w:w="0" w:type="auto"/>
            <w:gridSpan w:val="4"/>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其他群众团体事务支出</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2050201</w:t>
            </w:r>
          </w:p>
        </w:tc>
        <w:tc>
          <w:tcPr>
            <w:tcW w:w="0" w:type="auto"/>
            <w:gridSpan w:val="4"/>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学前教育</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288.94</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288.94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2050299</w:t>
            </w:r>
          </w:p>
        </w:tc>
        <w:tc>
          <w:tcPr>
            <w:tcW w:w="0" w:type="auto"/>
            <w:gridSpan w:val="4"/>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其他普通教育支出</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0.27</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0.27</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2080505</w:t>
            </w:r>
          </w:p>
        </w:tc>
        <w:tc>
          <w:tcPr>
            <w:tcW w:w="0" w:type="auto"/>
            <w:gridSpan w:val="4"/>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机关事业单位基本养老保险缴费支出</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2210201</w:t>
            </w:r>
          </w:p>
        </w:tc>
        <w:tc>
          <w:tcPr>
            <w:tcW w:w="0" w:type="auto"/>
            <w:gridSpan w:val="4"/>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住房公积金</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2299999</w:t>
            </w:r>
          </w:p>
        </w:tc>
        <w:tc>
          <w:tcPr>
            <w:tcW w:w="0" w:type="auto"/>
            <w:gridSpan w:val="4"/>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其他支出</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18.62</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18.62</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gridAfter w:val="3"/>
          <w:wAfter w:w="1758" w:type="dxa"/>
          <w:trHeight w:val="327" w:hRule="atLeast"/>
        </w:trPr>
        <w:tc>
          <w:tcPr>
            <w:tcW w:w="0" w:type="auto"/>
            <w:gridSpan w:val="13"/>
            <w:tcBorders>
              <w:top w:val="single" w:color="auto" w:sz="4" w:space="0"/>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注：本表反映部门本年度取得的各项收入情况。</w:t>
            </w:r>
          </w:p>
        </w:tc>
      </w:tr>
    </w:tbl>
    <w:p>
      <w:pPr>
        <w:jc w:val="center"/>
        <w:rPr>
          <w:rFonts w:hint="eastAsia" w:ascii="仿宋" w:hAnsi="仿宋" w:eastAsia="仿宋" w:cs="仿宋"/>
          <w:sz w:val="24"/>
        </w:rPr>
      </w:pPr>
    </w:p>
    <w:p>
      <w:pPr>
        <w:rPr>
          <w:rFonts w:hint="eastAsia" w:ascii="仿宋" w:hAnsi="仿宋" w:eastAsia="仿宋" w:cs="仿宋"/>
          <w:sz w:val="24"/>
        </w:rPr>
      </w:pPr>
      <w:r>
        <w:rPr>
          <w:rFonts w:ascii="仿宋" w:hAnsi="仿宋" w:eastAsia="仿宋" w:cs="仿宋"/>
          <w:sz w:val="24"/>
        </w:rPr>
        <w:br w:type="page"/>
      </w:r>
    </w:p>
    <w:p>
      <w:pPr>
        <w:jc w:val="center"/>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表三：支出决算表</w:t>
      </w:r>
    </w:p>
    <w:p>
      <w:pPr>
        <w:jc w:val="left"/>
        <w:rPr>
          <w:rFonts w:hint="eastAsia" w:ascii="仿宋" w:hAnsi="仿宋" w:eastAsia="仿宋" w:cs="仿宋"/>
          <w:sz w:val="24"/>
        </w:rPr>
      </w:pPr>
    </w:p>
    <w:tbl>
      <w:tblPr>
        <w:tblStyle w:val="6"/>
        <w:tblW w:w="0" w:type="auto"/>
        <w:tblInd w:w="5" w:type="dxa"/>
        <w:tblLayout w:type="autofit"/>
        <w:tblCellMar>
          <w:top w:w="0" w:type="dxa"/>
          <w:left w:w="108" w:type="dxa"/>
          <w:bottom w:w="0" w:type="dxa"/>
          <w:right w:w="108" w:type="dxa"/>
        </w:tblCellMar>
      </w:tblPr>
      <w:tblGrid>
        <w:gridCol w:w="1096"/>
        <w:gridCol w:w="1245"/>
        <w:gridCol w:w="1245"/>
        <w:gridCol w:w="1246"/>
        <w:gridCol w:w="1536"/>
        <w:gridCol w:w="1096"/>
        <w:gridCol w:w="1096"/>
        <w:gridCol w:w="1536"/>
        <w:gridCol w:w="1096"/>
        <w:gridCol w:w="2196"/>
        <w:gridCol w:w="222"/>
      </w:tblGrid>
      <w:tr>
        <w:tblPrEx>
          <w:tblCellMar>
            <w:top w:w="0" w:type="dxa"/>
            <w:left w:w="108" w:type="dxa"/>
            <w:bottom w:w="0" w:type="dxa"/>
            <w:right w:w="108" w:type="dxa"/>
          </w:tblCellMar>
        </w:tblPrEx>
        <w:trPr>
          <w:gridAfter w:val="1"/>
          <w:wAfter w:w="222" w:type="dxa"/>
          <w:trHeight w:val="623" w:hRule="atLeast"/>
        </w:trPr>
        <w:tc>
          <w:tcPr>
            <w:tcW w:w="0" w:type="auto"/>
            <w:gridSpan w:val="10"/>
            <w:tcBorders>
              <w:top w:val="nil"/>
              <w:left w:val="nil"/>
              <w:bottom w:val="nil"/>
              <w:right w:val="nil"/>
            </w:tcBorders>
            <w:shd w:val="clear" w:color="auto" w:fill="auto"/>
            <w:noWrap/>
            <w:vAlign w:val="center"/>
          </w:tcPr>
          <w:p>
            <w:pPr>
              <w:widowControl/>
              <w:jc w:val="center"/>
              <w:textAlignment w:val="center"/>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支出决算表</w:t>
            </w:r>
          </w:p>
        </w:tc>
      </w:tr>
      <w:tr>
        <w:tblPrEx>
          <w:tblCellMar>
            <w:top w:w="0" w:type="dxa"/>
            <w:left w:w="108" w:type="dxa"/>
            <w:bottom w:w="0" w:type="dxa"/>
            <w:right w:w="108" w:type="dxa"/>
          </w:tblCellMar>
        </w:tblPrEx>
        <w:trPr>
          <w:gridAfter w:val="1"/>
          <w:wAfter w:w="222" w:type="dxa"/>
          <w:trHeight w:val="312" w:hRule="atLeast"/>
        </w:trPr>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center"/>
          </w:tcPr>
          <w:p>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108" w:type="dxa"/>
            <w:bottom w:w="0" w:type="dxa"/>
            <w:right w:w="108" w:type="dxa"/>
          </w:tblCellMar>
        </w:tblPrEx>
        <w:trPr>
          <w:gridAfter w:val="1"/>
          <w:wAfter w:w="222" w:type="dxa"/>
          <w:trHeight w:val="312" w:hRule="atLeast"/>
        </w:trPr>
        <w:tc>
          <w:tcPr>
            <w:tcW w:w="0" w:type="auto"/>
            <w:gridSpan w:val="7"/>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0" w:type="auto"/>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single" w:color="auto" w:sz="4" w:space="0"/>
              <w:right w:val="nil"/>
            </w:tcBorders>
            <w:shd w:val="clear" w:color="auto" w:fill="auto"/>
            <w:noWrap/>
            <w:vAlign w:val="center"/>
          </w:tcPr>
          <w:p>
            <w:pPr>
              <w:rPr>
                <w:rFonts w:ascii="Arial" w:hAnsi="Arial" w:cs="Arial"/>
                <w:color w:val="000000"/>
                <w:sz w:val="20"/>
                <w:szCs w:val="20"/>
              </w:rPr>
            </w:pPr>
          </w:p>
        </w:tc>
        <w:tc>
          <w:tcPr>
            <w:tcW w:w="0" w:type="auto"/>
            <w:tcBorders>
              <w:top w:val="nil"/>
              <w:left w:val="nil"/>
              <w:bottom w:val="single" w:color="auto" w:sz="4" w:space="0"/>
              <w:right w:val="nil"/>
            </w:tcBorders>
            <w:shd w:val="clear" w:color="auto" w:fill="auto"/>
            <w:noWrap/>
            <w:vAlign w:val="center"/>
          </w:tcPr>
          <w:p>
            <w:pPr>
              <w:widowControl/>
              <w:jc w:val="righ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222" w:type="dxa"/>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color w:val="000000"/>
                <w:sz w:val="22"/>
                <w:szCs w:val="22"/>
              </w:rPr>
              <w:t>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本年支出合计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经营支出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对附属单位补助支出</w:t>
            </w:r>
          </w:p>
        </w:tc>
      </w:tr>
      <w:tr>
        <w:tblPrEx>
          <w:tblCellMar>
            <w:top w:w="0" w:type="dxa"/>
            <w:left w:w="108" w:type="dxa"/>
            <w:bottom w:w="0" w:type="dxa"/>
            <w:right w:w="108" w:type="dxa"/>
          </w:tblCellMar>
        </w:tblPrEx>
        <w:trPr>
          <w:gridAfter w:val="1"/>
          <w:wAfter w:w="222" w:type="dxa"/>
          <w:trHeight w:val="31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科目代码</w:t>
            </w:r>
          </w:p>
        </w:tc>
        <w:tc>
          <w:tcPr>
            <w:tcW w:w="0" w:type="auto"/>
            <w:gridSpan w:val="3"/>
            <w:vMerge w:val="restart"/>
            <w:tcBorders>
              <w:top w:val="nil"/>
              <w:left w:val="single" w:color="000000" w:sz="4" w:space="0"/>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科目名称</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3"/>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color w:val="000000"/>
                <w:sz w:val="22"/>
                <w:szCs w:val="22"/>
              </w:rPr>
            </w:pPr>
          </w:p>
        </w:tc>
      </w:tr>
      <w:tr>
        <w:tblPrEx>
          <w:tblCellMar>
            <w:top w:w="0" w:type="dxa"/>
            <w:left w:w="108" w:type="dxa"/>
            <w:bottom w:w="0" w:type="dxa"/>
            <w:right w:w="108" w:type="dxa"/>
          </w:tblCellMar>
        </w:tblPrEx>
        <w:trPr>
          <w:trHeight w:val="30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3"/>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jc w:val="center"/>
              <w:rPr>
                <w:rFonts w:hint="eastAsia" w:ascii="宋体" w:hAnsi="宋体" w:eastAsia="宋体" w:cs="宋体"/>
                <w:color w:val="000000"/>
                <w:sz w:val="22"/>
                <w:szCs w:val="22"/>
              </w:rPr>
            </w:pPr>
            <w:r>
              <w:rPr>
                <w:rFonts w:hint="eastAsia"/>
                <w:color w:val="000000"/>
                <w:sz w:val="22"/>
                <w:szCs w:val="22"/>
              </w:rPr>
              <w:t>栏次</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1</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2</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3</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4</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5</w:t>
            </w:r>
          </w:p>
        </w:tc>
        <w:tc>
          <w:tcPr>
            <w:tcW w:w="0" w:type="auto"/>
            <w:tcBorders>
              <w:top w:val="nil"/>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6</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合计</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342.09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185.20</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156.89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2012999</w:t>
            </w:r>
          </w:p>
        </w:tc>
        <w:tc>
          <w:tcPr>
            <w:tcW w:w="0" w:type="auto"/>
            <w:gridSpan w:val="3"/>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其他群众团体事务支出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2050201</w:t>
            </w:r>
          </w:p>
        </w:tc>
        <w:tc>
          <w:tcPr>
            <w:tcW w:w="0" w:type="auto"/>
            <w:gridSpan w:val="3"/>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学前教育</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288.94</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132.05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156.89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2050299</w:t>
            </w:r>
          </w:p>
        </w:tc>
        <w:tc>
          <w:tcPr>
            <w:tcW w:w="0" w:type="auto"/>
            <w:gridSpan w:val="3"/>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其他普通教育支出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0.27</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0.27</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2080505</w:t>
            </w:r>
          </w:p>
        </w:tc>
        <w:tc>
          <w:tcPr>
            <w:tcW w:w="0" w:type="auto"/>
            <w:gridSpan w:val="3"/>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机关事业单位基本养老保险缴费支出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2210201</w:t>
            </w:r>
          </w:p>
        </w:tc>
        <w:tc>
          <w:tcPr>
            <w:tcW w:w="0" w:type="auto"/>
            <w:gridSpan w:val="3"/>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住房公积金</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2299999</w:t>
            </w:r>
          </w:p>
        </w:tc>
        <w:tc>
          <w:tcPr>
            <w:tcW w:w="0" w:type="auto"/>
            <w:gridSpan w:val="3"/>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18.62</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18.62</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gridAfter w:val="1"/>
          <w:wAfter w:w="222" w:type="dxa"/>
          <w:trHeight w:val="322" w:hRule="atLeast"/>
        </w:trPr>
        <w:tc>
          <w:tcPr>
            <w:tcW w:w="0" w:type="auto"/>
            <w:gridSpan w:val="10"/>
            <w:tcBorders>
              <w:top w:val="single" w:color="auto" w:sz="4" w:space="0"/>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注：本表反映部门本年度各项支出情况。</w:t>
            </w:r>
          </w:p>
        </w:tc>
      </w:tr>
    </w:tbl>
    <w:p>
      <w:pPr>
        <w:rPr>
          <w:rFonts w:hint="eastAsia" w:ascii="仿宋" w:hAnsi="仿宋" w:eastAsia="仿宋" w:cs="仿宋"/>
          <w:sz w:val="24"/>
        </w:rPr>
      </w:pPr>
      <w:r>
        <w:rPr>
          <w:rFonts w:ascii="仿宋" w:hAnsi="仿宋" w:eastAsia="仿宋" w:cs="仿宋"/>
          <w:sz w:val="24"/>
        </w:rPr>
        <w:br w:type="page"/>
      </w:r>
    </w:p>
    <w:p>
      <w:pPr>
        <w:jc w:val="center"/>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表四：财政拨款收入支出决算总表</w:t>
      </w:r>
    </w:p>
    <w:p>
      <w:pPr>
        <w:jc w:val="left"/>
        <w:rPr>
          <w:rFonts w:hint="eastAsia" w:ascii="仿宋" w:hAnsi="仿宋" w:eastAsia="仿宋" w:cs="仿宋"/>
          <w:sz w:val="24"/>
        </w:rPr>
      </w:pPr>
    </w:p>
    <w:tbl>
      <w:tblPr>
        <w:tblStyle w:val="6"/>
        <w:tblW w:w="0" w:type="auto"/>
        <w:tblInd w:w="0" w:type="dxa"/>
        <w:tblLayout w:type="autofit"/>
        <w:tblCellMar>
          <w:top w:w="0" w:type="dxa"/>
          <w:left w:w="108" w:type="dxa"/>
          <w:bottom w:w="0" w:type="dxa"/>
          <w:right w:w="108" w:type="dxa"/>
        </w:tblCellMar>
      </w:tblPr>
      <w:tblGrid>
        <w:gridCol w:w="2315"/>
        <w:gridCol w:w="3039"/>
        <w:gridCol w:w="840"/>
        <w:gridCol w:w="369"/>
        <w:gridCol w:w="736"/>
        <w:gridCol w:w="736"/>
        <w:gridCol w:w="737"/>
        <w:gridCol w:w="528"/>
        <w:gridCol w:w="768"/>
        <w:gridCol w:w="302"/>
        <w:gridCol w:w="302"/>
        <w:gridCol w:w="1798"/>
        <w:gridCol w:w="177"/>
        <w:gridCol w:w="177"/>
        <w:gridCol w:w="1129"/>
        <w:gridCol w:w="221"/>
      </w:tblGrid>
      <w:tr>
        <w:tblPrEx>
          <w:tblCellMar>
            <w:top w:w="0" w:type="dxa"/>
            <w:left w:w="108" w:type="dxa"/>
            <w:bottom w:w="0" w:type="dxa"/>
            <w:right w:w="108" w:type="dxa"/>
          </w:tblCellMar>
        </w:tblPrEx>
        <w:trPr>
          <w:gridAfter w:val="3"/>
          <w:wAfter w:w="785" w:type="dxa"/>
          <w:trHeight w:val="520" w:hRule="atLeast"/>
        </w:trPr>
        <w:tc>
          <w:tcPr>
            <w:tcW w:w="0" w:type="auto"/>
            <w:gridSpan w:val="13"/>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财政拨款收入支出决算总表</w:t>
            </w:r>
          </w:p>
        </w:tc>
      </w:tr>
      <w:tr>
        <w:tblPrEx>
          <w:tblCellMar>
            <w:top w:w="0" w:type="dxa"/>
            <w:left w:w="108" w:type="dxa"/>
            <w:bottom w:w="0" w:type="dxa"/>
            <w:right w:w="108" w:type="dxa"/>
          </w:tblCellMar>
        </w:tblPrEx>
        <w:trPr>
          <w:gridAfter w:val="3"/>
          <w:wAfter w:w="785" w:type="dxa"/>
          <w:trHeight w:val="260" w:hRule="atLeast"/>
        </w:trPr>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gridSpan w:val="3"/>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公开04表</w:t>
            </w:r>
          </w:p>
        </w:tc>
      </w:tr>
      <w:tr>
        <w:tblPrEx>
          <w:tblCellMar>
            <w:top w:w="0" w:type="dxa"/>
            <w:left w:w="108" w:type="dxa"/>
            <w:bottom w:w="0" w:type="dxa"/>
            <w:right w:w="108" w:type="dxa"/>
          </w:tblCellMar>
        </w:tblPrEx>
        <w:trPr>
          <w:gridAfter w:val="3"/>
          <w:wAfter w:w="785" w:type="dxa"/>
          <w:trHeight w:val="260" w:hRule="atLeast"/>
        </w:trPr>
        <w:tc>
          <w:tcPr>
            <w:tcW w:w="0" w:type="auto"/>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0" w:type="auto"/>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0" w:type="auto"/>
            <w:gridSpan w:val="3"/>
            <w:tcBorders>
              <w:top w:val="nil"/>
              <w:left w:val="nil"/>
              <w:bottom w:val="single" w:color="auto" w:sz="4" w:space="0"/>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220" w:type="dxa"/>
          <w:trHeight w:val="300" w:hRule="atLeast"/>
        </w:trPr>
        <w:tc>
          <w:tcPr>
            <w:tcW w:w="5968" w:type="dxa"/>
            <w:gridSpan w:val="3"/>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color w:val="000000"/>
                <w:sz w:val="22"/>
                <w:szCs w:val="22"/>
              </w:rPr>
              <w:t>收     入</w:t>
            </w:r>
          </w:p>
        </w:tc>
        <w:tc>
          <w:tcPr>
            <w:tcW w:w="7769" w:type="dxa"/>
            <w:gridSpan w:val="12"/>
            <w:tcBorders>
              <w:top w:val="single" w:color="000000" w:sz="4" w:space="0"/>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支     出</w:t>
            </w:r>
          </w:p>
        </w:tc>
      </w:tr>
      <w:tr>
        <w:tblPrEx>
          <w:tblCellMar>
            <w:top w:w="0" w:type="dxa"/>
            <w:left w:w="108" w:type="dxa"/>
            <w:bottom w:w="0" w:type="dxa"/>
            <w:right w:w="108" w:type="dxa"/>
          </w:tblCellMar>
        </w:tblPrEx>
        <w:trPr>
          <w:gridAfter w:val="1"/>
          <w:wAfter w:w="220" w:type="dxa"/>
          <w:trHeight w:val="555" w:hRule="atLeast"/>
        </w:trPr>
        <w:tc>
          <w:tcPr>
            <w:tcW w:w="3542" w:type="dxa"/>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项目</w:t>
            </w:r>
          </w:p>
        </w:tc>
        <w:tc>
          <w:tcPr>
            <w:tcW w:w="1221" w:type="dxa"/>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行次</w:t>
            </w:r>
          </w:p>
        </w:tc>
        <w:tc>
          <w:tcPr>
            <w:tcW w:w="1205" w:type="dxa"/>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金额</w:t>
            </w:r>
          </w:p>
        </w:tc>
        <w:tc>
          <w:tcPr>
            <w:tcW w:w="4352" w:type="dxa"/>
            <w:gridSpan w:val="5"/>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项目</w:t>
            </w:r>
          </w:p>
        </w:tc>
        <w:tc>
          <w:tcPr>
            <w:tcW w:w="0" w:type="auto"/>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行次</w:t>
            </w:r>
          </w:p>
        </w:tc>
        <w:tc>
          <w:tcPr>
            <w:tcW w:w="0" w:type="auto"/>
            <w:gridSpan w:val="2"/>
            <w:vMerge w:val="restart"/>
            <w:tcBorders>
              <w:top w:val="nil"/>
              <w:left w:val="single" w:color="000000" w:sz="4" w:space="0"/>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合计</w:t>
            </w:r>
          </w:p>
        </w:tc>
        <w:tc>
          <w:tcPr>
            <w:tcW w:w="0" w:type="auto"/>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一般公共预算</w:t>
            </w:r>
            <w:r>
              <w:rPr>
                <w:rFonts w:hint="eastAsia"/>
                <w:color w:val="000000"/>
                <w:sz w:val="22"/>
                <w:szCs w:val="22"/>
              </w:rPr>
              <w:br w:type="textWrapping"/>
            </w:r>
            <w:r>
              <w:rPr>
                <w:rFonts w:hint="eastAsia"/>
                <w:color w:val="000000"/>
                <w:sz w:val="22"/>
                <w:szCs w:val="22"/>
              </w:rPr>
              <w:t>财政拨款</w:t>
            </w:r>
          </w:p>
        </w:tc>
        <w:tc>
          <w:tcPr>
            <w:tcW w:w="0" w:type="auto"/>
            <w:gridSpan w:val="2"/>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政府性基金预</w:t>
            </w:r>
            <w:r>
              <w:rPr>
                <w:rFonts w:hint="eastAsia"/>
                <w:color w:val="000000"/>
                <w:sz w:val="22"/>
                <w:szCs w:val="22"/>
              </w:rPr>
              <w:br w:type="textWrapping"/>
            </w:r>
            <w:r>
              <w:rPr>
                <w:rFonts w:hint="eastAsia"/>
                <w:color w:val="000000"/>
                <w:sz w:val="22"/>
                <w:szCs w:val="22"/>
              </w:rPr>
              <w:t>算财政拨款</w:t>
            </w:r>
          </w:p>
        </w:tc>
        <w:tc>
          <w:tcPr>
            <w:tcW w:w="0" w:type="auto"/>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国有资本经营</w:t>
            </w:r>
            <w:r>
              <w:rPr>
                <w:rFonts w:hint="eastAsia"/>
                <w:color w:val="000000"/>
                <w:sz w:val="22"/>
                <w:szCs w:val="22"/>
              </w:rPr>
              <w:br w:type="textWrapping"/>
            </w:r>
            <w:r>
              <w:rPr>
                <w:rFonts w:hint="eastAsia"/>
                <w:color w:val="000000"/>
                <w:sz w:val="22"/>
                <w:szCs w:val="22"/>
              </w:rPr>
              <w:t>预算财政拨款</w:t>
            </w:r>
          </w:p>
        </w:tc>
      </w:tr>
      <w:tr>
        <w:tblPrEx>
          <w:tblCellMar>
            <w:top w:w="0" w:type="dxa"/>
            <w:left w:w="108" w:type="dxa"/>
            <w:bottom w:w="0" w:type="dxa"/>
            <w:right w:w="108" w:type="dxa"/>
          </w:tblCellMar>
        </w:tblPrEx>
        <w:trPr>
          <w:trHeight w:val="555" w:hRule="atLeast"/>
        </w:trPr>
        <w:tc>
          <w:tcPr>
            <w:tcW w:w="3542" w:type="dxa"/>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1221" w:type="dxa"/>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1205" w:type="dxa"/>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4352" w:type="dxa"/>
            <w:gridSpan w:val="5"/>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color w:val="000000"/>
                <w:sz w:val="22"/>
                <w:szCs w:val="22"/>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center"/>
              <w:rPr>
                <w:rFonts w:hint="eastAsia" w:ascii="宋体" w:hAnsi="宋体" w:eastAsia="宋体" w:cs="宋体"/>
                <w:color w:val="000000"/>
                <w:sz w:val="22"/>
                <w:szCs w:val="22"/>
              </w:rPr>
            </w:pPr>
            <w:r>
              <w:rPr>
                <w:rFonts w:hint="eastAsia"/>
                <w:color w:val="000000"/>
                <w:sz w:val="22"/>
                <w:szCs w:val="22"/>
              </w:rPr>
              <w:t>栏次</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　</w:t>
            </w:r>
          </w:p>
        </w:tc>
        <w:tc>
          <w:tcPr>
            <w:tcW w:w="1205"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栏次</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w:t>
            </w:r>
          </w:p>
        </w:tc>
        <w:tc>
          <w:tcPr>
            <w:tcW w:w="0" w:type="auto"/>
            <w:gridSpan w:val="2"/>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一、一般公共预算财政拨款</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342.09</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一、一般公共服务支出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33</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二、政府性基金预算财政拨款</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二、外交支出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34</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三、国有资本经营预算财政拨款</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三、国防支出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35</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四、公共安全支出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36</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五、教育支出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37</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289.21</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289.21</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6</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六、科学技术支出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38</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7</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七、文化旅游体育与传媒支出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39</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8</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八、社会保障和就业支出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40</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9</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九、卫生健康支出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41</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10</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十、节能环保支出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42</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11</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十一、城乡社区支出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43</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12</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十二、农林水支出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44</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13</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十三、交通运输支出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45</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14</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十四、资源勘探工业信息等支出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46</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15</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十五、商业服务业等支出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47</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16</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十六、金融支出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48</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17</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十七、援助其他地区支出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49</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18</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十八、自然资源海洋气象等支出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50</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19</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十九、住房保障支出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51</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20</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二十、粮油物资储备支出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52</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21</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二十一、国有资本经营预算支出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53</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22</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二十二、灾害防治及应急管理支出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54</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23</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二十三、其他支出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55</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18.62</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18.62</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center"/>
              <w:rPr>
                <w:b/>
                <w:bCs/>
                <w:color w:val="000000"/>
                <w:sz w:val="20"/>
                <w:szCs w:val="20"/>
              </w:rPr>
            </w:pPr>
            <w:r>
              <w:rPr>
                <w:rFonts w:hint="eastAsia"/>
                <w:b/>
                <w:bCs/>
                <w:color w:val="000000"/>
                <w:sz w:val="20"/>
                <w:szCs w:val="20"/>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24</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二十四、债务还本支出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56</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0"/>
                <w:szCs w:val="20"/>
              </w:rPr>
            </w:pPr>
            <w:r>
              <w:rPr>
                <w:rFonts w:hint="eastAsia"/>
                <w:color w:val="000000"/>
                <w:sz w:val="20"/>
                <w:szCs w:val="20"/>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25</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二十五、债务付息支出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57</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0"/>
                <w:szCs w:val="20"/>
              </w:rPr>
            </w:pPr>
            <w:r>
              <w:rPr>
                <w:rFonts w:hint="eastAsia"/>
                <w:color w:val="000000"/>
                <w:sz w:val="20"/>
                <w:szCs w:val="20"/>
              </w:rPr>
              <w:t>　</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26</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二十六、抗疫特别国债安排的支出</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58</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center"/>
              <w:rPr>
                <w:b/>
                <w:bCs/>
                <w:color w:val="000000"/>
                <w:sz w:val="22"/>
                <w:szCs w:val="22"/>
              </w:rPr>
            </w:pPr>
            <w:r>
              <w:rPr>
                <w:rFonts w:hint="eastAsia"/>
                <w:b/>
                <w:bCs/>
                <w:color w:val="000000"/>
                <w:sz w:val="22"/>
                <w:szCs w:val="22"/>
              </w:rPr>
              <w:t>本年收入合计</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27</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342.09</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center"/>
              <w:rPr>
                <w:b/>
                <w:bCs/>
                <w:color w:val="000000"/>
                <w:sz w:val="22"/>
                <w:szCs w:val="22"/>
              </w:rPr>
            </w:pPr>
            <w:r>
              <w:rPr>
                <w:rFonts w:hint="eastAsia"/>
                <w:b/>
                <w:bCs/>
                <w:color w:val="000000"/>
                <w:sz w:val="22"/>
                <w:szCs w:val="22"/>
              </w:rPr>
              <w:t>本年支出合计</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59</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342.09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342.09</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年初财政拨款结转和结余</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28</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年末财政拨款结转和结余</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60</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xml:space="preserve">  一般公共预算财政拨款</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29</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61</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xml:space="preserve">  政府性基金预算财政拨款</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30</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62</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xml:space="preserve">  国有资本经营预算财政拨款</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31</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63</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3542" w:type="dxa"/>
            <w:tcBorders>
              <w:top w:val="nil"/>
              <w:left w:val="single" w:color="000000" w:sz="4" w:space="0"/>
              <w:bottom w:val="single" w:color="000000" w:sz="4" w:space="0"/>
              <w:right w:val="single" w:color="000000" w:sz="4" w:space="0"/>
            </w:tcBorders>
            <w:shd w:val="clear" w:color="000000" w:fill="F1F1F1"/>
            <w:noWrap/>
            <w:vAlign w:val="center"/>
          </w:tcPr>
          <w:p>
            <w:pPr>
              <w:jc w:val="center"/>
              <w:rPr>
                <w:b/>
                <w:bCs/>
                <w:color w:val="000000"/>
                <w:sz w:val="22"/>
                <w:szCs w:val="22"/>
              </w:rPr>
            </w:pPr>
            <w:r>
              <w:rPr>
                <w:rFonts w:hint="eastAsia"/>
                <w:b/>
                <w:bCs/>
                <w:color w:val="000000"/>
                <w:sz w:val="22"/>
                <w:szCs w:val="22"/>
              </w:rPr>
              <w:t>总计</w:t>
            </w:r>
          </w:p>
        </w:tc>
        <w:tc>
          <w:tcPr>
            <w:tcW w:w="1221"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32</w:t>
            </w:r>
          </w:p>
        </w:tc>
        <w:tc>
          <w:tcPr>
            <w:tcW w:w="1205"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342.09</w:t>
            </w:r>
          </w:p>
        </w:tc>
        <w:tc>
          <w:tcPr>
            <w:tcW w:w="4352" w:type="dxa"/>
            <w:gridSpan w:val="5"/>
            <w:tcBorders>
              <w:top w:val="nil"/>
              <w:left w:val="nil"/>
              <w:bottom w:val="single" w:color="000000" w:sz="4" w:space="0"/>
              <w:right w:val="single" w:color="000000" w:sz="4" w:space="0"/>
            </w:tcBorders>
            <w:shd w:val="clear" w:color="000000" w:fill="F1F1F1"/>
            <w:noWrap/>
            <w:vAlign w:val="center"/>
          </w:tcPr>
          <w:p>
            <w:pPr>
              <w:jc w:val="center"/>
              <w:rPr>
                <w:b/>
                <w:bCs/>
                <w:color w:val="000000"/>
                <w:sz w:val="22"/>
                <w:szCs w:val="22"/>
              </w:rPr>
            </w:pPr>
            <w:r>
              <w:rPr>
                <w:rFonts w:hint="eastAsia"/>
                <w:b/>
                <w:bCs/>
                <w:color w:val="000000"/>
                <w:sz w:val="22"/>
                <w:szCs w:val="22"/>
              </w:rPr>
              <w:t>总计</w:t>
            </w:r>
          </w:p>
        </w:tc>
        <w:tc>
          <w:tcPr>
            <w:tcW w:w="0" w:type="auto"/>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64</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342.09</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342.09</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gridAfter w:val="3"/>
          <w:wAfter w:w="785" w:type="dxa"/>
          <w:trHeight w:val="268" w:hRule="atLeast"/>
        </w:trPr>
        <w:tc>
          <w:tcPr>
            <w:tcW w:w="0" w:type="auto"/>
            <w:gridSpan w:val="10"/>
            <w:tcBorders>
              <w:top w:val="single" w:color="auto" w:sz="4" w:space="0"/>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注：本表反映部门本年度一般公共预算财政拨款、政府性基金预算财政拨款和国有资本经营预算财政拨款的总收支和年末结转结余情况。</w:t>
            </w:r>
          </w:p>
          <w:p>
            <w:pPr>
              <w:widowControl/>
              <w:jc w:val="left"/>
              <w:textAlignment w:val="center"/>
              <w:rPr>
                <w:rFonts w:hint="eastAsia" w:ascii="宋体" w:hAnsi="宋体" w:eastAsia="宋体" w:cs="宋体"/>
                <w:color w:val="000000"/>
                <w:kern w:val="0"/>
                <w:sz w:val="22"/>
                <w:szCs w:val="22"/>
                <w:lang w:bidi="ar"/>
              </w:rPr>
            </w:pPr>
          </w:p>
          <w:p>
            <w:pPr>
              <w:widowControl/>
              <w:jc w:val="left"/>
              <w:textAlignment w:val="center"/>
              <w:rPr>
                <w:rFonts w:hint="eastAsia" w:ascii="宋体" w:hAnsi="宋体" w:eastAsia="宋体" w:cs="宋体"/>
                <w:color w:val="000000"/>
                <w:kern w:val="0"/>
                <w:sz w:val="22"/>
                <w:szCs w:val="22"/>
                <w:lang w:bidi="ar"/>
              </w:rPr>
            </w:pPr>
          </w:p>
        </w:tc>
        <w:tc>
          <w:tcPr>
            <w:tcW w:w="0" w:type="auto"/>
            <w:gridSpan w:val="3"/>
            <w:tcBorders>
              <w:top w:val="single" w:color="auto" w:sz="4" w:space="0"/>
              <w:left w:val="nil"/>
              <w:bottom w:val="nil"/>
              <w:right w:val="nil"/>
            </w:tcBorders>
            <w:shd w:val="clear" w:color="auto" w:fill="auto"/>
            <w:noWrap/>
            <w:vAlign w:val="center"/>
          </w:tcPr>
          <w:p>
            <w:pPr>
              <w:jc w:val="left"/>
              <w:rPr>
                <w:rFonts w:hint="eastAsia" w:ascii="宋体" w:hAnsi="宋体" w:eastAsia="宋体" w:cs="宋体"/>
                <w:color w:val="000000"/>
                <w:sz w:val="20"/>
                <w:szCs w:val="20"/>
              </w:rPr>
            </w:pPr>
          </w:p>
        </w:tc>
      </w:tr>
    </w:tbl>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表五：一般公共预算财政拨款支出决算表</w:t>
      </w:r>
    </w:p>
    <w:p>
      <w:pPr>
        <w:jc w:val="left"/>
        <w:rPr>
          <w:rFonts w:hint="eastAsia" w:ascii="仿宋" w:hAnsi="仿宋" w:eastAsia="仿宋" w:cs="仿宋"/>
          <w:sz w:val="24"/>
        </w:rPr>
      </w:pPr>
    </w:p>
    <w:tbl>
      <w:tblPr>
        <w:tblStyle w:val="6"/>
        <w:tblW w:w="14800" w:type="dxa"/>
        <w:tblInd w:w="5" w:type="dxa"/>
        <w:tblLayout w:type="fixed"/>
        <w:tblCellMar>
          <w:top w:w="0" w:type="dxa"/>
          <w:left w:w="108" w:type="dxa"/>
          <w:bottom w:w="0" w:type="dxa"/>
          <w:right w:w="108" w:type="dxa"/>
        </w:tblCellMar>
      </w:tblPr>
      <w:tblGrid>
        <w:gridCol w:w="90"/>
        <w:gridCol w:w="918"/>
        <w:gridCol w:w="1335"/>
        <w:gridCol w:w="238"/>
        <w:gridCol w:w="238"/>
        <w:gridCol w:w="2024"/>
        <w:gridCol w:w="57"/>
        <w:gridCol w:w="2947"/>
        <w:gridCol w:w="124"/>
        <w:gridCol w:w="2705"/>
        <w:gridCol w:w="358"/>
        <w:gridCol w:w="2848"/>
        <w:gridCol w:w="682"/>
        <w:gridCol w:w="236"/>
      </w:tblGrid>
      <w:tr>
        <w:tblPrEx>
          <w:tblCellMar>
            <w:top w:w="0" w:type="dxa"/>
            <w:left w:w="108" w:type="dxa"/>
            <w:bottom w:w="0" w:type="dxa"/>
            <w:right w:w="108" w:type="dxa"/>
          </w:tblCellMar>
        </w:tblPrEx>
        <w:trPr>
          <w:gridBefore w:val="1"/>
          <w:gridAfter w:val="2"/>
          <w:wBefore w:w="90" w:type="dxa"/>
          <w:wAfter w:w="918" w:type="dxa"/>
          <w:trHeight w:val="693" w:hRule="atLeast"/>
        </w:trPr>
        <w:tc>
          <w:tcPr>
            <w:tcW w:w="13792" w:type="dxa"/>
            <w:gridSpan w:val="11"/>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一般公共预算财政拨款支出决算表</w:t>
            </w:r>
          </w:p>
        </w:tc>
      </w:tr>
      <w:tr>
        <w:tblPrEx>
          <w:tblCellMar>
            <w:top w:w="0" w:type="dxa"/>
            <w:left w:w="108" w:type="dxa"/>
            <w:bottom w:w="0" w:type="dxa"/>
            <w:right w:w="108" w:type="dxa"/>
          </w:tblCellMar>
        </w:tblPrEx>
        <w:trPr>
          <w:gridBefore w:val="1"/>
          <w:gridAfter w:val="2"/>
          <w:wBefore w:w="90" w:type="dxa"/>
          <w:wAfter w:w="918" w:type="dxa"/>
          <w:trHeight w:val="346" w:hRule="atLeast"/>
        </w:trPr>
        <w:tc>
          <w:tcPr>
            <w:tcW w:w="225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02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28" w:type="dxa"/>
            <w:gridSpan w:val="3"/>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3"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48" w:type="dxa"/>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108" w:type="dxa"/>
            <w:bottom w:w="0" w:type="dxa"/>
            <w:right w:w="108" w:type="dxa"/>
          </w:tblCellMar>
        </w:tblPrEx>
        <w:trPr>
          <w:gridBefore w:val="1"/>
          <w:gridAfter w:val="2"/>
          <w:wBefore w:w="90" w:type="dxa"/>
          <w:wAfter w:w="918" w:type="dxa"/>
          <w:trHeight w:val="346" w:hRule="atLeast"/>
        </w:trPr>
        <w:tc>
          <w:tcPr>
            <w:tcW w:w="7881" w:type="dxa"/>
            <w:gridSpan w:val="8"/>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3063" w:type="dxa"/>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2848" w:type="dxa"/>
            <w:tcBorders>
              <w:top w:val="nil"/>
              <w:left w:val="nil"/>
              <w:bottom w:val="single" w:color="auto" w:sz="4" w:space="0"/>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236" w:type="dxa"/>
          <w:trHeight w:val="300" w:hRule="atLeast"/>
        </w:trPr>
        <w:tc>
          <w:tcPr>
            <w:tcW w:w="4900" w:type="dxa"/>
            <w:gridSpan w:val="7"/>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color w:val="000000"/>
                <w:sz w:val="22"/>
                <w:szCs w:val="22"/>
              </w:rPr>
              <w:t>项目</w:t>
            </w:r>
          </w:p>
        </w:tc>
        <w:tc>
          <w:tcPr>
            <w:tcW w:w="9664" w:type="dxa"/>
            <w:gridSpan w:val="6"/>
            <w:tcBorders>
              <w:top w:val="single" w:color="000000" w:sz="4" w:space="0"/>
              <w:left w:val="nil"/>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本年支出</w:t>
            </w:r>
          </w:p>
        </w:tc>
      </w:tr>
      <w:tr>
        <w:tblPrEx>
          <w:tblCellMar>
            <w:top w:w="0" w:type="dxa"/>
            <w:left w:w="108" w:type="dxa"/>
            <w:bottom w:w="0" w:type="dxa"/>
            <w:right w:w="108" w:type="dxa"/>
          </w:tblCellMar>
        </w:tblPrEx>
        <w:trPr>
          <w:gridAfter w:val="1"/>
          <w:wAfter w:w="236" w:type="dxa"/>
          <w:trHeight w:val="312" w:hRule="atLeast"/>
        </w:trPr>
        <w:tc>
          <w:tcPr>
            <w:tcW w:w="1008" w:type="dxa"/>
            <w:gridSpan w:val="2"/>
            <w:vMerge w:val="restart"/>
            <w:tcBorders>
              <w:top w:val="single" w:color="000000" w:sz="4" w:space="0"/>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科目代码</w:t>
            </w:r>
          </w:p>
        </w:tc>
        <w:tc>
          <w:tcPr>
            <w:tcW w:w="3892" w:type="dxa"/>
            <w:gridSpan w:val="5"/>
            <w:vMerge w:val="restart"/>
            <w:tcBorders>
              <w:top w:val="nil"/>
              <w:left w:val="single" w:color="000000" w:sz="4" w:space="0"/>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科目名称</w:t>
            </w:r>
          </w:p>
        </w:tc>
        <w:tc>
          <w:tcPr>
            <w:tcW w:w="2947" w:type="dxa"/>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小计</w:t>
            </w:r>
          </w:p>
        </w:tc>
        <w:tc>
          <w:tcPr>
            <w:tcW w:w="2829" w:type="dxa"/>
            <w:gridSpan w:val="2"/>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基本支出</w:t>
            </w:r>
          </w:p>
        </w:tc>
        <w:tc>
          <w:tcPr>
            <w:tcW w:w="3888" w:type="dxa"/>
            <w:gridSpan w:val="3"/>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项目支出</w:t>
            </w:r>
          </w:p>
        </w:tc>
      </w:tr>
      <w:tr>
        <w:tblPrEx>
          <w:tblCellMar>
            <w:top w:w="0" w:type="dxa"/>
            <w:left w:w="108" w:type="dxa"/>
            <w:bottom w:w="0" w:type="dxa"/>
            <w:right w:w="108" w:type="dxa"/>
          </w:tblCellMar>
        </w:tblPrEx>
        <w:trPr>
          <w:trHeight w:val="270"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3892" w:type="dxa"/>
            <w:gridSpan w:val="5"/>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947" w:type="dxa"/>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829" w:type="dxa"/>
            <w:gridSpan w:val="2"/>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3888" w:type="dxa"/>
            <w:gridSpan w:val="3"/>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36" w:type="dxa"/>
            <w:tcBorders>
              <w:top w:val="nil"/>
              <w:left w:val="nil"/>
              <w:bottom w:val="nil"/>
              <w:right w:val="nil"/>
            </w:tcBorders>
            <w:shd w:val="clear" w:color="auto" w:fill="auto"/>
            <w:noWrap/>
            <w:vAlign w:val="center"/>
          </w:tcPr>
          <w:p>
            <w:pPr>
              <w:jc w:val="center"/>
              <w:rPr>
                <w:color w:val="000000"/>
                <w:sz w:val="22"/>
                <w:szCs w:val="22"/>
              </w:rPr>
            </w:pPr>
          </w:p>
        </w:tc>
      </w:tr>
      <w:tr>
        <w:tblPrEx>
          <w:tblCellMar>
            <w:top w:w="0" w:type="dxa"/>
            <w:left w:w="108" w:type="dxa"/>
            <w:bottom w:w="0" w:type="dxa"/>
            <w:right w:w="108" w:type="dxa"/>
          </w:tblCellMar>
        </w:tblPrEx>
        <w:trPr>
          <w:trHeight w:val="300" w:hRule="atLeast"/>
        </w:trPr>
        <w:tc>
          <w:tcPr>
            <w:tcW w:w="1008"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3892" w:type="dxa"/>
            <w:gridSpan w:val="5"/>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947" w:type="dxa"/>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829" w:type="dxa"/>
            <w:gridSpan w:val="2"/>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3888" w:type="dxa"/>
            <w:gridSpan w:val="3"/>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36" w:type="dxa"/>
            <w:tcBorders>
              <w:top w:val="nil"/>
              <w:left w:val="nil"/>
              <w:bottom w:val="nil"/>
              <w:right w:val="nil"/>
            </w:tcBorders>
            <w:shd w:val="clear" w:color="auto" w:fill="auto"/>
            <w:noWrap/>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420" w:hRule="atLeast"/>
        </w:trPr>
        <w:tc>
          <w:tcPr>
            <w:tcW w:w="4900" w:type="dxa"/>
            <w:gridSpan w:val="7"/>
            <w:tcBorders>
              <w:top w:val="single" w:color="000000" w:sz="4" w:space="0"/>
              <w:left w:val="single" w:color="000000" w:sz="4" w:space="0"/>
              <w:bottom w:val="single" w:color="000000" w:sz="4" w:space="0"/>
              <w:right w:val="single" w:color="000000" w:sz="4" w:space="0"/>
            </w:tcBorders>
            <w:shd w:val="clear" w:color="000000" w:fill="F1F1F1"/>
            <w:noWrap/>
            <w:vAlign w:val="center"/>
          </w:tcPr>
          <w:p>
            <w:pPr>
              <w:jc w:val="center"/>
              <w:rPr>
                <w:rFonts w:hint="eastAsia" w:ascii="宋体" w:hAnsi="宋体" w:eastAsia="宋体" w:cs="宋体"/>
                <w:color w:val="000000"/>
                <w:sz w:val="22"/>
                <w:szCs w:val="22"/>
              </w:rPr>
            </w:pPr>
            <w:r>
              <w:rPr>
                <w:rFonts w:hint="eastAsia"/>
                <w:color w:val="000000"/>
                <w:sz w:val="22"/>
                <w:szCs w:val="22"/>
              </w:rPr>
              <w:t>栏次</w:t>
            </w:r>
          </w:p>
        </w:tc>
        <w:tc>
          <w:tcPr>
            <w:tcW w:w="2947" w:type="dxa"/>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1</w:t>
            </w:r>
          </w:p>
        </w:tc>
        <w:tc>
          <w:tcPr>
            <w:tcW w:w="2829" w:type="dxa"/>
            <w:gridSpan w:val="2"/>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2</w:t>
            </w:r>
          </w:p>
        </w:tc>
        <w:tc>
          <w:tcPr>
            <w:tcW w:w="3888" w:type="dxa"/>
            <w:gridSpan w:val="3"/>
            <w:tcBorders>
              <w:top w:val="nil"/>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3</w:t>
            </w:r>
          </w:p>
        </w:tc>
        <w:tc>
          <w:tcPr>
            <w:tcW w:w="236" w:type="dxa"/>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405" w:hRule="atLeast"/>
        </w:trPr>
        <w:tc>
          <w:tcPr>
            <w:tcW w:w="4900" w:type="dxa"/>
            <w:gridSpan w:val="7"/>
            <w:tcBorders>
              <w:top w:val="single" w:color="000000" w:sz="4" w:space="0"/>
              <w:left w:val="single" w:color="000000" w:sz="4" w:space="0"/>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合计</w:t>
            </w:r>
          </w:p>
        </w:tc>
        <w:tc>
          <w:tcPr>
            <w:tcW w:w="2947" w:type="dxa"/>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342.09</w:t>
            </w:r>
          </w:p>
        </w:tc>
        <w:tc>
          <w:tcPr>
            <w:tcW w:w="2829" w:type="dxa"/>
            <w:gridSpan w:val="2"/>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185.20</w:t>
            </w:r>
          </w:p>
        </w:tc>
        <w:tc>
          <w:tcPr>
            <w:tcW w:w="3888" w:type="dxa"/>
            <w:gridSpan w:val="3"/>
            <w:tcBorders>
              <w:top w:val="nil"/>
              <w:left w:val="nil"/>
              <w:bottom w:val="single" w:color="000000" w:sz="4" w:space="0"/>
              <w:right w:val="single" w:color="000000" w:sz="4" w:space="0"/>
            </w:tcBorders>
            <w:shd w:val="clear" w:color="000000" w:fill="FFFFFF"/>
            <w:noWrap/>
            <w:vAlign w:val="center"/>
          </w:tcPr>
          <w:p>
            <w:pPr>
              <w:jc w:val="right"/>
              <w:rPr>
                <w:b/>
                <w:bCs/>
                <w:color w:val="000000"/>
                <w:sz w:val="22"/>
                <w:szCs w:val="22"/>
              </w:rPr>
            </w:pPr>
            <w:r>
              <w:rPr>
                <w:rFonts w:hint="eastAsia"/>
                <w:b/>
                <w:bCs/>
                <w:color w:val="000000"/>
                <w:sz w:val="22"/>
                <w:szCs w:val="22"/>
              </w:rPr>
              <w:t>156.89</w:t>
            </w:r>
          </w:p>
        </w:tc>
        <w:tc>
          <w:tcPr>
            <w:tcW w:w="236" w:type="dxa"/>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1008"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2012999</w:t>
            </w:r>
          </w:p>
        </w:tc>
        <w:tc>
          <w:tcPr>
            <w:tcW w:w="3892" w:type="dxa"/>
            <w:gridSpan w:val="5"/>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其他群众团体事务支出</w:t>
            </w:r>
          </w:p>
        </w:tc>
        <w:tc>
          <w:tcPr>
            <w:tcW w:w="2947"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2829" w:type="dxa"/>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3888" w:type="dxa"/>
            <w:gridSpan w:val="3"/>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236" w:type="dxa"/>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1008"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2050201</w:t>
            </w:r>
          </w:p>
        </w:tc>
        <w:tc>
          <w:tcPr>
            <w:tcW w:w="3892" w:type="dxa"/>
            <w:gridSpan w:val="5"/>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学前教育</w:t>
            </w:r>
          </w:p>
        </w:tc>
        <w:tc>
          <w:tcPr>
            <w:tcW w:w="2947"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288.94</w:t>
            </w:r>
          </w:p>
        </w:tc>
        <w:tc>
          <w:tcPr>
            <w:tcW w:w="2829" w:type="dxa"/>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132.05</w:t>
            </w:r>
          </w:p>
        </w:tc>
        <w:tc>
          <w:tcPr>
            <w:tcW w:w="3888" w:type="dxa"/>
            <w:gridSpan w:val="3"/>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156.89</w:t>
            </w:r>
          </w:p>
        </w:tc>
        <w:tc>
          <w:tcPr>
            <w:tcW w:w="236" w:type="dxa"/>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1008"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2050299</w:t>
            </w:r>
          </w:p>
        </w:tc>
        <w:tc>
          <w:tcPr>
            <w:tcW w:w="3892" w:type="dxa"/>
            <w:gridSpan w:val="5"/>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其他普通教育支出</w:t>
            </w:r>
          </w:p>
        </w:tc>
        <w:tc>
          <w:tcPr>
            <w:tcW w:w="2947"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0.27</w:t>
            </w:r>
          </w:p>
        </w:tc>
        <w:tc>
          <w:tcPr>
            <w:tcW w:w="2829" w:type="dxa"/>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0.27</w:t>
            </w:r>
          </w:p>
        </w:tc>
        <w:tc>
          <w:tcPr>
            <w:tcW w:w="3888" w:type="dxa"/>
            <w:gridSpan w:val="3"/>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236" w:type="dxa"/>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1008"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2080505</w:t>
            </w:r>
          </w:p>
        </w:tc>
        <w:tc>
          <w:tcPr>
            <w:tcW w:w="3892" w:type="dxa"/>
            <w:gridSpan w:val="5"/>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机关事业单位基本养老保险缴费支出</w:t>
            </w:r>
          </w:p>
        </w:tc>
        <w:tc>
          <w:tcPr>
            <w:tcW w:w="2947"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2829" w:type="dxa"/>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3888" w:type="dxa"/>
            <w:gridSpan w:val="3"/>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236" w:type="dxa"/>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1008"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2210201</w:t>
            </w:r>
          </w:p>
        </w:tc>
        <w:tc>
          <w:tcPr>
            <w:tcW w:w="3892" w:type="dxa"/>
            <w:gridSpan w:val="5"/>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住房公积金</w:t>
            </w:r>
          </w:p>
        </w:tc>
        <w:tc>
          <w:tcPr>
            <w:tcW w:w="2947"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2829" w:type="dxa"/>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3888" w:type="dxa"/>
            <w:gridSpan w:val="3"/>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236" w:type="dxa"/>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1008" w:type="dxa"/>
            <w:gridSpan w:val="2"/>
            <w:tcBorders>
              <w:top w:val="single" w:color="000000" w:sz="4" w:space="0"/>
              <w:left w:val="single" w:color="000000" w:sz="4" w:space="0"/>
              <w:bottom w:val="single" w:color="000000" w:sz="4" w:space="0"/>
              <w:right w:val="single" w:color="000000" w:sz="4" w:space="0"/>
            </w:tcBorders>
            <w:shd w:val="clear" w:color="000000" w:fill="FFFFFF"/>
            <w:noWrap/>
            <w:vAlign w:val="center"/>
          </w:tcPr>
          <w:p>
            <w:pPr>
              <w:jc w:val="left"/>
              <w:rPr>
                <w:color w:val="000000"/>
                <w:sz w:val="22"/>
                <w:szCs w:val="22"/>
              </w:rPr>
            </w:pPr>
            <w:r>
              <w:rPr>
                <w:rFonts w:hint="eastAsia"/>
                <w:color w:val="000000"/>
                <w:sz w:val="22"/>
                <w:szCs w:val="22"/>
              </w:rPr>
              <w:t>2299999</w:t>
            </w:r>
          </w:p>
        </w:tc>
        <w:tc>
          <w:tcPr>
            <w:tcW w:w="3892" w:type="dxa"/>
            <w:gridSpan w:val="5"/>
            <w:tcBorders>
              <w:top w:val="nil"/>
              <w:left w:val="nil"/>
              <w:bottom w:val="single" w:color="000000" w:sz="4" w:space="0"/>
              <w:right w:val="single" w:color="000000" w:sz="4" w:space="0"/>
            </w:tcBorders>
            <w:shd w:val="clear" w:color="000000" w:fill="FFFFFF"/>
            <w:noWrap/>
            <w:vAlign w:val="center"/>
          </w:tcPr>
          <w:p>
            <w:pPr>
              <w:rPr>
                <w:color w:val="000000"/>
                <w:sz w:val="22"/>
                <w:szCs w:val="22"/>
              </w:rPr>
            </w:pPr>
            <w:r>
              <w:rPr>
                <w:rFonts w:hint="eastAsia"/>
                <w:color w:val="000000"/>
                <w:sz w:val="22"/>
                <w:szCs w:val="22"/>
              </w:rPr>
              <w:t>其他支出</w:t>
            </w:r>
          </w:p>
        </w:tc>
        <w:tc>
          <w:tcPr>
            <w:tcW w:w="2947"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18.62</w:t>
            </w:r>
          </w:p>
        </w:tc>
        <w:tc>
          <w:tcPr>
            <w:tcW w:w="2829" w:type="dxa"/>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18.62</w:t>
            </w:r>
          </w:p>
        </w:tc>
        <w:tc>
          <w:tcPr>
            <w:tcW w:w="3888" w:type="dxa"/>
            <w:gridSpan w:val="3"/>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236" w:type="dxa"/>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gridBefore w:val="1"/>
          <w:gridAfter w:val="2"/>
          <w:wBefore w:w="90" w:type="dxa"/>
          <w:wAfter w:w="918" w:type="dxa"/>
          <w:trHeight w:val="358" w:hRule="atLeast"/>
        </w:trPr>
        <w:tc>
          <w:tcPr>
            <w:tcW w:w="13792" w:type="dxa"/>
            <w:gridSpan w:val="11"/>
            <w:tcBorders>
              <w:top w:val="single" w:color="auto" w:sz="4" w:space="0"/>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注：本表反映部门本年度一般公共预算财政拨款支出情况。</w:t>
            </w:r>
          </w:p>
        </w:tc>
      </w:tr>
    </w:tbl>
    <w:p>
      <w:pPr>
        <w:rPr>
          <w:rFonts w:hint="eastAsia" w:ascii="仿宋" w:hAnsi="仿宋" w:eastAsia="仿宋" w:cs="仿宋"/>
          <w:sz w:val="24"/>
        </w:rPr>
      </w:pPr>
      <w:r>
        <w:rPr>
          <w:rFonts w:ascii="仿宋" w:hAnsi="仿宋" w:eastAsia="仿宋" w:cs="仿宋"/>
          <w:sz w:val="24"/>
        </w:rPr>
        <w:br w:type="page"/>
      </w:r>
    </w:p>
    <w:p>
      <w:pPr>
        <w:jc w:val="left"/>
        <w:rPr>
          <w:rFonts w:hint="eastAsia" w:ascii="仿宋" w:hAnsi="仿宋" w:eastAsia="仿宋" w:cs="仿宋"/>
          <w:sz w:val="24"/>
        </w:rPr>
      </w:pPr>
      <w:r>
        <w:rPr>
          <w:rFonts w:hint="eastAsia" w:ascii="仿宋" w:hAnsi="仿宋" w:eastAsia="仿宋" w:cs="仿宋"/>
          <w:sz w:val="24"/>
        </w:rPr>
        <w:t>表六：一般公共预算财政拨款基本支出决算表</w:t>
      </w:r>
    </w:p>
    <w:p>
      <w:pPr>
        <w:jc w:val="left"/>
        <w:rPr>
          <w:rFonts w:hint="eastAsia" w:ascii="仿宋" w:hAnsi="仿宋" w:eastAsia="仿宋" w:cs="仿宋"/>
          <w:sz w:val="24"/>
        </w:rPr>
      </w:pPr>
    </w:p>
    <w:tbl>
      <w:tblPr>
        <w:tblStyle w:val="6"/>
        <w:tblW w:w="0" w:type="auto"/>
        <w:tblInd w:w="5" w:type="dxa"/>
        <w:tblLayout w:type="autofit"/>
        <w:tblCellMar>
          <w:top w:w="0" w:type="dxa"/>
          <w:left w:w="108" w:type="dxa"/>
          <w:bottom w:w="0" w:type="dxa"/>
          <w:right w:w="108" w:type="dxa"/>
        </w:tblCellMar>
      </w:tblPr>
      <w:tblGrid>
        <w:gridCol w:w="182"/>
        <w:gridCol w:w="399"/>
        <w:gridCol w:w="377"/>
        <w:gridCol w:w="1693"/>
        <w:gridCol w:w="379"/>
        <w:gridCol w:w="137"/>
        <w:gridCol w:w="518"/>
        <w:gridCol w:w="1535"/>
        <w:gridCol w:w="1380"/>
        <w:gridCol w:w="312"/>
        <w:gridCol w:w="472"/>
        <w:gridCol w:w="1535"/>
        <w:gridCol w:w="4221"/>
        <w:gridCol w:w="808"/>
        <w:gridCol w:w="221"/>
      </w:tblGrid>
      <w:tr>
        <w:tblPrEx>
          <w:tblCellMar>
            <w:top w:w="0" w:type="dxa"/>
            <w:left w:w="108" w:type="dxa"/>
            <w:bottom w:w="0" w:type="dxa"/>
            <w:right w:w="108" w:type="dxa"/>
          </w:tblCellMar>
        </w:tblPrEx>
        <w:trPr>
          <w:gridBefore w:val="1"/>
          <w:gridAfter w:val="2"/>
          <w:wBefore w:w="85" w:type="dxa"/>
          <w:wAfter w:w="1342" w:type="dxa"/>
          <w:trHeight w:val="614" w:hRule="atLeast"/>
        </w:trPr>
        <w:tc>
          <w:tcPr>
            <w:tcW w:w="12395" w:type="dxa"/>
            <w:gridSpan w:val="12"/>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一般公共预算财政拨款基本支出决算明细表</w:t>
            </w:r>
          </w:p>
        </w:tc>
      </w:tr>
      <w:tr>
        <w:tblPrEx>
          <w:tblCellMar>
            <w:top w:w="0" w:type="dxa"/>
            <w:left w:w="108" w:type="dxa"/>
            <w:bottom w:w="0" w:type="dxa"/>
            <w:right w:w="108" w:type="dxa"/>
          </w:tblCellMar>
        </w:tblPrEx>
        <w:trPr>
          <w:gridBefore w:val="1"/>
          <w:gridAfter w:val="2"/>
          <w:wBefore w:w="85" w:type="dxa"/>
          <w:wAfter w:w="1342" w:type="dxa"/>
          <w:trHeight w:val="307" w:hRule="atLeast"/>
        </w:trPr>
        <w:tc>
          <w:tcPr>
            <w:tcW w:w="0" w:type="auto"/>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0" w:type="auto"/>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655" w:type="dxa"/>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0" w:type="dxa"/>
            <w:left w:w="108" w:type="dxa"/>
            <w:bottom w:w="0" w:type="dxa"/>
            <w:right w:w="108" w:type="dxa"/>
          </w:tblCellMar>
        </w:tblPrEx>
        <w:trPr>
          <w:gridBefore w:val="1"/>
          <w:gridAfter w:val="2"/>
          <w:wBefore w:w="85" w:type="dxa"/>
          <w:wAfter w:w="1342" w:type="dxa"/>
          <w:trHeight w:val="569" w:hRule="atLeast"/>
        </w:trPr>
        <w:tc>
          <w:tcPr>
            <w:tcW w:w="0" w:type="auto"/>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0" w:type="auto"/>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0" w:type="auto"/>
            <w:gridSpan w:val="2"/>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4209" w:type="dxa"/>
            <w:gridSpan w:val="2"/>
            <w:tcBorders>
              <w:top w:val="nil"/>
              <w:left w:val="nil"/>
              <w:bottom w:val="single" w:color="auto" w:sz="4" w:space="0"/>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220" w:type="dxa"/>
          <w:trHeight w:val="3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000000" w:fill="F1F1F1"/>
            <w:noWrap/>
            <w:vAlign w:val="center"/>
          </w:tcPr>
          <w:p>
            <w:pPr>
              <w:widowControl/>
              <w:jc w:val="center"/>
              <w:rPr>
                <w:rFonts w:hint="eastAsia" w:ascii="宋体" w:hAnsi="宋体" w:eastAsia="宋体" w:cs="宋体"/>
                <w:color w:val="000000"/>
                <w:kern w:val="0"/>
                <w:sz w:val="22"/>
                <w:szCs w:val="22"/>
              </w:rPr>
            </w:pPr>
            <w:r>
              <w:rPr>
                <w:rFonts w:hint="eastAsia"/>
                <w:color w:val="000000"/>
                <w:sz w:val="22"/>
                <w:szCs w:val="22"/>
              </w:rPr>
              <w:t>人员经费</w:t>
            </w:r>
          </w:p>
        </w:tc>
        <w:tc>
          <w:tcPr>
            <w:tcW w:w="0" w:type="auto"/>
            <w:gridSpan w:val="7"/>
            <w:tcBorders>
              <w:top w:val="single" w:color="000000" w:sz="4" w:space="0"/>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公用经费</w:t>
            </w:r>
          </w:p>
        </w:tc>
      </w:tr>
      <w:tr>
        <w:tblPrEx>
          <w:tblCellMar>
            <w:top w:w="0" w:type="dxa"/>
            <w:left w:w="108" w:type="dxa"/>
            <w:bottom w:w="0" w:type="dxa"/>
            <w:right w:w="108" w:type="dxa"/>
          </w:tblCellMar>
        </w:tblPrEx>
        <w:trPr>
          <w:gridAfter w:val="1"/>
          <w:wAfter w:w="220" w:type="dxa"/>
          <w:trHeight w:val="312" w:hRule="atLeast"/>
        </w:trPr>
        <w:tc>
          <w:tcPr>
            <w:tcW w:w="0" w:type="auto"/>
            <w:gridSpan w:val="2"/>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科目代码</w:t>
            </w:r>
          </w:p>
        </w:tc>
        <w:tc>
          <w:tcPr>
            <w:tcW w:w="0" w:type="auto"/>
            <w:gridSpan w:val="3"/>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科目名称</w:t>
            </w:r>
          </w:p>
        </w:tc>
        <w:tc>
          <w:tcPr>
            <w:tcW w:w="0" w:type="auto"/>
            <w:gridSpan w:val="2"/>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决算数</w:t>
            </w:r>
          </w:p>
        </w:tc>
        <w:tc>
          <w:tcPr>
            <w:tcW w:w="0" w:type="auto"/>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科目代码</w:t>
            </w:r>
          </w:p>
        </w:tc>
        <w:tc>
          <w:tcPr>
            <w:tcW w:w="0" w:type="auto"/>
            <w:gridSpan w:val="2"/>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科目名称</w:t>
            </w:r>
          </w:p>
        </w:tc>
        <w:tc>
          <w:tcPr>
            <w:tcW w:w="0" w:type="auto"/>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决算数</w:t>
            </w:r>
          </w:p>
        </w:tc>
        <w:tc>
          <w:tcPr>
            <w:tcW w:w="0" w:type="auto"/>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科目代码</w:t>
            </w:r>
          </w:p>
        </w:tc>
        <w:tc>
          <w:tcPr>
            <w:tcW w:w="2871" w:type="dxa"/>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科目名称</w:t>
            </w:r>
          </w:p>
        </w:tc>
        <w:tc>
          <w:tcPr>
            <w:tcW w:w="1121" w:type="dxa"/>
            <w:vMerge w:val="restart"/>
            <w:tcBorders>
              <w:top w:val="nil"/>
              <w:left w:val="single" w:color="000000" w:sz="4" w:space="0"/>
              <w:bottom w:val="single" w:color="000000" w:sz="4" w:space="0"/>
              <w:right w:val="single" w:color="000000" w:sz="4" w:space="0"/>
            </w:tcBorders>
            <w:shd w:val="clear" w:color="000000" w:fill="F1F1F1"/>
            <w:vAlign w:val="center"/>
          </w:tcPr>
          <w:p>
            <w:pPr>
              <w:jc w:val="center"/>
              <w:rPr>
                <w:color w:val="000000"/>
                <w:sz w:val="22"/>
                <w:szCs w:val="22"/>
              </w:rPr>
            </w:pPr>
            <w:r>
              <w:rPr>
                <w:rFonts w:hint="eastAsia"/>
                <w:color w:val="000000"/>
                <w:sz w:val="22"/>
                <w:szCs w:val="22"/>
              </w:rPr>
              <w:t>决算数</w:t>
            </w:r>
          </w:p>
        </w:tc>
      </w:tr>
      <w:tr>
        <w:tblPrEx>
          <w:tblCellMar>
            <w:top w:w="0" w:type="dxa"/>
            <w:left w:w="108" w:type="dxa"/>
            <w:bottom w:w="0" w:type="dxa"/>
            <w:right w:w="108" w:type="dxa"/>
          </w:tblCellMar>
        </w:tblPrEx>
        <w:trPr>
          <w:trHeight w:val="300" w:hRule="atLeast"/>
        </w:trPr>
        <w:tc>
          <w:tcPr>
            <w:tcW w:w="0" w:type="auto"/>
            <w:gridSpan w:val="2"/>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3"/>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gridSpan w:val="2"/>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2871" w:type="dxa"/>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1121" w:type="dxa"/>
            <w:vMerge w:val="continue"/>
            <w:tcBorders>
              <w:top w:val="nil"/>
              <w:left w:val="single" w:color="000000" w:sz="4" w:space="0"/>
              <w:bottom w:val="single" w:color="000000" w:sz="4" w:space="0"/>
              <w:right w:val="single" w:color="000000" w:sz="4" w:space="0"/>
            </w:tcBorders>
            <w:vAlign w:val="center"/>
          </w:tcPr>
          <w:p>
            <w:pPr>
              <w:rPr>
                <w:rFonts w:hint="eastAsia" w:ascii="宋体" w:hAnsi="宋体" w:eastAsia="宋体" w:cs="宋体"/>
                <w:color w:val="000000"/>
                <w:sz w:val="22"/>
                <w:szCs w:val="22"/>
              </w:rPr>
            </w:pPr>
          </w:p>
        </w:tc>
        <w:tc>
          <w:tcPr>
            <w:tcW w:w="0" w:type="auto"/>
            <w:tcBorders>
              <w:top w:val="nil"/>
              <w:left w:val="nil"/>
              <w:bottom w:val="nil"/>
              <w:right w:val="nil"/>
            </w:tcBorders>
            <w:shd w:val="clear" w:color="auto" w:fill="auto"/>
            <w:noWrap/>
            <w:vAlign w:val="center"/>
          </w:tcPr>
          <w:p>
            <w:pPr>
              <w:jc w:val="center"/>
              <w:rPr>
                <w:color w:val="000000"/>
                <w:sz w:val="22"/>
                <w:szCs w:val="22"/>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rPr>
                <w:rFonts w:hint="eastAsia" w:ascii="宋体" w:hAnsi="宋体" w:eastAsia="宋体" w:cs="宋体"/>
                <w:color w:val="000000"/>
                <w:sz w:val="22"/>
                <w:szCs w:val="22"/>
              </w:rPr>
            </w:pPr>
            <w:r>
              <w:rPr>
                <w:rFonts w:hint="eastAsia"/>
                <w:color w:val="000000"/>
                <w:sz w:val="22"/>
                <w:szCs w:val="22"/>
              </w:rPr>
              <w:t>301</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工资福利支出</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182.64</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商品和服务支出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307</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债务利息及费用支出</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30101</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基本工资</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59.93</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30201</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办公费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30701</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国内债务付息</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30102</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津贴补贴</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7.26</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30202</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印刷费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30702</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国外债务付息</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30103</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奖金</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43.27</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30203</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咨询费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资本性支出</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30106</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伙食补助费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30204</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手续费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31001</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房屋建筑物购建</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30107</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绩效工资</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32.17</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30205</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水费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31002</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办公设备购置</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30108</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机关事业单位基本养老保险缴费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18.27</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30206</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电费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31003</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专用设备购置</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30109</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职业年金缴费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30207</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邮电费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31005</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基础设施建设</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30110</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职工基本医疗保险缴费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7.38</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30208</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取暖费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31006</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大型修缮</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30111</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公务员医疗补助缴费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30209</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物业管理费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31007</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信息网络及软件购置更新</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30112</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其他社会保障缴费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0.91</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30211</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差旅费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31008</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物资储备</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30113</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住房公积金</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13.45</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30212</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因公出国（境）费用</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31009</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土地补偿</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30114</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医疗费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30213</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维修（护）费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31010</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安置补助</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30199</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其他工资福利支出</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30214</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租赁费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31011</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地上附着物和青苗补偿</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对个人和家庭的补助</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0.01</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30215</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会议费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31012</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拆迁补偿</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30301</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离休费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30216</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培训费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31013</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公务用车购置</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30302</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退休费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30217</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公务接待费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31019</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其他交通工具购置</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30303</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退职（役）费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30218</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专用材料费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31021</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文物和陈列品购置</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30304</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抚恤金</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30224</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被装购置费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31022</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无形资产购置</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30305</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生活补助</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30225</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专用燃料费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31099</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其他资本性支出</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30306</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救济费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30226</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劳务费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399</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其他支出</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30307</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医疗费补助</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30227</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委托业务费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39907</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国家赔偿费用支出</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30308</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助学金</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30228</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工会经费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39908</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对民间非营利组织和群众性自治组织补贴</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30309</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奖励金</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0.01</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30229</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福利费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39909</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经常性赠与</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30310</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个人农业生产补贴</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30231</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公务用车运行维护费</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39910</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资本性赠与</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30311</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代缴社会保险费</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30239</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其他交通费用</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39999</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其他支出</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30399</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其他对个人和家庭的补助</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30240</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税金及附加费用</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0" w:type="auto"/>
            <w:gridSpan w:val="3"/>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30299</w:t>
            </w:r>
          </w:p>
        </w:tc>
        <w:tc>
          <w:tcPr>
            <w:tcW w:w="0" w:type="auto"/>
            <w:gridSpan w:val="2"/>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xml:space="preserve">  其他商品和服务支出</w:t>
            </w:r>
          </w:p>
        </w:tc>
        <w:tc>
          <w:tcPr>
            <w:tcW w:w="0" w:type="auto"/>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tcBorders>
              <w:top w:val="nil"/>
              <w:left w:val="nil"/>
              <w:bottom w:val="single" w:color="000000" w:sz="4" w:space="0"/>
              <w:right w:val="single" w:color="000000" w:sz="4" w:space="0"/>
            </w:tcBorders>
            <w:shd w:val="clear" w:color="000000" w:fill="F1F1F1"/>
            <w:noWrap/>
            <w:vAlign w:val="center"/>
          </w:tcPr>
          <w:p>
            <w:pPr>
              <w:jc w:val="left"/>
              <w:rPr>
                <w:color w:val="000000"/>
                <w:sz w:val="22"/>
                <w:szCs w:val="22"/>
              </w:rPr>
            </w:pPr>
            <w:r>
              <w:rPr>
                <w:rFonts w:hint="eastAsia"/>
                <w:color w:val="000000"/>
                <w:sz w:val="22"/>
                <w:szCs w:val="22"/>
              </w:rPr>
              <w:t>　</w:t>
            </w:r>
          </w:p>
        </w:tc>
        <w:tc>
          <w:tcPr>
            <w:tcW w:w="2871" w:type="dxa"/>
            <w:tcBorders>
              <w:top w:val="nil"/>
              <w:left w:val="nil"/>
              <w:bottom w:val="single" w:color="000000" w:sz="4" w:space="0"/>
              <w:right w:val="single" w:color="000000" w:sz="4" w:space="0"/>
            </w:tcBorders>
            <w:shd w:val="clear" w:color="000000" w:fill="F1F1F1"/>
            <w:noWrap/>
            <w:vAlign w:val="center"/>
          </w:tcPr>
          <w:p>
            <w:pPr>
              <w:rPr>
                <w:color w:val="000000"/>
                <w:sz w:val="22"/>
                <w:szCs w:val="22"/>
              </w:rPr>
            </w:pPr>
            <w:r>
              <w:rPr>
                <w:rFonts w:hint="eastAsia"/>
                <w:color w:val="000000"/>
                <w:sz w:val="22"/>
                <w:szCs w:val="22"/>
              </w:rPr>
              <w:t>　</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　</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trHeight w:val="3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人员经费合计</w:t>
            </w:r>
          </w:p>
        </w:tc>
        <w:tc>
          <w:tcPr>
            <w:tcW w:w="0" w:type="auto"/>
            <w:gridSpan w:val="2"/>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182.65</w:t>
            </w:r>
          </w:p>
        </w:tc>
        <w:tc>
          <w:tcPr>
            <w:tcW w:w="8112" w:type="dxa"/>
            <w:gridSpan w:val="6"/>
            <w:tcBorders>
              <w:top w:val="single" w:color="000000" w:sz="4" w:space="0"/>
              <w:left w:val="nil"/>
              <w:bottom w:val="single" w:color="000000" w:sz="4" w:space="0"/>
              <w:right w:val="single" w:color="000000" w:sz="4" w:space="0"/>
            </w:tcBorders>
            <w:shd w:val="clear" w:color="000000" w:fill="F1F1F1"/>
            <w:noWrap/>
            <w:vAlign w:val="center"/>
          </w:tcPr>
          <w:p>
            <w:pPr>
              <w:jc w:val="center"/>
              <w:rPr>
                <w:color w:val="000000"/>
                <w:sz w:val="22"/>
                <w:szCs w:val="22"/>
              </w:rPr>
            </w:pPr>
            <w:r>
              <w:rPr>
                <w:rFonts w:hint="eastAsia"/>
                <w:color w:val="000000"/>
                <w:sz w:val="22"/>
                <w:szCs w:val="22"/>
              </w:rPr>
              <w:t>公用经费合计</w:t>
            </w:r>
          </w:p>
        </w:tc>
        <w:tc>
          <w:tcPr>
            <w:tcW w:w="1121" w:type="dxa"/>
            <w:tcBorders>
              <w:top w:val="nil"/>
              <w:left w:val="nil"/>
              <w:bottom w:val="single" w:color="000000" w:sz="4" w:space="0"/>
              <w:right w:val="single" w:color="000000" w:sz="4" w:space="0"/>
            </w:tcBorders>
            <w:shd w:val="clear" w:color="000000" w:fill="FFFFFF"/>
            <w:noWrap/>
            <w:vAlign w:val="center"/>
          </w:tcPr>
          <w:p>
            <w:pPr>
              <w:jc w:val="right"/>
              <w:rPr>
                <w:color w:val="000000"/>
                <w:sz w:val="22"/>
                <w:szCs w:val="22"/>
              </w:rPr>
            </w:pPr>
            <w:r>
              <w:rPr>
                <w:rFonts w:hint="eastAsia"/>
                <w:color w:val="000000"/>
                <w:sz w:val="22"/>
                <w:szCs w:val="22"/>
              </w:rPr>
              <w:t>2.55</w:t>
            </w:r>
          </w:p>
        </w:tc>
        <w:tc>
          <w:tcPr>
            <w:tcW w:w="0" w:type="auto"/>
            <w:vAlign w:val="center"/>
          </w:tcPr>
          <w:p>
            <w:pPr>
              <w:rPr>
                <w:rFonts w:ascii="Times New Roman" w:hAnsi="Times New Roman" w:eastAsia="Times New Roman" w:cs="Times New Roman"/>
                <w:sz w:val="20"/>
                <w:szCs w:val="20"/>
              </w:rPr>
            </w:pPr>
          </w:p>
        </w:tc>
      </w:tr>
      <w:tr>
        <w:tblPrEx>
          <w:tblCellMar>
            <w:top w:w="0" w:type="dxa"/>
            <w:left w:w="108" w:type="dxa"/>
            <w:bottom w:w="0" w:type="dxa"/>
            <w:right w:w="108" w:type="dxa"/>
          </w:tblCellMar>
        </w:tblPrEx>
        <w:trPr>
          <w:gridBefore w:val="1"/>
          <w:gridAfter w:val="2"/>
          <w:wBefore w:w="85" w:type="dxa"/>
          <w:wAfter w:w="1342" w:type="dxa"/>
          <w:trHeight w:val="319" w:hRule="atLeast"/>
        </w:trPr>
        <w:tc>
          <w:tcPr>
            <w:tcW w:w="12395" w:type="dxa"/>
            <w:gridSpan w:val="12"/>
            <w:tcBorders>
              <w:top w:val="single" w:color="auto" w:sz="4" w:space="0"/>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注：本表反映部门本年度一般公共预算财政拨款基本支出明细情况。</w:t>
            </w:r>
          </w:p>
        </w:tc>
      </w:tr>
    </w:tbl>
    <w:p>
      <w:pPr>
        <w:jc w:val="left"/>
        <w:rPr>
          <w:rFonts w:hint="eastAsia" w:ascii="仿宋" w:hAnsi="仿宋" w:eastAsia="仿宋" w:cs="仿宋"/>
          <w:sz w:val="24"/>
        </w:rPr>
      </w:pPr>
    </w:p>
    <w:p>
      <w:pPr>
        <w:rPr>
          <w:rFonts w:hint="eastAsia" w:ascii="仿宋" w:hAnsi="仿宋" w:eastAsia="仿宋" w:cs="仿宋"/>
          <w:sz w:val="24"/>
        </w:rPr>
      </w:pPr>
      <w:r>
        <w:rPr>
          <w:rFonts w:ascii="仿宋" w:hAnsi="仿宋" w:eastAsia="仿宋" w:cs="仿宋"/>
          <w:sz w:val="24"/>
        </w:rPr>
        <w:br w:type="page"/>
      </w:r>
    </w:p>
    <w:p>
      <w:pPr>
        <w:jc w:val="left"/>
        <w:rPr>
          <w:rFonts w:hint="eastAsia" w:ascii="仿宋" w:hAnsi="仿宋" w:eastAsia="仿宋" w:cs="仿宋"/>
          <w:sz w:val="24"/>
        </w:rPr>
      </w:pPr>
      <w:r>
        <w:rPr>
          <w:rFonts w:hint="eastAsia" w:ascii="仿宋" w:hAnsi="仿宋" w:eastAsia="仿宋" w:cs="仿宋"/>
          <w:sz w:val="24"/>
        </w:rPr>
        <w:t>表七：政府性基金预算财政拨款收入支出决算表</w:t>
      </w:r>
    </w:p>
    <w:p>
      <w:pPr>
        <w:jc w:val="left"/>
        <w:rPr>
          <w:rFonts w:hint="eastAsia" w:ascii="仿宋" w:hAnsi="仿宋" w:eastAsia="仿宋" w:cs="仿宋"/>
          <w:sz w:val="24"/>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30"/>
        <w:gridCol w:w="1948"/>
      </w:tblGrid>
      <w:tr>
        <w:tblPrEx>
          <w:tblCellMar>
            <w:top w:w="0" w:type="dxa"/>
            <w:left w:w="108" w:type="dxa"/>
            <w:bottom w:w="0" w:type="dxa"/>
            <w:right w:w="108" w:type="dxa"/>
          </w:tblCellMar>
        </w:tblPrEx>
        <w:trPr>
          <w:trHeight w:val="536" w:hRule="atLeast"/>
        </w:trPr>
        <w:tc>
          <w:tcPr>
            <w:tcW w:w="13980" w:type="dxa"/>
            <w:gridSpan w:val="10"/>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3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7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0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68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73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108" w:type="dxa"/>
            <w:bottom w:w="0" w:type="dxa"/>
            <w:right w:w="108" w:type="dxa"/>
          </w:tblCellMar>
        </w:tblPrEx>
        <w:trPr>
          <w:trHeight w:val="268" w:hRule="atLeast"/>
        </w:trPr>
        <w:tc>
          <w:tcPr>
            <w:tcW w:w="8624" w:type="dxa"/>
            <w:gridSpan w:val="7"/>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1680"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728" w:type="dxa"/>
            <w:tcBorders>
              <w:top w:val="nil"/>
              <w:left w:val="nil"/>
              <w:bottom w:val="single" w:color="auto" w:sz="4" w:space="0"/>
              <w:right w:val="nil"/>
            </w:tcBorders>
            <w:shd w:val="clear" w:color="auto" w:fill="auto"/>
            <w:noWrap/>
            <w:vAlign w:val="bottom"/>
          </w:tcPr>
          <w:p>
            <w:pPr>
              <w:rPr>
                <w:rFonts w:ascii="Arial" w:hAnsi="Arial" w:cs="Arial"/>
                <w:color w:val="000000"/>
                <w:sz w:val="20"/>
                <w:szCs w:val="20"/>
              </w:rPr>
            </w:pPr>
          </w:p>
        </w:tc>
        <w:tc>
          <w:tcPr>
            <w:tcW w:w="1948" w:type="dxa"/>
            <w:tcBorders>
              <w:top w:val="nil"/>
              <w:left w:val="nil"/>
              <w:bottom w:val="single" w:color="auto" w:sz="4" w:space="0"/>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c>
          <w:tcPr>
            <w:tcW w:w="19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年末结转和结余</w:t>
            </w:r>
          </w:p>
        </w:tc>
      </w:tr>
      <w:tr>
        <w:tblPrEx>
          <w:tblCellMar>
            <w:top w:w="0" w:type="dxa"/>
            <w:left w:w="108" w:type="dxa"/>
            <w:bottom w:w="0" w:type="dxa"/>
            <w:right w:w="108" w:type="dxa"/>
          </w:tblCellMar>
        </w:tblPrEx>
        <w:trPr>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000000"/>
                <w:sz w:val="22"/>
                <w:szCs w:val="22"/>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r>
      <w:tr>
        <w:tblPrEx>
          <w:tblCellMar>
            <w:top w:w="0" w:type="dxa"/>
            <w:left w:w="108" w:type="dxa"/>
            <w:bottom w:w="0" w:type="dxa"/>
            <w:right w:w="108" w:type="dxa"/>
          </w:tblCellMar>
        </w:tblPrEx>
        <w:trPr>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c>
          <w:tcPr>
            <w:tcW w:w="194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righ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single" w:color="auto" w:sz="4" w:space="0"/>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653"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60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680"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72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948" w:type="dxa"/>
            <w:tcBorders>
              <w:top w:val="single" w:color="auto"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1861" w:type="dxa"/>
            <w:gridSpan w:val="2"/>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197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65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60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680"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72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19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277" w:hRule="atLeast"/>
        </w:trPr>
        <w:tc>
          <w:tcPr>
            <w:tcW w:w="13980" w:type="dxa"/>
            <w:gridSpan w:val="10"/>
            <w:tcBorders>
              <w:top w:val="nil"/>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注：本表反映部门本年度政府性基金预算财政拨款收入、支出及结转和结余情况。</w:t>
            </w:r>
          </w:p>
          <w:p>
            <w:r>
              <w:rPr>
                <w:rFonts w:hint="eastAsia" w:ascii="宋体" w:hAnsi="宋体" w:eastAsia="宋体" w:cs="宋体"/>
                <w:szCs w:val="21"/>
                <w:lang w:bidi="ar"/>
              </w:rPr>
              <w:t>本部门</w:t>
            </w:r>
            <w:r>
              <w:rPr>
                <w:rFonts w:ascii="Times New Roman" w:hAnsi="Times New Roman" w:eastAsia="宋体" w:cs="Times New Roman"/>
                <w:szCs w:val="21"/>
                <w:lang w:bidi="ar"/>
              </w:rPr>
              <w:t>2023</w:t>
            </w:r>
            <w:r>
              <w:rPr>
                <w:rFonts w:hint="eastAsia" w:ascii="宋体" w:hAnsi="宋体" w:eastAsia="宋体" w:cs="宋体"/>
                <w:szCs w:val="21"/>
                <w:lang w:bidi="ar"/>
              </w:rPr>
              <w:t>年度没有政府性基金预算财政拨款收入，也没有政府性基金预算财政拨款安排的支出，故本表无数据。</w:t>
            </w:r>
            <w:r>
              <w:rPr>
                <w:rFonts w:hint="eastAsia" w:ascii="Times New Roman" w:hAnsi="Times New Roman" w:eastAsia="宋体" w:cs="Times New Roman"/>
                <w:szCs w:val="21"/>
                <w:lang w:bidi="ar"/>
              </w:rPr>
              <w:t xml:space="preserve"> </w:t>
            </w:r>
          </w:p>
          <w:p>
            <w:pPr>
              <w:widowControl/>
              <w:jc w:val="left"/>
              <w:textAlignment w:val="center"/>
              <w:rPr>
                <w:rFonts w:hint="eastAsia" w:ascii="宋体" w:hAnsi="宋体" w:eastAsia="宋体" w:cs="宋体"/>
                <w:color w:val="000000"/>
                <w:kern w:val="0"/>
                <w:sz w:val="22"/>
                <w:szCs w:val="22"/>
                <w:lang w:bidi="ar"/>
              </w:rPr>
            </w:pPr>
          </w:p>
        </w:tc>
      </w:tr>
    </w:tbl>
    <w:p>
      <w:pPr>
        <w:rPr>
          <w:rFonts w:hint="eastAsia" w:ascii="仿宋" w:hAnsi="仿宋" w:eastAsia="仿宋" w:cs="仿宋"/>
          <w:sz w:val="24"/>
        </w:rPr>
      </w:pPr>
    </w:p>
    <w:p>
      <w:pPr>
        <w:jc w:val="left"/>
        <w:rPr>
          <w:rFonts w:hint="eastAsia" w:ascii="仿宋" w:hAnsi="仿宋" w:eastAsia="仿宋" w:cs="仿宋"/>
          <w:sz w:val="24"/>
        </w:rPr>
      </w:pPr>
    </w:p>
    <w:p>
      <w:pPr>
        <w:jc w:val="left"/>
        <w:rPr>
          <w:rFonts w:hint="eastAsia" w:ascii="仿宋" w:hAnsi="仿宋" w:eastAsia="仿宋" w:cs="仿宋"/>
          <w:sz w:val="24"/>
        </w:rPr>
      </w:pPr>
      <w:r>
        <w:rPr>
          <w:rFonts w:hint="eastAsia" w:ascii="仿宋" w:hAnsi="仿宋" w:eastAsia="仿宋" w:cs="仿宋"/>
          <w:sz w:val="24"/>
        </w:rPr>
        <w:t>表八：国有资本经营预算财政拨款支出决算表</w:t>
      </w:r>
    </w:p>
    <w:p>
      <w:pPr>
        <w:jc w:val="left"/>
        <w:rPr>
          <w:rFonts w:hint="eastAsia" w:ascii="仿宋" w:hAnsi="仿宋" w:eastAsia="仿宋" w:cs="仿宋"/>
          <w:sz w:val="24"/>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8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6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96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99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313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3065" w:type="dxa"/>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jc w:val="center"/>
              <w:rPr>
                <w:rFonts w:hint="eastAsia" w:ascii="宋体" w:hAnsi="宋体" w:eastAsia="宋体" w:cs="宋体"/>
                <w:color w:val="000000"/>
                <w:sz w:val="22"/>
                <w:szCs w:val="22"/>
              </w:rPr>
            </w:pPr>
          </w:p>
        </w:tc>
        <w:tc>
          <w:tcPr>
            <w:tcW w:w="299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313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306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color w:val="000000"/>
                <w:sz w:val="22"/>
                <w:szCs w:val="22"/>
              </w:rPr>
            </w:pPr>
            <w:r>
              <w:rPr>
                <w:rFonts w:hint="eastAsia" w:ascii="宋体" w:hAnsi="宋体" w:eastAsia="宋体" w:cs="宋体"/>
                <w:b/>
                <w:bCs/>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jc w:val="left"/>
              <w:rPr>
                <w:rFonts w:hint="eastAsia" w:ascii="宋体" w:hAnsi="宋体" w:eastAsia="宋体" w:cs="宋体"/>
                <w:color w:val="000000"/>
                <w:sz w:val="22"/>
                <w:szCs w:val="22"/>
              </w:rPr>
            </w:pPr>
          </w:p>
        </w:tc>
        <w:tc>
          <w:tcPr>
            <w:tcW w:w="299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313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c>
          <w:tcPr>
            <w:tcW w:w="306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p>
        </w:tc>
      </w:tr>
    </w:tbl>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注：本表反映部门本年度国有资本经营预算财政拨款支出情况。</w:t>
      </w:r>
    </w:p>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2023</w:t>
      </w:r>
      <w:r>
        <w:rPr>
          <w:rFonts w:hint="eastAsia" w:ascii="宋体" w:hAnsi="宋体" w:eastAsia="宋体" w:cs="宋体"/>
          <w:szCs w:val="21"/>
          <w:lang w:bidi="ar"/>
        </w:rPr>
        <w:t>年度没有国有资本经营预算财政拨款收入，也没有国有资本经营预算财政拨款安排的支出，故本表无数据。</w:t>
      </w:r>
    </w:p>
    <w:p>
      <w:pPr>
        <w:widowControl/>
        <w:jc w:val="left"/>
        <w:textAlignment w:val="center"/>
        <w:rPr>
          <w:rFonts w:hint="eastAsia" w:ascii="宋体" w:hAnsi="宋体" w:eastAsia="宋体" w:cs="宋体"/>
          <w:color w:val="000000"/>
          <w:kern w:val="0"/>
          <w:sz w:val="22"/>
          <w:szCs w:val="22"/>
          <w:lang w:bidi="ar"/>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widowControl/>
              <w:jc w:val="left"/>
              <w:textAlignment w:val="center"/>
              <w:rPr>
                <w:rFonts w:hint="eastAsia" w:ascii="宋体" w:hAnsi="宋体" w:eastAsia="宋体" w:cs="宋体"/>
                <w:color w:val="000000"/>
                <w:kern w:val="0"/>
                <w:sz w:val="22"/>
                <w:szCs w:val="22"/>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jc w:val="left"/>
              <w:rPr>
                <w:rFonts w:hint="eastAsia" w:ascii="仿宋" w:hAnsi="仿宋" w:eastAsia="仿宋" w:cs="仿宋"/>
                <w:sz w:val="24"/>
              </w:rPr>
            </w:pPr>
            <w:r>
              <w:rPr>
                <w:rFonts w:hint="eastAsia" w:ascii="仿宋" w:hAnsi="仿宋" w:eastAsia="仿宋" w:cs="仿宋"/>
                <w:sz w:val="24"/>
              </w:rPr>
              <w:t>表九：财政拨款“三公”经费支出决算表</w:t>
            </w:r>
          </w:p>
          <w:p>
            <w:pPr>
              <w:widowControl/>
              <w:jc w:val="center"/>
              <w:textAlignment w:val="bottom"/>
              <w:rPr>
                <w:rFonts w:hint="eastAsia" w:ascii="宋体" w:hAnsi="宋体" w:eastAsia="宋体" w:cs="宋体"/>
                <w:color w:val="000000"/>
                <w:kern w:val="0"/>
                <w:sz w:val="30"/>
                <w:szCs w:val="30"/>
                <w:lang w:bidi="ar"/>
              </w:rPr>
            </w:pPr>
          </w:p>
          <w:p>
            <w:pPr>
              <w:widowControl/>
              <w:jc w:val="center"/>
              <w:textAlignment w:val="bottom"/>
              <w:rPr>
                <w:rFonts w:hint="eastAsia" w:ascii="宋体" w:hAnsi="宋体" w:eastAsia="宋体" w:cs="宋体"/>
                <w:color w:val="000000"/>
                <w:sz w:val="30"/>
                <w:szCs w:val="30"/>
              </w:rPr>
            </w:pPr>
            <w:r>
              <w:rPr>
                <w:rFonts w:hint="eastAsia" w:ascii="宋体" w:hAnsi="宋体" w:eastAsia="宋体" w:cs="宋体"/>
                <w:color w:val="000000"/>
                <w:kern w:val="0"/>
                <w:sz w:val="32"/>
                <w:szCs w:val="32"/>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425"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94"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59"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40"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3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73" w:type="dxa"/>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ascii="宋体" w:hAnsi="宋体" w:eastAsia="宋体" w:cs="宋体"/>
                <w:color w:val="000000"/>
                <w:sz w:val="20"/>
              </w:rPr>
              <w:t>环江毛南族自治县第三幼儿园</w:t>
            </w:r>
          </w:p>
        </w:tc>
        <w:tc>
          <w:tcPr>
            <w:tcW w:w="1066"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053"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1148" w:type="dxa"/>
            <w:tcBorders>
              <w:top w:val="nil"/>
              <w:left w:val="nil"/>
              <w:bottom w:val="nil"/>
              <w:right w:val="nil"/>
            </w:tcBorders>
            <w:shd w:val="clear" w:color="auto" w:fill="auto"/>
            <w:noWrap/>
            <w:vAlign w:val="bottom"/>
          </w:tcPr>
          <w:p>
            <w:pPr>
              <w:rPr>
                <w:rFonts w:ascii="Arial" w:hAnsi="Arial" w:cs="Arial"/>
                <w:color w:val="000000"/>
                <w:sz w:val="20"/>
                <w:szCs w:val="20"/>
              </w:rPr>
            </w:pPr>
          </w:p>
        </w:tc>
        <w:tc>
          <w:tcPr>
            <w:tcW w:w="2206" w:type="dxa"/>
            <w:gridSpan w:val="2"/>
            <w:tcBorders>
              <w:top w:val="nil"/>
              <w:left w:val="nil"/>
              <w:bottom w:val="nil"/>
              <w:right w:val="nil"/>
            </w:tcBorders>
            <w:shd w:val="clear" w:color="auto" w:fill="auto"/>
            <w:noWrap/>
            <w:vAlign w:val="bottom"/>
          </w:tcPr>
          <w:p>
            <w:pPr>
              <w:widowControl/>
              <w:jc w:val="right"/>
              <w:textAlignment w:val="bottom"/>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1425"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10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1161"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p>
            <w:pPr>
              <w:widowControl/>
              <w:jc w:val="center"/>
              <w:textAlignment w:val="center"/>
              <w:rPr>
                <w:rFonts w:hint="eastAsia" w:ascii="宋体" w:hAnsi="宋体" w:eastAsia="宋体" w:cs="宋体"/>
                <w:color w:val="000000"/>
                <w:sz w:val="22"/>
                <w:szCs w:val="22"/>
              </w:rPr>
            </w:pPr>
          </w:p>
        </w:tc>
        <w:tc>
          <w:tcPr>
            <w:tcW w:w="1425"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094"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159"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1040"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161"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105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148"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113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1073" w:type="dxa"/>
            <w:tcBorders>
              <w:top w:val="nil"/>
              <w:left w:val="nil"/>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094"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159"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ascii="宋体" w:hAnsi="宋体" w:eastAsia="宋体" w:cs="宋体"/>
                <w:color w:val="000000"/>
                <w:sz w:val="22"/>
                <w:szCs w:val="22"/>
              </w:rPr>
              <w:t>0.00</w:t>
            </w:r>
          </w:p>
        </w:tc>
        <w:tc>
          <w:tcPr>
            <w:tcW w:w="1040"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widowControl/>
              <w:jc w:val="righ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053"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148" w:type="dxa"/>
            <w:tcBorders>
              <w:top w:val="nil"/>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color w:val="000000"/>
                <w:sz w:val="22"/>
                <w:szCs w:val="22"/>
              </w:rPr>
            </w:pPr>
            <w:r>
              <w:rPr>
                <w:rFonts w:hint="eastAsia" w:ascii="宋体" w:hAnsi="宋体" w:eastAsia="宋体" w:cs="宋体"/>
                <w:color w:val="000000"/>
                <w:sz w:val="22"/>
                <w:szCs w:val="22"/>
              </w:rPr>
              <w:t>0.00</w:t>
            </w:r>
          </w:p>
        </w:tc>
        <w:tc>
          <w:tcPr>
            <w:tcW w:w="1133" w:type="dxa"/>
            <w:tcBorders>
              <w:top w:val="nil"/>
              <w:left w:val="nil"/>
              <w:bottom w:val="single" w:color="000000" w:sz="4" w:space="0"/>
              <w:right w:val="single" w:color="000000" w:sz="4" w:space="0"/>
            </w:tcBorders>
            <w:shd w:val="clear" w:color="auto" w:fill="auto"/>
            <w:noWrap/>
          </w:tcPr>
          <w:p>
            <w:pPr>
              <w:jc w:val="right"/>
            </w:pPr>
            <w:r>
              <w:t>0.00</w:t>
            </w:r>
          </w:p>
        </w:tc>
        <w:tc>
          <w:tcPr>
            <w:tcW w:w="1073" w:type="dxa"/>
            <w:tcBorders>
              <w:top w:val="nil"/>
              <w:left w:val="nil"/>
              <w:bottom w:val="single" w:color="000000" w:sz="4" w:space="0"/>
              <w:right w:val="single" w:color="000000" w:sz="4" w:space="0"/>
            </w:tcBorders>
            <w:shd w:val="clear" w:color="auto" w:fill="auto"/>
            <w:noWrap/>
          </w:tcPr>
          <w:p>
            <w:pPr>
              <w:jc w:val="right"/>
            </w:pPr>
            <w:r>
              <w:rPr>
                <w:rFonts w:hint="eastAsia" w:ascii="宋体" w:hAnsi="宋体" w:eastAsia="宋体" w:cs="宋体"/>
                <w:color w:val="000000"/>
                <w:kern w:val="0"/>
                <w:sz w:val="22"/>
                <w:szCs w:val="22"/>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widowControl/>
              <w:jc w:val="left"/>
              <w:textAlignment w:val="center"/>
              <w:rPr>
                <w:rFonts w:hint="eastAsia" w:ascii="宋体" w:hAnsi="宋体" w:eastAsia="宋体" w:cs="宋体"/>
                <w:kern w:val="0"/>
                <w:sz w:val="22"/>
                <w:szCs w:val="22"/>
                <w:lang w:bidi="ar"/>
              </w:rPr>
            </w:pPr>
            <w:r>
              <w:rPr>
                <w:rFonts w:hint="eastAsia" w:ascii="宋体" w:hAnsi="宋体" w:eastAsia="宋体" w:cs="宋体"/>
                <w:color w:val="000000"/>
                <w:kern w:val="0"/>
                <w:sz w:val="22"/>
                <w:szCs w:val="22"/>
                <w:lang w:bidi="ar"/>
              </w:rPr>
              <w:t>注：本表反映部门本年度“三公”经费支出预决算情况。其中，预算数为“三公”经费全年预算数，反映按规定程序调整后的预算数；决算数是包括当</w:t>
            </w:r>
            <w:r>
              <w:rPr>
                <w:rFonts w:hint="eastAsia" w:ascii="宋体" w:hAnsi="宋体" w:eastAsia="宋体" w:cs="宋体"/>
                <w:kern w:val="0"/>
                <w:sz w:val="22"/>
                <w:szCs w:val="22"/>
                <w:lang w:bidi="ar"/>
              </w:rPr>
              <w:t>年一般公共预算财政拨款和以前年度结转资金安排的实际支出。</w:t>
            </w:r>
          </w:p>
          <w:p>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szCs w:val="21"/>
                <w:lang w:bidi="ar"/>
              </w:rPr>
              <w:t>本部门</w:t>
            </w:r>
            <w:r>
              <w:rPr>
                <w:rFonts w:ascii="Times New Roman" w:hAnsi="Times New Roman" w:eastAsia="宋体" w:cs="Times New Roman"/>
                <w:szCs w:val="21"/>
                <w:lang w:bidi="ar"/>
              </w:rPr>
              <w:t>2023</w:t>
            </w:r>
            <w:r>
              <w:rPr>
                <w:rFonts w:hint="eastAsia" w:ascii="宋体" w:hAnsi="宋体" w:eastAsia="宋体" w:cs="宋体"/>
                <w:szCs w:val="21"/>
                <w:lang w:bidi="ar"/>
              </w:rPr>
              <w:t>年度没有财政拨款“三公”经费收入，也没有财政拨款“三公”经费安排的支出，故本表无数据。</w:t>
            </w:r>
            <w:r>
              <w:rPr>
                <w:rFonts w:hint="eastAsia" w:ascii="宋体" w:hAnsi="宋体" w:eastAsia="宋体" w:cs="宋体"/>
                <w:color w:val="FF0000"/>
                <w:szCs w:val="21"/>
                <w:lang w:bidi="ar"/>
              </w:rPr>
              <w:t xml:space="preserve">  </w:t>
            </w:r>
          </w:p>
        </w:tc>
      </w:tr>
    </w:tbl>
    <w:p>
      <w:pPr>
        <w:ind w:firstLine="420"/>
        <w:jc w:val="left"/>
        <w:rPr>
          <w:rFonts w:hint="eastAsia" w:ascii="仿宋" w:hAnsi="仿宋" w:eastAsia="仿宋" w:cs="仿宋"/>
          <w:sz w:val="24"/>
        </w:rPr>
        <w:sectPr>
          <w:pgSz w:w="16838" w:h="11906" w:orient="landscape"/>
          <w:pgMar w:top="1800" w:right="1440" w:bottom="1800" w:left="1440" w:header="851" w:footer="992" w:gutter="0"/>
          <w:cols w:space="425" w:num="1"/>
          <w:docGrid w:type="lines" w:linePitch="312" w:charSpace="0"/>
        </w:sectPr>
      </w:pPr>
    </w:p>
    <w:p>
      <w:pPr>
        <w:jc w:val="left"/>
        <w:rPr>
          <w:rFonts w:hint="eastAsia" w:ascii="仿宋" w:hAnsi="仿宋" w:eastAsia="仿宋" w:cs="仿宋"/>
          <w:sz w:val="24"/>
        </w:rPr>
      </w:pPr>
    </w:p>
    <w:p>
      <w:pPr>
        <w:jc w:val="center"/>
        <w:rPr>
          <w:rFonts w:hint="eastAsia" w:ascii="仿宋" w:hAnsi="仿宋" w:eastAsia="仿宋" w:cs="仿宋"/>
          <w:sz w:val="32"/>
          <w:szCs w:val="32"/>
        </w:rPr>
      </w:pPr>
      <w:r>
        <w:rPr>
          <w:rFonts w:hint="eastAsia" w:ascii="黑体" w:hAnsi="黑体" w:eastAsia="黑体" w:cs="黑体"/>
          <w:sz w:val="32"/>
          <w:szCs w:val="32"/>
        </w:rPr>
        <w:t>第三部分：</w:t>
      </w:r>
      <w:r>
        <w:rPr>
          <w:rFonts w:ascii="黑体" w:hAnsi="黑体" w:eastAsia="黑体" w:cs="黑体"/>
          <w:sz w:val="32"/>
        </w:rPr>
        <w:t>环江毛南族自治县第三幼儿园</w:t>
      </w:r>
      <w:r>
        <w:rPr>
          <w:rFonts w:hint="eastAsia" w:ascii="黑体" w:hAnsi="黑体" w:eastAsia="黑体" w:cs="黑体"/>
          <w:sz w:val="32"/>
          <w:szCs w:val="32"/>
        </w:rPr>
        <w:t>2023年度部门决算情况说明</w:t>
      </w:r>
    </w:p>
    <w:p>
      <w:pPr>
        <w:jc w:val="left"/>
        <w:rPr>
          <w:rFonts w:hint="eastAsia" w:ascii="黑体" w:hAnsi="黑体" w:eastAsia="黑体" w:cs="黑体"/>
          <w:sz w:val="32"/>
          <w:szCs w:val="32"/>
        </w:rPr>
      </w:pPr>
      <w:r>
        <w:rPr>
          <w:rFonts w:hint="eastAsia" w:ascii="黑体" w:hAnsi="黑体" w:eastAsia="黑体" w:cs="黑体"/>
          <w:sz w:val="32"/>
          <w:szCs w:val="32"/>
        </w:rPr>
        <w:t>一、2023年度收入支出决算总体情况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（一）本部门2023年度总收入</w:t>
      </w:r>
      <w:r>
        <w:rPr>
          <w:rFonts w:hint="eastAsia" w:ascii="仿宋" w:hAnsi="仿宋" w:eastAsia="仿宋" w:cs="仿宋"/>
          <w:sz w:val="32"/>
        </w:rPr>
        <w:t>342.09</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51.26</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17.63</w:t>
      </w:r>
      <w:r>
        <w:rPr>
          <w:rFonts w:ascii="仿宋" w:hAnsi="仿宋" w:eastAsia="仿宋" w:cs="仿宋"/>
          <w:sz w:val="32"/>
        </w:rPr>
        <w:t>%</w:t>
      </w:r>
      <w:r>
        <w:rPr>
          <w:rFonts w:hint="eastAsia" w:ascii="仿宋" w:hAnsi="仿宋" w:eastAsia="仿宋" w:cs="仿宋"/>
          <w:sz w:val="32"/>
          <w:szCs w:val="32"/>
        </w:rPr>
        <w:t>，其中本年收入</w:t>
      </w:r>
      <w:r>
        <w:rPr>
          <w:rFonts w:hint="eastAsia" w:ascii="仿宋" w:hAnsi="仿宋" w:eastAsia="仿宋" w:cs="仿宋"/>
          <w:sz w:val="32"/>
        </w:rPr>
        <w:t>342.09</w:t>
      </w:r>
      <w:r>
        <w:rPr>
          <w:rFonts w:hint="eastAsia" w:ascii="仿宋" w:hAnsi="仿宋" w:eastAsia="仿宋" w:cs="仿宋"/>
          <w:sz w:val="32"/>
          <w:szCs w:val="32"/>
        </w:rPr>
        <w:t>万元。收入具体情况如下。</w:t>
      </w:r>
    </w:p>
    <w:p>
      <w:pPr>
        <w:ind w:firstLine="640" w:firstLineChars="200"/>
        <w:jc w:val="left"/>
        <w:rPr>
          <w:rFonts w:hint="eastAsia" w:ascii="仿宋" w:hAnsi="仿宋" w:eastAsia="仿宋" w:cs="Times New Roman"/>
          <w:sz w:val="32"/>
          <w:szCs w:val="32"/>
        </w:rPr>
      </w:pPr>
      <w:r>
        <w:rPr>
          <w:rFonts w:hint="eastAsia" w:ascii="仿宋" w:hAnsi="仿宋" w:eastAsia="仿宋" w:cs="仿宋"/>
          <w:sz w:val="32"/>
          <w:szCs w:val="32"/>
          <w:lang w:bidi="ar"/>
        </w:rPr>
        <w:t>1.一般公共预算财政拨款收入</w:t>
      </w:r>
      <w:r>
        <w:rPr>
          <w:rFonts w:hint="eastAsia" w:ascii="仿宋" w:hAnsi="仿宋" w:eastAsia="仿宋" w:cs="仿宋"/>
          <w:sz w:val="32"/>
        </w:rPr>
        <w:t>342.09</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w:t>
      </w:r>
      <w:r>
        <w:rPr>
          <w:rFonts w:hint="eastAsia" w:ascii="仿宋" w:hAnsi="仿宋" w:eastAsia="仿宋" w:cs="仿宋"/>
          <w:sz w:val="32"/>
        </w:rPr>
        <w:t>51.26</w:t>
      </w:r>
      <w:r>
        <w:rPr>
          <w:rFonts w:hint="eastAsia" w:ascii="仿宋" w:hAnsi="仿宋" w:eastAsia="仿宋" w:cs="仿宋"/>
          <w:sz w:val="32"/>
          <w:szCs w:val="32"/>
          <w:lang w:bidi="ar"/>
        </w:rPr>
        <w:t>万元，</w:t>
      </w:r>
      <w:r>
        <w:rPr>
          <w:rFonts w:ascii="仿宋" w:hAnsi="仿宋" w:eastAsia="仿宋" w:cs="仿宋"/>
          <w:sz w:val="32"/>
        </w:rPr>
        <w:t>增长</w:t>
      </w:r>
      <w:r>
        <w:rPr>
          <w:rFonts w:hint="eastAsia" w:ascii="仿宋" w:hAnsi="仿宋" w:eastAsia="仿宋" w:cs="仿宋"/>
          <w:sz w:val="32"/>
        </w:rPr>
        <w:t>17.63</w:t>
      </w:r>
      <w:r>
        <w:rPr>
          <w:rFonts w:ascii="仿宋" w:hAnsi="仿宋" w:eastAsia="仿宋" w:cs="仿宋"/>
          <w:sz w:val="32"/>
        </w:rPr>
        <w:t>%</w:t>
      </w:r>
      <w:r>
        <w:rPr>
          <w:rFonts w:hint="eastAsia" w:ascii="仿宋" w:hAnsi="仿宋" w:eastAsia="仿宋" w:cs="仿宋"/>
          <w:sz w:val="32"/>
          <w:szCs w:val="32"/>
          <w:lang w:bidi="ar"/>
        </w:rPr>
        <w:t>，主要原因：本部门2023年度新公招4名教师控制数；</w:t>
      </w:r>
      <w:bookmarkStart w:id="0" w:name="OLE_LINK3"/>
      <w:r>
        <w:rPr>
          <w:rFonts w:hint="eastAsia" w:ascii="仿宋" w:hAnsi="仿宋" w:eastAsia="仿宋" w:cs="仿宋"/>
          <w:sz w:val="32"/>
          <w:szCs w:val="32"/>
          <w:lang w:bidi="ar"/>
        </w:rPr>
        <w:t>2023年度调整基础性绩效工资增量标准。</w:t>
      </w:r>
    </w:p>
    <w:bookmarkEnd w:id="0"/>
    <w:p>
      <w:pPr>
        <w:ind w:firstLine="640" w:firstLineChars="200"/>
        <w:jc w:val="left"/>
        <w:rPr>
          <w:rFonts w:hint="eastAsia" w:ascii="仿宋" w:hAnsi="仿宋" w:eastAsia="仿宋" w:cs="Times New Roman"/>
          <w:sz w:val="32"/>
          <w:szCs w:val="32"/>
        </w:rPr>
      </w:pPr>
      <w:r>
        <w:rPr>
          <w:rFonts w:hint="eastAsia" w:ascii="仿宋" w:hAnsi="仿宋" w:eastAsia="仿宋" w:cs="仿宋"/>
          <w:sz w:val="32"/>
          <w:szCs w:val="32"/>
          <w:lang w:bidi="ar"/>
        </w:rPr>
        <w:t>2.政府性基金预算财政拨款收入</w:t>
      </w:r>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，主要原因：本部门2023年度无政府性基金预算财政拨款收入。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bidi="ar"/>
        </w:rPr>
        <w:t>3.</w:t>
      </w:r>
      <w:bookmarkStart w:id="1" w:name="_Hlk151194373"/>
      <w:r>
        <w:rPr>
          <w:rFonts w:hint="eastAsia" w:ascii="仿宋" w:hAnsi="仿宋" w:eastAsia="仿宋" w:cs="仿宋"/>
          <w:sz w:val="32"/>
          <w:szCs w:val="32"/>
          <w:lang w:bidi="ar"/>
        </w:rPr>
        <w:t>国有资本经营预算财政拨款收入</w:t>
      </w:r>
      <w:bookmarkEnd w:id="1"/>
      <w:r>
        <w:rPr>
          <w:rFonts w:ascii="仿宋" w:hAnsi="仿宋" w:eastAsia="仿宋" w:cs="仿宋"/>
          <w:sz w:val="32"/>
        </w:rPr>
        <w:t>0.00</w:t>
      </w:r>
      <w:r>
        <w:rPr>
          <w:rFonts w:hint="eastAsia" w:ascii="仿宋" w:hAnsi="仿宋" w:eastAsia="仿宋" w:cs="仿宋"/>
          <w:sz w:val="32"/>
          <w:szCs w:val="32"/>
          <w:lang w:bidi="ar"/>
        </w:rPr>
        <w:t>万元。为</w:t>
      </w:r>
      <w:r>
        <w:rPr>
          <w:rFonts w:hint="eastAsia" w:ascii="仿宋" w:hAnsi="仿宋" w:eastAsia="仿宋" w:cs="仿宋"/>
          <w:sz w:val="32"/>
          <w:szCs w:val="32"/>
        </w:rPr>
        <w:t>环江毛南族自治县</w:t>
      </w:r>
      <w:r>
        <w:rPr>
          <w:rFonts w:hint="eastAsia" w:ascii="仿宋" w:hAnsi="仿宋" w:eastAsia="仿宋" w:cs="仿宋"/>
          <w:sz w:val="32"/>
          <w:szCs w:val="32"/>
          <w:lang w:bidi="ar"/>
        </w:rPr>
        <w:t>本级财政当年拨付的资金。较2022年度决算数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，主要原因是：本部门2023年度无国有资本经营预算财政拨款收入。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bidi="ar"/>
        </w:rPr>
        <w:t>4.上级补助收入</w:t>
      </w:r>
      <w:r>
        <w:rPr>
          <w:rFonts w:ascii="仿宋" w:hAnsi="仿宋" w:eastAsia="仿宋" w:cs="仿宋"/>
          <w:sz w:val="32"/>
        </w:rPr>
        <w:t>0.00</w:t>
      </w:r>
      <w:r>
        <w:rPr>
          <w:rFonts w:hint="eastAsia" w:ascii="仿宋" w:hAnsi="仿宋" w:eastAsia="仿宋" w:cs="仿宋"/>
          <w:sz w:val="32"/>
          <w:szCs w:val="32"/>
          <w:lang w:bidi="ar"/>
        </w:rPr>
        <w:t>万元，为上级部门当年拨付的资金。较2022年度决算数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，主要原因是：本单位没有上级补助收入。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bidi="ar"/>
        </w:rPr>
        <w:t>5.事业收入</w:t>
      </w:r>
      <w:r>
        <w:rPr>
          <w:rFonts w:ascii="仿宋" w:hAnsi="仿宋" w:eastAsia="仿宋" w:cs="仿宋"/>
          <w:sz w:val="32"/>
        </w:rPr>
        <w:t>0.00</w:t>
      </w:r>
      <w:r>
        <w:rPr>
          <w:rFonts w:hint="eastAsia" w:ascii="仿宋" w:hAnsi="仿宋" w:eastAsia="仿宋" w:cs="仿宋"/>
          <w:sz w:val="32"/>
          <w:szCs w:val="32"/>
          <w:lang w:bidi="ar"/>
        </w:rPr>
        <w:t>万元，为事业单位开展业务活动取得的收入。较2022年度决算数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，主要原因是：本单位没有事业收入。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bidi="ar"/>
        </w:rPr>
        <w:t>6.</w:t>
      </w:r>
      <w:r>
        <w:rPr>
          <w:rFonts w:hint="eastAsia" w:ascii="仿宋" w:hAnsi="仿宋" w:eastAsia="仿宋" w:cs="仿宋"/>
          <w:sz w:val="36"/>
          <w:szCs w:val="36"/>
          <w:lang w:bidi="ar"/>
        </w:rPr>
        <w:t>经营收入</w:t>
      </w:r>
      <w:r>
        <w:rPr>
          <w:rFonts w:hint="eastAsia" w:ascii="仿宋" w:hAnsi="仿宋" w:eastAsia="仿宋" w:cs="仿宋"/>
          <w:sz w:val="32"/>
          <w:szCs w:val="32"/>
          <w:lang w:bidi="ar"/>
        </w:rPr>
        <w:t>0.00万,为事业单位在业务活动之外开展非独立核算经营活动取得的收入。较2022年度决算数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，主要原因是：本单位没有经营性收入。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bidi="ar"/>
        </w:rPr>
        <w:t>7.附属单位上缴收入</w:t>
      </w:r>
      <w:r>
        <w:rPr>
          <w:rFonts w:ascii="仿宋" w:hAnsi="仿宋" w:eastAsia="仿宋" w:cs="仿宋"/>
          <w:sz w:val="32"/>
        </w:rPr>
        <w:t>0.00</w:t>
      </w:r>
      <w:r>
        <w:rPr>
          <w:rFonts w:hint="eastAsia" w:ascii="仿宋" w:hAnsi="仿宋" w:eastAsia="仿宋" w:cs="仿宋"/>
          <w:sz w:val="32"/>
          <w:szCs w:val="32"/>
          <w:lang w:bidi="ar"/>
        </w:rPr>
        <w:t>万元。较2022年度决算数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，主要原因是：本单位无附属单位上缴收入。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bidi="ar"/>
        </w:rPr>
        <w:t>8.其他收入</w:t>
      </w:r>
      <w:r>
        <w:rPr>
          <w:rFonts w:ascii="仿宋" w:hAnsi="仿宋" w:eastAsia="仿宋" w:cs="仿宋"/>
          <w:sz w:val="32"/>
        </w:rPr>
        <w:t>0.00</w:t>
      </w:r>
      <w:r>
        <w:rPr>
          <w:rFonts w:hint="eastAsia" w:ascii="仿宋" w:hAnsi="仿宋" w:eastAsia="仿宋" w:cs="仿宋"/>
          <w:sz w:val="32"/>
          <w:szCs w:val="32"/>
          <w:lang w:bidi="ar"/>
        </w:rPr>
        <w:t>万元,为预算单位在“财政拨款收入”“事业收入”“经营收入”之外取得的收入。较2022年度决算数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，主要原因是：本单位没有其他收入。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lang w:bidi="ar"/>
        </w:rPr>
        <w:t>9.使用非财政拨款结余</w:t>
      </w:r>
      <w:r>
        <w:rPr>
          <w:rFonts w:ascii="仿宋" w:hAnsi="仿宋" w:eastAsia="仿宋" w:cs="仿宋"/>
          <w:sz w:val="32"/>
        </w:rPr>
        <w:t>0.00</w:t>
      </w:r>
      <w:r>
        <w:rPr>
          <w:rFonts w:hint="eastAsia" w:ascii="仿宋" w:hAnsi="仿宋" w:eastAsia="仿宋" w:cs="仿宋"/>
          <w:sz w:val="32"/>
          <w:szCs w:val="32"/>
          <w:lang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ascii="仿宋" w:hAnsi="仿宋" w:eastAsia="仿宋" w:cs="仿宋"/>
          <w:sz w:val="32"/>
        </w:rPr>
        <w:t>增加0.00</w:t>
      </w:r>
      <w:r>
        <w:rPr>
          <w:rFonts w:hint="eastAsia" w:ascii="仿宋" w:hAnsi="仿宋" w:eastAsia="仿宋" w:cs="仿宋"/>
          <w:sz w:val="32"/>
          <w:szCs w:val="32"/>
          <w:lang w:bidi="ar"/>
        </w:rPr>
        <w:t>万元，</w:t>
      </w:r>
      <w:r>
        <w:rPr>
          <w:rFonts w:ascii="仿宋" w:hAnsi="仿宋" w:eastAsia="仿宋" w:cs="仿宋"/>
          <w:sz w:val="32"/>
        </w:rPr>
        <w:t>增长0%</w:t>
      </w:r>
      <w:r>
        <w:rPr>
          <w:rFonts w:hint="eastAsia" w:ascii="仿宋" w:hAnsi="仿宋" w:eastAsia="仿宋" w:cs="仿宋"/>
          <w:sz w:val="32"/>
          <w:szCs w:val="32"/>
          <w:lang w:bidi="ar"/>
        </w:rPr>
        <w:t>，主要原因是：本单位没有非财政拨款结余。</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lang w:bidi="ar"/>
        </w:rPr>
        <w:t>10.上年结转和结余</w:t>
      </w:r>
      <w:r>
        <w:rPr>
          <w:rFonts w:ascii="仿宋" w:hAnsi="仿宋" w:eastAsia="仿宋" w:cs="仿宋"/>
          <w:sz w:val="32"/>
        </w:rPr>
        <w:t>0.00</w:t>
      </w:r>
      <w:r>
        <w:rPr>
          <w:rFonts w:hint="eastAsia" w:ascii="仿宋" w:hAnsi="仿宋" w:eastAsia="仿宋" w:cs="仿宋"/>
          <w:sz w:val="32"/>
          <w:szCs w:val="32"/>
          <w:lang w:bidi="ar"/>
        </w:rPr>
        <w:t>万元，为以前年度支出预算因客观条件变化未执行完毕、结转到本年度按有关规定继续使用的资金。较2022年度决算数</w:t>
      </w:r>
      <w:r>
        <w:rPr>
          <w:rFonts w:ascii="仿宋" w:hAnsi="仿宋" w:eastAsia="仿宋" w:cs="仿宋"/>
          <w:sz w:val="32"/>
        </w:rPr>
        <w:t>减少</w:t>
      </w:r>
      <w:r>
        <w:rPr>
          <w:rFonts w:hint="eastAsia" w:ascii="仿宋" w:hAnsi="仿宋" w:eastAsia="仿宋" w:cs="仿宋"/>
          <w:sz w:val="32"/>
        </w:rPr>
        <w:t>0</w:t>
      </w:r>
      <w:r>
        <w:rPr>
          <w:rFonts w:hint="eastAsia" w:ascii="仿宋" w:hAnsi="仿宋" w:eastAsia="仿宋" w:cs="仿宋"/>
          <w:sz w:val="32"/>
          <w:szCs w:val="32"/>
          <w:lang w:bidi="ar"/>
        </w:rPr>
        <w:t>万元，</w:t>
      </w:r>
      <w:r>
        <w:rPr>
          <w:rFonts w:ascii="仿宋" w:hAnsi="仿宋" w:eastAsia="仿宋" w:cs="仿宋"/>
          <w:sz w:val="32"/>
        </w:rPr>
        <w:t>下降</w:t>
      </w:r>
      <w:r>
        <w:rPr>
          <w:rFonts w:hint="eastAsia" w:ascii="仿宋" w:hAnsi="仿宋" w:eastAsia="仿宋" w:cs="仿宋"/>
          <w:sz w:val="32"/>
        </w:rPr>
        <w:t>0</w:t>
      </w:r>
      <w:r>
        <w:rPr>
          <w:rFonts w:ascii="仿宋" w:hAnsi="仿宋" w:eastAsia="仿宋" w:cs="仿宋"/>
          <w:sz w:val="32"/>
        </w:rPr>
        <w:t>%</w:t>
      </w:r>
      <w:r>
        <w:rPr>
          <w:rFonts w:hint="eastAsia" w:ascii="仿宋" w:hAnsi="仿宋" w:eastAsia="仿宋" w:cs="仿宋"/>
          <w:sz w:val="32"/>
          <w:szCs w:val="32"/>
          <w:lang w:bidi="ar"/>
        </w:rPr>
        <w:t>，主要原因：部分项目已在本年执行完毕，不需要结转至下年继续执行。</w:t>
      </w:r>
    </w:p>
    <w:p>
      <w:pPr>
        <w:jc w:val="center"/>
        <w:rPr>
          <w:rFonts w:hint="eastAsia" w:ascii="仿宋" w:hAnsi="仿宋" w:eastAsia="仿宋" w:cs="仿宋"/>
          <w:sz w:val="32"/>
          <w:szCs w:val="32"/>
        </w:rPr>
      </w:pPr>
      <w:r>
        <w:drawing>
          <wp:inline distT="0" distB="0" distL="0" distR="0">
            <wp:extent cx="5274310" cy="3154045"/>
            <wp:effectExtent l="0" t="0" r="2540" b="8255"/>
            <wp:docPr id="21333979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97944" name="图片 1"/>
                    <pic:cNvPicPr>
                      <a:picLocks noChangeAspect="1"/>
                    </pic:cNvPicPr>
                  </pic:nvPicPr>
                  <pic:blipFill>
                    <a:blip r:embed="rId6"/>
                    <a:stretch>
                      <a:fillRect/>
                    </a:stretch>
                  </pic:blipFill>
                  <pic:spPr>
                    <a:xfrm>
                      <a:off x="0" y="0"/>
                      <a:ext cx="5274310" cy="3154045"/>
                    </a:xfrm>
                    <a:prstGeom prst="rect">
                      <a:avLst/>
                    </a:prstGeom>
                  </pic:spPr>
                </pic:pic>
              </a:graphicData>
            </a:graphic>
          </wp:inline>
        </w:drawing>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（二）本部门2023年度总支出</w:t>
      </w:r>
      <w:r>
        <w:rPr>
          <w:rFonts w:hint="eastAsia" w:ascii="仿宋" w:hAnsi="仿宋" w:eastAsia="仿宋" w:cs="仿宋"/>
          <w:sz w:val="32"/>
        </w:rPr>
        <w:t>342.09</w:t>
      </w:r>
      <w:r>
        <w:rPr>
          <w:rFonts w:hint="eastAsia" w:ascii="仿宋" w:hAnsi="仿宋" w:eastAsia="仿宋" w:cs="仿宋"/>
          <w:sz w:val="32"/>
          <w:szCs w:val="32"/>
        </w:rPr>
        <w:t>万元，其中本年支出</w:t>
      </w:r>
      <w:r>
        <w:rPr>
          <w:rFonts w:hint="eastAsia" w:ascii="仿宋" w:hAnsi="仿宋" w:eastAsia="仿宋" w:cs="仿宋"/>
          <w:sz w:val="32"/>
        </w:rPr>
        <w:t>342.09</w:t>
      </w:r>
      <w:r>
        <w:rPr>
          <w:rFonts w:hint="eastAsia" w:ascii="仿宋" w:hAnsi="仿宋" w:eastAsia="仿宋" w:cs="仿宋"/>
          <w:sz w:val="32"/>
          <w:szCs w:val="32"/>
        </w:rPr>
        <w:t>元，较2022年度决算数</w:t>
      </w:r>
      <w:r>
        <w:rPr>
          <w:rFonts w:ascii="仿宋" w:hAnsi="仿宋" w:eastAsia="仿宋" w:cs="仿宋"/>
          <w:sz w:val="32"/>
        </w:rPr>
        <w:t>增加</w:t>
      </w:r>
      <w:r>
        <w:rPr>
          <w:rFonts w:hint="eastAsia" w:ascii="仿宋" w:hAnsi="仿宋" w:eastAsia="仿宋" w:cs="仿宋"/>
          <w:sz w:val="32"/>
        </w:rPr>
        <w:t>51.26</w:t>
      </w:r>
      <w:r>
        <w:rPr>
          <w:rFonts w:hint="eastAsia" w:ascii="仿宋" w:hAnsi="仿宋" w:eastAsia="仿宋" w:cs="仿宋"/>
          <w:sz w:val="32"/>
          <w:szCs w:val="32"/>
        </w:rPr>
        <w:t>万元，</w:t>
      </w:r>
      <w:r>
        <w:rPr>
          <w:rFonts w:ascii="仿宋" w:hAnsi="仿宋" w:eastAsia="仿宋" w:cs="仿宋"/>
          <w:sz w:val="32"/>
        </w:rPr>
        <w:t>增长</w:t>
      </w:r>
      <w:r>
        <w:rPr>
          <w:rFonts w:hint="eastAsia" w:ascii="仿宋" w:hAnsi="仿宋" w:eastAsia="仿宋" w:cs="仿宋"/>
          <w:sz w:val="32"/>
        </w:rPr>
        <w:t>17.63</w:t>
      </w:r>
      <w:r>
        <w:rPr>
          <w:rFonts w:ascii="仿宋" w:hAnsi="仿宋" w:eastAsia="仿宋" w:cs="仿宋"/>
          <w:sz w:val="32"/>
        </w:rPr>
        <w:t>%</w:t>
      </w:r>
      <w:r>
        <w:rPr>
          <w:rFonts w:hint="eastAsia" w:ascii="仿宋" w:hAnsi="仿宋" w:eastAsia="仿宋" w:cs="仿宋"/>
          <w:sz w:val="32"/>
          <w:szCs w:val="32"/>
        </w:rPr>
        <w:t>。支出具体情况如下：</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1</w:t>
      </w:r>
      <w:r>
        <w:rPr>
          <w:rFonts w:ascii="仿宋" w:hAnsi="仿宋" w:eastAsia="仿宋" w:cs="仿宋"/>
          <w:sz w:val="32"/>
        </w:rPr>
        <w:t>.</w:t>
      </w:r>
      <w:r>
        <w:rPr>
          <w:rFonts w:hint="eastAsia" w:ascii="仿宋" w:hAnsi="仿宋" w:eastAsia="仿宋" w:cs="仿宋"/>
          <w:sz w:val="32"/>
          <w:szCs w:val="32"/>
          <w:lang w:bidi="ar"/>
        </w:rPr>
        <w:t>一般公共服务支出</w:t>
      </w:r>
      <w:r>
        <w:rPr>
          <w:rFonts w:hint="eastAsia" w:ascii="仿宋" w:hAnsi="仿宋" w:eastAsia="仿宋" w:cs="仿宋"/>
          <w:sz w:val="32"/>
          <w:szCs w:val="32"/>
        </w:rPr>
        <w:t>（</w:t>
      </w:r>
      <w:r>
        <w:rPr>
          <w:rFonts w:hint="eastAsia" w:ascii="仿宋" w:hAnsi="仿宋" w:eastAsia="仿宋" w:cs="仿宋"/>
          <w:sz w:val="32"/>
          <w:szCs w:val="32"/>
          <w:lang w:bidi="ar"/>
        </w:rPr>
        <w:t>201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2.55</w:t>
      </w:r>
      <w:r>
        <w:rPr>
          <w:rFonts w:hint="eastAsia" w:ascii="仿宋" w:hAnsi="仿宋" w:eastAsia="仿宋" w:cs="仿宋"/>
          <w:sz w:val="32"/>
          <w:szCs w:val="32"/>
        </w:rPr>
        <w:t>万元：主要用于：教职工工会活动费。较2022年度决算数</w:t>
      </w:r>
      <w:r>
        <w:rPr>
          <w:rFonts w:hint="eastAsia" w:ascii="仿宋" w:hAnsi="仿宋" w:eastAsia="仿宋" w:cs="仿宋"/>
          <w:sz w:val="32"/>
          <w:szCs w:val="32"/>
          <w:lang w:bidi="ar"/>
        </w:rPr>
        <w:t>增加1.11</w:t>
      </w:r>
      <w:r>
        <w:rPr>
          <w:rFonts w:hint="eastAsia" w:ascii="仿宋" w:hAnsi="仿宋" w:eastAsia="仿宋" w:cs="仿宋"/>
          <w:sz w:val="32"/>
          <w:szCs w:val="32"/>
        </w:rPr>
        <w:t>万元，</w:t>
      </w:r>
      <w:r>
        <w:rPr>
          <w:rFonts w:hint="eastAsia" w:ascii="仿宋" w:hAnsi="仿宋" w:eastAsia="仿宋" w:cs="仿宋"/>
          <w:sz w:val="32"/>
          <w:szCs w:val="32"/>
          <w:lang w:bidi="ar"/>
        </w:rPr>
        <w:t>增长56.47%</w:t>
      </w:r>
      <w:r>
        <w:rPr>
          <w:rFonts w:hint="eastAsia" w:ascii="仿宋" w:hAnsi="仿宋" w:eastAsia="仿宋" w:cs="仿宋"/>
          <w:sz w:val="32"/>
          <w:szCs w:val="32"/>
        </w:rPr>
        <w:t>，</w:t>
      </w:r>
      <w:r>
        <w:rPr>
          <w:rFonts w:hint="eastAsia" w:ascii="仿宋" w:hAnsi="仿宋" w:eastAsia="仿宋" w:cs="仿宋"/>
          <w:sz w:val="32"/>
          <w:szCs w:val="32"/>
          <w:lang w:bidi="ar"/>
        </w:rPr>
        <w:t>主要原因是：</w:t>
      </w:r>
      <w:bookmarkStart w:id="2" w:name="_Hlk151196098"/>
      <w:r>
        <w:rPr>
          <w:rFonts w:hint="eastAsia" w:ascii="仿宋" w:hAnsi="仿宋" w:eastAsia="仿宋" w:cs="仿宋"/>
          <w:sz w:val="32"/>
          <w:szCs w:val="32"/>
          <w:lang w:bidi="ar"/>
        </w:rPr>
        <w:t>本部门2023年度新增4名公招教师控制数。</w:t>
      </w:r>
    </w:p>
    <w:bookmarkEnd w:id="2"/>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rPr>
        <w:t>.</w:t>
      </w:r>
      <w:r>
        <w:rPr>
          <w:rFonts w:hint="eastAsia" w:ascii="仿宋" w:hAnsi="仿宋" w:eastAsia="仿宋" w:cs="仿宋"/>
          <w:sz w:val="32"/>
          <w:szCs w:val="32"/>
          <w:lang w:bidi="ar"/>
        </w:rPr>
        <w:t>教育支出</w:t>
      </w:r>
      <w:r>
        <w:rPr>
          <w:rFonts w:hint="eastAsia" w:ascii="仿宋" w:hAnsi="仿宋" w:eastAsia="仿宋" w:cs="仿宋"/>
          <w:sz w:val="32"/>
          <w:szCs w:val="32"/>
        </w:rPr>
        <w:t>（</w:t>
      </w:r>
      <w:r>
        <w:rPr>
          <w:rFonts w:hint="eastAsia" w:ascii="仿宋" w:hAnsi="仿宋" w:eastAsia="仿宋" w:cs="仿宋"/>
          <w:sz w:val="32"/>
          <w:szCs w:val="32"/>
          <w:lang w:bidi="ar"/>
        </w:rPr>
        <w:t>205</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289.21</w:t>
      </w:r>
      <w:r>
        <w:rPr>
          <w:rFonts w:hint="eastAsia" w:ascii="仿宋" w:hAnsi="仿宋" w:eastAsia="仿宋" w:cs="仿宋"/>
          <w:sz w:val="32"/>
          <w:szCs w:val="32"/>
        </w:rPr>
        <w:t>万元：主要用于：人员基本工资，商品服务支出。较2022年度决算数</w:t>
      </w:r>
      <w:r>
        <w:rPr>
          <w:rFonts w:hint="eastAsia" w:ascii="仿宋" w:hAnsi="仿宋" w:eastAsia="仿宋" w:cs="仿宋"/>
          <w:sz w:val="32"/>
          <w:szCs w:val="32"/>
          <w:lang w:bidi="ar"/>
        </w:rPr>
        <w:t>增加25.07</w:t>
      </w:r>
      <w:r>
        <w:rPr>
          <w:rFonts w:hint="eastAsia" w:ascii="仿宋" w:hAnsi="仿宋" w:eastAsia="仿宋" w:cs="仿宋"/>
          <w:sz w:val="32"/>
          <w:szCs w:val="32"/>
        </w:rPr>
        <w:t>万元，</w:t>
      </w:r>
      <w:r>
        <w:rPr>
          <w:rFonts w:hint="eastAsia" w:ascii="仿宋" w:hAnsi="仿宋" w:eastAsia="仿宋" w:cs="仿宋"/>
          <w:sz w:val="32"/>
          <w:szCs w:val="32"/>
          <w:lang w:bidi="ar"/>
        </w:rPr>
        <w:t>增长9.5%</w:t>
      </w:r>
      <w:r>
        <w:rPr>
          <w:rFonts w:hint="eastAsia" w:ascii="仿宋" w:hAnsi="仿宋" w:eastAsia="仿宋" w:cs="仿宋"/>
          <w:sz w:val="32"/>
          <w:szCs w:val="32"/>
        </w:rPr>
        <w:t>，</w:t>
      </w:r>
      <w:r>
        <w:rPr>
          <w:rFonts w:hint="eastAsia" w:ascii="仿宋" w:hAnsi="仿宋" w:eastAsia="仿宋" w:cs="仿宋"/>
          <w:sz w:val="32"/>
          <w:szCs w:val="32"/>
          <w:lang w:bidi="ar"/>
        </w:rPr>
        <w:t>主要原因是：本部门2023年度新增4名公招教师控制数；2023年度调整基础性绩效工资增量标准。</w:t>
      </w:r>
    </w:p>
    <w:p>
      <w:pPr>
        <w:ind w:firstLine="640" w:firstLineChars="200"/>
        <w:jc w:val="left"/>
        <w:rPr>
          <w:rFonts w:hint="eastAsia" w:ascii="仿宋" w:hAnsi="仿宋" w:eastAsia="仿宋" w:cs="仿宋"/>
          <w:sz w:val="32"/>
          <w:szCs w:val="32"/>
          <w:lang w:bidi="ar"/>
        </w:rPr>
      </w:pPr>
      <w:r>
        <w:rPr>
          <w:rFonts w:hint="eastAsia" w:ascii="仿宋" w:hAnsi="仿宋" w:eastAsia="仿宋" w:cs="仿宋"/>
          <w:sz w:val="32"/>
          <w:szCs w:val="32"/>
        </w:rPr>
        <w:t>3</w:t>
      </w:r>
      <w:r>
        <w:rPr>
          <w:rFonts w:ascii="仿宋" w:hAnsi="仿宋" w:eastAsia="仿宋" w:cs="仿宋"/>
          <w:sz w:val="32"/>
        </w:rPr>
        <w:t>.</w:t>
      </w:r>
      <w:r>
        <w:rPr>
          <w:rFonts w:hint="eastAsia" w:ascii="仿宋" w:hAnsi="仿宋" w:eastAsia="仿宋" w:cs="仿宋"/>
          <w:sz w:val="32"/>
          <w:szCs w:val="32"/>
          <w:lang w:bidi="ar"/>
        </w:rPr>
        <w:t>社会保障和就业支出</w:t>
      </w:r>
      <w:r>
        <w:rPr>
          <w:rFonts w:hint="eastAsia" w:ascii="仿宋" w:hAnsi="仿宋" w:eastAsia="仿宋" w:cs="仿宋"/>
          <w:sz w:val="32"/>
          <w:szCs w:val="32"/>
        </w:rPr>
        <w:t>（</w:t>
      </w:r>
      <w:r>
        <w:rPr>
          <w:rFonts w:hint="eastAsia" w:ascii="仿宋" w:hAnsi="仿宋" w:eastAsia="仿宋" w:cs="仿宋"/>
          <w:sz w:val="32"/>
          <w:szCs w:val="32"/>
          <w:lang w:bidi="ar"/>
        </w:rPr>
        <w:t>208</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18.27</w:t>
      </w:r>
      <w:r>
        <w:rPr>
          <w:rFonts w:hint="eastAsia" w:ascii="仿宋" w:hAnsi="仿宋" w:eastAsia="仿宋" w:cs="仿宋"/>
          <w:sz w:val="32"/>
          <w:szCs w:val="32"/>
        </w:rPr>
        <w:t>万元：主要用于：本部门2023年度教职工基本养老保险缴费支出。较2022年度决算数</w:t>
      </w:r>
      <w:r>
        <w:rPr>
          <w:rFonts w:hint="eastAsia" w:ascii="仿宋" w:hAnsi="仿宋" w:eastAsia="仿宋" w:cs="仿宋"/>
          <w:sz w:val="32"/>
          <w:szCs w:val="32"/>
          <w:lang w:bidi="ar"/>
        </w:rPr>
        <w:t>增加6.97</w:t>
      </w:r>
      <w:r>
        <w:rPr>
          <w:rFonts w:hint="eastAsia" w:ascii="仿宋" w:hAnsi="仿宋" w:eastAsia="仿宋" w:cs="仿宋"/>
          <w:sz w:val="32"/>
          <w:szCs w:val="32"/>
        </w:rPr>
        <w:t>万元，</w:t>
      </w:r>
      <w:r>
        <w:rPr>
          <w:rFonts w:hint="eastAsia" w:ascii="仿宋" w:hAnsi="仿宋" w:eastAsia="仿宋" w:cs="仿宋"/>
          <w:sz w:val="32"/>
          <w:szCs w:val="32"/>
          <w:lang w:bidi="ar"/>
        </w:rPr>
        <w:t>增长61.68%</w:t>
      </w:r>
      <w:r>
        <w:rPr>
          <w:rFonts w:hint="eastAsia" w:ascii="仿宋" w:hAnsi="仿宋" w:eastAsia="仿宋" w:cs="仿宋"/>
          <w:sz w:val="32"/>
          <w:szCs w:val="32"/>
        </w:rPr>
        <w:t>，</w:t>
      </w:r>
      <w:r>
        <w:rPr>
          <w:rFonts w:hint="eastAsia" w:ascii="仿宋" w:hAnsi="仿宋" w:eastAsia="仿宋" w:cs="仿宋"/>
          <w:sz w:val="32"/>
          <w:szCs w:val="32"/>
          <w:lang w:bidi="ar"/>
        </w:rPr>
        <w:t>主要原因是：本部门2023年度新增4名公招教师控制数；2023年度调整缴费基数。</w:t>
      </w:r>
    </w:p>
    <w:p>
      <w:pPr>
        <w:ind w:firstLine="640" w:firstLineChars="200"/>
        <w:jc w:val="left"/>
        <w:rPr>
          <w:rFonts w:hint="eastAsia" w:ascii="仿宋" w:hAnsi="仿宋" w:eastAsia="仿宋" w:cs="仿宋"/>
          <w:sz w:val="32"/>
          <w:szCs w:val="32"/>
          <w:lang w:bidi="ar"/>
        </w:rPr>
      </w:pPr>
      <w:r>
        <w:rPr>
          <w:rFonts w:hint="eastAsia" w:ascii="仿宋" w:hAnsi="仿宋" w:eastAsia="仿宋" w:cs="仿宋"/>
          <w:sz w:val="32"/>
          <w:szCs w:val="32"/>
        </w:rPr>
        <w:t>4</w:t>
      </w:r>
      <w:r>
        <w:rPr>
          <w:rFonts w:ascii="仿宋" w:hAnsi="仿宋" w:eastAsia="仿宋" w:cs="仿宋"/>
          <w:sz w:val="32"/>
        </w:rPr>
        <w:t>.</w:t>
      </w:r>
      <w:r>
        <w:rPr>
          <w:rFonts w:hint="eastAsia" w:ascii="仿宋" w:hAnsi="仿宋" w:eastAsia="仿宋" w:cs="仿宋"/>
          <w:sz w:val="32"/>
          <w:szCs w:val="32"/>
          <w:lang w:bidi="ar"/>
        </w:rPr>
        <w:t>住房保障支出</w:t>
      </w:r>
      <w:r>
        <w:rPr>
          <w:rFonts w:hint="eastAsia" w:ascii="仿宋" w:hAnsi="仿宋" w:eastAsia="仿宋" w:cs="仿宋"/>
          <w:sz w:val="32"/>
          <w:szCs w:val="32"/>
        </w:rPr>
        <w:t>（</w:t>
      </w:r>
      <w:r>
        <w:rPr>
          <w:rFonts w:hint="eastAsia" w:ascii="仿宋" w:hAnsi="仿宋" w:eastAsia="仿宋" w:cs="仿宋"/>
          <w:sz w:val="32"/>
          <w:szCs w:val="32"/>
          <w:lang w:bidi="ar"/>
        </w:rPr>
        <w:t>221</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13.45</w:t>
      </w:r>
      <w:r>
        <w:rPr>
          <w:rFonts w:hint="eastAsia" w:ascii="仿宋" w:hAnsi="仿宋" w:eastAsia="仿宋" w:cs="仿宋"/>
          <w:sz w:val="32"/>
          <w:szCs w:val="32"/>
        </w:rPr>
        <w:t>万元：主要用于：本部门2023年度教职工住房公积金支出。较2022年度决算数</w:t>
      </w:r>
      <w:r>
        <w:rPr>
          <w:rFonts w:hint="eastAsia" w:ascii="仿宋" w:hAnsi="仿宋" w:eastAsia="仿宋" w:cs="仿宋"/>
          <w:sz w:val="32"/>
          <w:szCs w:val="32"/>
          <w:lang w:bidi="ar"/>
        </w:rPr>
        <w:t>增加6.11</w:t>
      </w:r>
      <w:r>
        <w:rPr>
          <w:rFonts w:hint="eastAsia" w:ascii="仿宋" w:hAnsi="仿宋" w:eastAsia="仿宋" w:cs="仿宋"/>
          <w:sz w:val="32"/>
          <w:szCs w:val="32"/>
        </w:rPr>
        <w:t>万元，</w:t>
      </w:r>
      <w:r>
        <w:rPr>
          <w:rFonts w:hint="eastAsia" w:ascii="仿宋" w:hAnsi="仿宋" w:eastAsia="仿宋" w:cs="仿宋"/>
          <w:sz w:val="32"/>
          <w:szCs w:val="32"/>
          <w:lang w:bidi="ar"/>
        </w:rPr>
        <w:t>增长83.24%</w:t>
      </w:r>
      <w:r>
        <w:rPr>
          <w:rFonts w:hint="eastAsia" w:ascii="仿宋" w:hAnsi="仿宋" w:eastAsia="仿宋" w:cs="仿宋"/>
          <w:sz w:val="32"/>
          <w:szCs w:val="32"/>
        </w:rPr>
        <w:t>，</w:t>
      </w:r>
      <w:r>
        <w:rPr>
          <w:rFonts w:hint="eastAsia" w:ascii="仿宋" w:hAnsi="仿宋" w:eastAsia="仿宋" w:cs="仿宋"/>
          <w:sz w:val="32"/>
          <w:szCs w:val="32"/>
          <w:lang w:bidi="ar"/>
        </w:rPr>
        <w:t>主要原因是本部门2023年度新增4名公招教师控制数；2023年度调整缴费基数。</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rPr>
        <w:t>.</w:t>
      </w:r>
      <w:r>
        <w:rPr>
          <w:rFonts w:hint="eastAsia" w:ascii="仿宋" w:hAnsi="仿宋" w:eastAsia="仿宋" w:cs="仿宋"/>
          <w:sz w:val="32"/>
          <w:szCs w:val="32"/>
          <w:lang w:bidi="ar"/>
        </w:rPr>
        <w:t>其他支出</w:t>
      </w:r>
      <w:r>
        <w:rPr>
          <w:rFonts w:hint="eastAsia" w:ascii="仿宋" w:hAnsi="仿宋" w:eastAsia="仿宋" w:cs="仿宋"/>
          <w:sz w:val="32"/>
          <w:szCs w:val="32"/>
        </w:rPr>
        <w:t>（</w:t>
      </w:r>
      <w:r>
        <w:rPr>
          <w:rFonts w:hint="eastAsia" w:ascii="仿宋" w:hAnsi="仿宋" w:eastAsia="仿宋" w:cs="仿宋"/>
          <w:sz w:val="32"/>
          <w:szCs w:val="32"/>
          <w:lang w:bidi="ar"/>
        </w:rPr>
        <w:t>229</w:t>
      </w:r>
      <w:r>
        <w:rPr>
          <w:rFonts w:ascii="Calibri" w:hAnsi="Calibri" w:eastAsia="宋体" w:cs="Times New Roman"/>
          <w:lang w:bidi="ar"/>
        </w:rPr>
        <w:t xml:space="preserve"> </w:t>
      </w:r>
      <w:r>
        <w:rPr>
          <w:rFonts w:hint="eastAsia" w:ascii="仿宋" w:hAnsi="仿宋" w:eastAsia="仿宋" w:cs="仿宋"/>
          <w:sz w:val="32"/>
          <w:szCs w:val="32"/>
        </w:rPr>
        <w:t>类）</w:t>
      </w:r>
      <w:r>
        <w:rPr>
          <w:rFonts w:hint="eastAsia" w:ascii="仿宋" w:hAnsi="仿宋" w:eastAsia="仿宋" w:cs="仿宋"/>
          <w:sz w:val="32"/>
          <w:szCs w:val="32"/>
          <w:lang w:bidi="ar"/>
        </w:rPr>
        <w:t>18.62</w:t>
      </w:r>
      <w:r>
        <w:rPr>
          <w:rFonts w:hint="eastAsia" w:ascii="仿宋" w:hAnsi="仿宋" w:eastAsia="仿宋" w:cs="仿宋"/>
          <w:sz w:val="32"/>
          <w:szCs w:val="32"/>
        </w:rPr>
        <w:t>万元：主要用于：其他工资福利支出。较2022年度决算数</w:t>
      </w:r>
      <w:r>
        <w:rPr>
          <w:rFonts w:hint="eastAsia" w:ascii="仿宋" w:hAnsi="仿宋" w:eastAsia="仿宋" w:cs="仿宋"/>
          <w:sz w:val="32"/>
          <w:szCs w:val="32"/>
          <w:lang w:bidi="ar"/>
        </w:rPr>
        <w:t>增加12</w:t>
      </w:r>
      <w:r>
        <w:rPr>
          <w:rFonts w:hint="eastAsia" w:ascii="仿宋" w:hAnsi="仿宋" w:eastAsia="仿宋" w:cs="仿宋"/>
          <w:sz w:val="32"/>
          <w:szCs w:val="32"/>
        </w:rPr>
        <w:t>万元，</w:t>
      </w:r>
      <w:r>
        <w:rPr>
          <w:rFonts w:hint="eastAsia" w:ascii="仿宋" w:hAnsi="仿宋" w:eastAsia="仿宋" w:cs="仿宋"/>
          <w:sz w:val="32"/>
          <w:szCs w:val="32"/>
          <w:lang w:bidi="ar"/>
        </w:rPr>
        <w:t>增长181.27%</w:t>
      </w:r>
      <w:r>
        <w:rPr>
          <w:rFonts w:hint="eastAsia" w:ascii="仿宋" w:hAnsi="仿宋" w:eastAsia="仿宋" w:cs="仿宋"/>
          <w:sz w:val="32"/>
          <w:szCs w:val="32"/>
        </w:rPr>
        <w:t>，</w:t>
      </w:r>
      <w:r>
        <w:rPr>
          <w:rFonts w:hint="eastAsia" w:ascii="仿宋" w:hAnsi="仿宋" w:eastAsia="仿宋" w:cs="仿宋"/>
          <w:sz w:val="32"/>
          <w:szCs w:val="32"/>
          <w:lang w:bidi="ar"/>
        </w:rPr>
        <w:t>主要原因是：发放2022年奖励性补贴。</w:t>
      </w:r>
    </w:p>
    <w:p>
      <w:pPr>
        <w:ind w:firstLine="620" w:firstLineChars="200"/>
        <w:jc w:val="left"/>
        <w:rPr>
          <w:rFonts w:hint="eastAsia" w:ascii="仿宋" w:hAnsi="仿宋" w:eastAsia="仿宋_GB2312" w:cs="仿宋"/>
          <w:sz w:val="32"/>
          <w:szCs w:val="32"/>
          <w:lang w:bidi="ar"/>
        </w:rPr>
      </w:pPr>
      <w:r>
        <w:rPr>
          <w:rFonts w:ascii="仿宋_GB2312" w:hAnsi="微软雅黑" w:eastAsia="仿宋_GB2312" w:cs="仿宋_GB2312"/>
          <w:sz w:val="31"/>
          <w:szCs w:val="31"/>
          <w:shd w:val="clear" w:color="auto" w:fill="FFFFFF"/>
        </w:rPr>
        <w:t>结余分配</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万元，为事业单位按规定提取的专用结余、缴纳所得税和转入非财政拨款结余等。较202</w:t>
      </w:r>
      <w:r>
        <w:rPr>
          <w:rFonts w:hint="eastAsia" w:ascii="仿宋_GB2312" w:hAnsi="微软雅黑" w:eastAsia="仿宋_GB2312" w:cs="仿宋_GB2312"/>
          <w:sz w:val="31"/>
          <w:szCs w:val="31"/>
          <w:shd w:val="clear" w:color="auto" w:fill="FFFFFF"/>
        </w:rPr>
        <w:t>2</w:t>
      </w:r>
      <w:r>
        <w:rPr>
          <w:rFonts w:ascii="仿宋_GB2312" w:hAnsi="微软雅黑" w:eastAsia="仿宋_GB2312" w:cs="仿宋_GB2312"/>
          <w:sz w:val="31"/>
          <w:szCs w:val="31"/>
          <w:shd w:val="clear" w:color="auto" w:fill="FFFFFF"/>
        </w:rPr>
        <w:t>年决算</w:t>
      </w:r>
      <w:r>
        <w:rPr>
          <w:rFonts w:hint="eastAsia" w:ascii="仿宋_GB2312" w:hAnsi="微软雅黑" w:eastAsia="仿宋_GB2312" w:cs="仿宋_GB2312"/>
          <w:sz w:val="31"/>
          <w:szCs w:val="31"/>
          <w:shd w:val="clear" w:color="auto" w:fill="FFFFFF"/>
        </w:rPr>
        <w:t>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,增加0.00</w:t>
      </w:r>
      <w:r>
        <w:rPr>
          <w:rFonts w:ascii="仿宋_GB2312" w:hAnsi="微软雅黑" w:eastAsia="仿宋_GB2312" w:cs="仿宋_GB2312"/>
          <w:sz w:val="31"/>
          <w:szCs w:val="31"/>
          <w:shd w:val="clear" w:color="auto" w:fill="FFFFFF"/>
        </w:rPr>
        <w:t>万元，</w:t>
      </w:r>
      <w:r>
        <w:rPr>
          <w:rFonts w:hint="eastAsia" w:ascii="仿宋_GB2312" w:hAnsi="微软雅黑" w:eastAsia="仿宋_GB2312" w:cs="仿宋_GB2312"/>
          <w:sz w:val="31"/>
          <w:szCs w:val="31"/>
          <w:shd w:val="clear" w:color="auto" w:fill="FFFFFF"/>
        </w:rPr>
        <w:t>增长0%</w:t>
      </w:r>
      <w:r>
        <w:rPr>
          <w:rFonts w:ascii="仿宋_GB2312" w:hAnsi="微软雅黑" w:eastAsia="仿宋_GB2312" w:cs="仿宋_GB2312"/>
          <w:sz w:val="31"/>
          <w:szCs w:val="31"/>
          <w:shd w:val="clear" w:color="auto" w:fill="FFFFFF"/>
        </w:rPr>
        <w:t>，主要原因是</w:t>
      </w:r>
      <w:r>
        <w:rPr>
          <w:rFonts w:hint="eastAsia" w:ascii="仿宋" w:hAnsi="仿宋" w:eastAsia="仿宋" w:cs="仿宋"/>
          <w:sz w:val="32"/>
          <w:szCs w:val="32"/>
          <w:lang w:bidi="ar"/>
        </w:rPr>
        <w:t>：</w:t>
      </w:r>
      <w:bookmarkStart w:id="3" w:name="_Hlk151197655"/>
      <w:r>
        <w:rPr>
          <w:rFonts w:hint="eastAsia" w:ascii="仿宋" w:hAnsi="仿宋" w:eastAsia="仿宋" w:cs="仿宋"/>
          <w:sz w:val="32"/>
          <w:szCs w:val="32"/>
          <w:lang w:bidi="ar"/>
        </w:rPr>
        <w:t>本部门2023年度无结余分配资金。</w:t>
      </w:r>
      <w:bookmarkEnd w:id="3"/>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年末结转和结余</w:t>
      </w:r>
      <w:r>
        <w:rPr>
          <w:rFonts w:ascii="仿宋" w:hAnsi="仿宋" w:eastAsia="仿宋" w:cs="仿宋"/>
          <w:sz w:val="32"/>
        </w:rPr>
        <w:t>0.00</w:t>
      </w:r>
      <w:r>
        <w:rPr>
          <w:rFonts w:hint="eastAsia" w:ascii="仿宋" w:hAnsi="仿宋" w:eastAsia="仿宋" w:cs="仿宋"/>
          <w:sz w:val="32"/>
          <w:szCs w:val="32"/>
        </w:rPr>
        <w:t>万元，为本年度或以前年度预算安排、因客观条件发生变化无法按原计划实施，需要延迟到以后年度按有关规定继续使用的资金。较2022年度决算数</w:t>
      </w:r>
      <w:r>
        <w:rPr>
          <w:rFonts w:ascii="仿宋" w:hAnsi="仿宋" w:eastAsia="仿宋" w:cs="仿宋"/>
          <w:sz w:val="32"/>
        </w:rPr>
        <w:t>增加0.00</w:t>
      </w:r>
      <w:r>
        <w:rPr>
          <w:rFonts w:hint="eastAsia" w:ascii="仿宋" w:hAnsi="仿宋" w:eastAsia="仿宋" w:cs="仿宋"/>
          <w:sz w:val="32"/>
          <w:szCs w:val="32"/>
        </w:rPr>
        <w:t>万元，</w:t>
      </w:r>
      <w:r>
        <w:rPr>
          <w:rFonts w:ascii="仿宋" w:hAnsi="仿宋" w:eastAsia="仿宋" w:cs="仿宋"/>
          <w:sz w:val="32"/>
        </w:rPr>
        <w:t>增长0%</w:t>
      </w:r>
      <w:r>
        <w:rPr>
          <w:rFonts w:hint="eastAsia" w:ascii="仿宋" w:hAnsi="仿宋" w:eastAsia="仿宋" w:cs="仿宋"/>
          <w:sz w:val="32"/>
          <w:szCs w:val="32"/>
        </w:rPr>
        <w:t>，</w:t>
      </w:r>
      <w:r>
        <w:rPr>
          <w:rFonts w:hint="eastAsia" w:ascii="仿宋" w:hAnsi="仿宋" w:eastAsia="仿宋" w:cs="仿宋"/>
          <w:sz w:val="32"/>
          <w:szCs w:val="32"/>
          <w:lang w:bidi="ar"/>
        </w:rPr>
        <w:t>主要原因是：本部门2023年度无结余分配资金。</w:t>
      </w:r>
      <w:bookmarkStart w:id="11" w:name="_GoBack"/>
      <w:r>
        <w:rPr>
          <w:rFonts w:ascii="宋体" w:hAnsi="宋体" w:eastAsia="宋体" w:cs="宋体"/>
          <w:sz w:val="24"/>
          <w:szCs w:val="24"/>
        </w:rPr>
        <w:drawing>
          <wp:inline distT="0" distB="0" distL="114300" distR="114300">
            <wp:extent cx="4959985" cy="5177155"/>
            <wp:effectExtent l="0" t="0" r="12065"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7"/>
                    <a:stretch>
                      <a:fillRect/>
                    </a:stretch>
                  </pic:blipFill>
                  <pic:spPr>
                    <a:xfrm>
                      <a:off x="0" y="0"/>
                      <a:ext cx="4959985" cy="5177155"/>
                    </a:xfrm>
                    <a:prstGeom prst="rect">
                      <a:avLst/>
                    </a:prstGeom>
                    <a:noFill/>
                    <a:ln w="9525">
                      <a:noFill/>
                    </a:ln>
                  </pic:spPr>
                </pic:pic>
              </a:graphicData>
            </a:graphic>
          </wp:inline>
        </w:drawing>
      </w:r>
      <w:bookmarkEnd w:id="11"/>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二、2023 年度</w:t>
      </w:r>
      <w:bookmarkStart w:id="4" w:name="OLE_LINK1"/>
      <w:r>
        <w:rPr>
          <w:rFonts w:hint="eastAsia" w:ascii="黑体" w:hAnsi="黑体" w:eastAsia="黑体" w:cs="黑体"/>
          <w:sz w:val="32"/>
          <w:szCs w:val="32"/>
        </w:rPr>
        <w:t>一般公共预算财政拨款支出决算情况</w:t>
      </w:r>
      <w:bookmarkEnd w:id="4"/>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环江毛南族自治县第三幼儿园2023年度一般公共预算财政拨款支出</w:t>
      </w:r>
      <w:r>
        <w:rPr>
          <w:rFonts w:hint="eastAsia" w:ascii="仿宋" w:hAnsi="仿宋" w:eastAsia="仿宋" w:cs="仿宋"/>
          <w:sz w:val="32"/>
        </w:rPr>
        <w:t>342.09</w:t>
      </w:r>
      <w:r>
        <w:rPr>
          <w:rFonts w:hint="eastAsia" w:ascii="仿宋" w:hAnsi="仿宋" w:eastAsia="仿宋" w:cs="仿宋"/>
          <w:sz w:val="32"/>
          <w:szCs w:val="32"/>
        </w:rPr>
        <w:t>万元，较2022年度决算数</w:t>
      </w:r>
      <w:r>
        <w:rPr>
          <w:rFonts w:ascii="仿宋" w:hAnsi="仿宋" w:eastAsia="仿宋" w:cs="仿宋"/>
          <w:sz w:val="32"/>
        </w:rPr>
        <w:t>增加</w:t>
      </w:r>
      <w:r>
        <w:rPr>
          <w:rFonts w:hint="eastAsia" w:ascii="仿宋" w:hAnsi="仿宋" w:eastAsia="仿宋" w:cs="仿宋"/>
          <w:sz w:val="32"/>
        </w:rPr>
        <w:t>51.26万元，增长17.63%</w:t>
      </w:r>
      <w:r>
        <w:rPr>
          <w:rFonts w:hint="eastAsia" w:ascii="仿宋" w:hAnsi="仿宋" w:eastAsia="仿宋" w:cs="仿宋"/>
          <w:sz w:val="32"/>
          <w:szCs w:val="32"/>
        </w:rPr>
        <w:t>。其中：基本支出</w:t>
      </w:r>
      <w:r>
        <w:rPr>
          <w:rFonts w:hint="eastAsia" w:ascii="仿宋" w:hAnsi="仿宋" w:eastAsia="仿宋" w:cs="仿宋"/>
          <w:sz w:val="32"/>
        </w:rPr>
        <w:t>185.2</w:t>
      </w:r>
      <w:r>
        <w:rPr>
          <w:rFonts w:hint="eastAsia" w:ascii="仿宋" w:hAnsi="仿宋" w:eastAsia="仿宋" w:cs="仿宋"/>
          <w:sz w:val="32"/>
          <w:szCs w:val="32"/>
        </w:rPr>
        <w:t>万元，项目支出</w:t>
      </w:r>
      <w:r>
        <w:rPr>
          <w:rFonts w:hint="eastAsia" w:ascii="仿宋" w:hAnsi="仿宋" w:eastAsia="仿宋" w:cs="仿宋"/>
          <w:sz w:val="32"/>
        </w:rPr>
        <w:t>156.89</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环江毛南族自治县第三幼儿园2023 年度一般公共预算财政拨款支出年初预算为</w:t>
      </w:r>
      <w:r>
        <w:rPr>
          <w:rFonts w:hint="eastAsia" w:ascii="仿宋" w:hAnsi="仿宋" w:eastAsia="仿宋" w:cs="仿宋"/>
          <w:sz w:val="32"/>
        </w:rPr>
        <w:t>263.99</w:t>
      </w:r>
      <w:r>
        <w:rPr>
          <w:rFonts w:hint="eastAsia" w:ascii="仿宋" w:hAnsi="仿宋" w:eastAsia="仿宋" w:cs="仿宋"/>
          <w:sz w:val="32"/>
          <w:szCs w:val="32"/>
        </w:rPr>
        <w:t>万元，支出决算为</w:t>
      </w:r>
      <w:r>
        <w:rPr>
          <w:rFonts w:hint="eastAsia" w:ascii="仿宋" w:hAnsi="仿宋" w:eastAsia="仿宋" w:cs="仿宋"/>
          <w:sz w:val="32"/>
        </w:rPr>
        <w:t>342.09</w:t>
      </w:r>
      <w:r>
        <w:rPr>
          <w:rFonts w:hint="eastAsia" w:ascii="仿宋" w:hAnsi="仿宋" w:eastAsia="仿宋" w:cs="仿宋"/>
          <w:sz w:val="32"/>
          <w:szCs w:val="32"/>
        </w:rPr>
        <w:t>万元，完成年初预算的</w:t>
      </w:r>
      <w:r>
        <w:rPr>
          <w:rFonts w:hint="eastAsia" w:ascii="仿宋" w:hAnsi="仿宋" w:eastAsia="仿宋" w:cs="仿宋"/>
          <w:sz w:val="32"/>
        </w:rPr>
        <w:t>129.58</w:t>
      </w:r>
      <w:r>
        <w:rPr>
          <w:rFonts w:ascii="仿宋" w:hAnsi="仿宋" w:eastAsia="仿宋" w:cs="仿宋"/>
          <w:sz w:val="32"/>
        </w:rPr>
        <w:t>%</w:t>
      </w:r>
      <w:r>
        <w:rPr>
          <w:rFonts w:hint="eastAsia" w:ascii="仿宋" w:hAnsi="仿宋" w:eastAsia="仿宋" w:cs="仿宋"/>
          <w:sz w:val="32"/>
          <w:szCs w:val="32"/>
        </w:rPr>
        <w:t>。</w:t>
      </w:r>
      <w:bookmarkStart w:id="5" w:name="OLE_LINK2"/>
      <w:bookmarkEnd w:id="5"/>
    </w:p>
    <w:p>
      <w:pPr>
        <w:numPr>
          <w:ilvl w:val="0"/>
          <w:numId w:val="1"/>
        </w:numPr>
        <w:jc w:val="left"/>
        <w:rPr>
          <w:rFonts w:eastAsia="仿宋"/>
        </w:rPr>
      </w:pPr>
      <w:r>
        <w:rPr>
          <w:rFonts w:hint="eastAsia" w:ascii="仿宋" w:hAnsi="仿宋" w:eastAsia="仿宋"/>
          <w:sz w:val="32"/>
          <w:szCs w:val="32"/>
        </w:rPr>
        <w:t>一般公共服务支出</w:t>
      </w:r>
      <w:r>
        <w:rPr>
          <w:rFonts w:ascii="仿宋" w:hAnsi="仿宋" w:eastAsia="仿宋"/>
          <w:sz w:val="32"/>
        </w:rPr>
        <w:t>（201</w:t>
      </w:r>
      <w:r>
        <w:rPr>
          <w:rFonts w:hint="eastAsia" w:ascii="仿宋" w:hAnsi="仿宋" w:eastAsia="仿宋"/>
          <w:sz w:val="32"/>
          <w:szCs w:val="32"/>
        </w:rPr>
        <w:t>类）年初预算为2.55万元，支出决算为2.55万元，完成年初预算的</w:t>
      </w:r>
      <w:r>
        <w:rPr>
          <w:rFonts w:ascii="仿宋" w:hAnsi="仿宋" w:eastAsia="仿宋"/>
          <w:sz w:val="32"/>
          <w:szCs w:val="32"/>
        </w:rPr>
        <w:t>100.00%</w:t>
      </w:r>
      <w:r>
        <w:rPr>
          <w:rFonts w:hint="eastAsia" w:ascii="仿宋" w:hAnsi="仿宋" w:eastAsia="仿宋"/>
          <w:sz w:val="32"/>
          <w:szCs w:val="32"/>
        </w:rPr>
        <w:t>。</w:t>
      </w:r>
      <w:r>
        <w:rPr>
          <w:rFonts w:hint="eastAsia" w:ascii="仿宋" w:hAnsi="仿宋" w:eastAsia="仿宋"/>
          <w:color w:val="000000" w:themeColor="text1"/>
          <w:sz w:val="32"/>
          <w:szCs w:val="32"/>
          <w14:textFill>
            <w14:solidFill>
              <w14:schemeClr w14:val="tx1"/>
            </w14:solidFill>
          </w14:textFill>
        </w:rPr>
        <w:t>预决算存有差异原因是：</w:t>
      </w:r>
      <w:r>
        <w:rPr>
          <w:rFonts w:hint="eastAsia" w:ascii="仿宋" w:hAnsi="仿宋" w:eastAsia="仿宋" w:cs="仿宋"/>
          <w:sz w:val="32"/>
          <w:szCs w:val="32"/>
          <w:lang w:bidi="ar"/>
        </w:rPr>
        <w:t>无差异。</w:t>
      </w:r>
    </w:p>
    <w:p>
      <w:pPr>
        <w:jc w:val="left"/>
        <w:rPr>
          <w:rFonts w:hint="eastAsia"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仿宋" w:hAnsi="仿宋" w:eastAsia="仿宋" w:cs="仿宋"/>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2.55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仿宋" w:hAnsi="仿宋" w:eastAsia="仿宋" w:cs="仿宋"/>
                <w:szCs w:val="21"/>
              </w:rPr>
              <w:t>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p>
    <w:p>
      <w:pPr>
        <w:jc w:val="left"/>
        <w:rPr>
          <w:rFonts w:hint="eastAsia" w:ascii="仿宋" w:hAnsi="仿宋" w:eastAsia="仿宋"/>
          <w:sz w:val="32"/>
          <w:szCs w:val="32"/>
        </w:rPr>
      </w:pPr>
      <w:r>
        <w:rPr>
          <w:rFonts w:hint="eastAsia" w:ascii="仿宋" w:hAnsi="仿宋" w:eastAsia="仿宋"/>
          <w:sz w:val="32"/>
          <w:szCs w:val="32"/>
        </w:rPr>
        <w:drawing>
          <wp:inline distT="0" distB="0" distL="0" distR="0">
            <wp:extent cx="5106035" cy="3042285"/>
            <wp:effectExtent l="0" t="0" r="0" b="5715"/>
            <wp:docPr id="17559849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84974"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108194" cy="3043360"/>
                    </a:xfrm>
                    <a:prstGeom prst="rect">
                      <a:avLst/>
                    </a:prstGeom>
                    <a:noFill/>
                  </pic:spPr>
                </pic:pic>
              </a:graphicData>
            </a:graphic>
          </wp:inline>
        </w:drawing>
      </w:r>
    </w:p>
    <w:p>
      <w:pPr>
        <w:jc w:val="center"/>
        <w:rPr>
          <w:rFonts w:hint="eastAsia" w:ascii="仿宋" w:hAnsi="仿宋" w:eastAsia="仿宋"/>
          <w:sz w:val="32"/>
          <w:szCs w:val="32"/>
        </w:rPr>
      </w:pPr>
    </w:p>
    <w:p>
      <w:pPr>
        <w:numPr>
          <w:ilvl w:val="0"/>
          <w:numId w:val="1"/>
        </w:numPr>
        <w:jc w:val="left"/>
        <w:rPr>
          <w:rFonts w:eastAsia="仿宋"/>
        </w:rPr>
      </w:pPr>
      <w:r>
        <w:rPr>
          <w:rFonts w:hint="eastAsia" w:ascii="仿宋" w:hAnsi="仿宋" w:eastAsia="仿宋"/>
          <w:sz w:val="32"/>
          <w:szCs w:val="32"/>
        </w:rPr>
        <w:t>教育支出</w:t>
      </w:r>
      <w:r>
        <w:rPr>
          <w:rFonts w:ascii="仿宋" w:hAnsi="仿宋" w:eastAsia="仿宋"/>
          <w:sz w:val="32"/>
        </w:rPr>
        <w:t>（205</w:t>
      </w:r>
      <w:r>
        <w:rPr>
          <w:rFonts w:hint="eastAsia" w:ascii="仿宋" w:hAnsi="仿宋" w:eastAsia="仿宋"/>
          <w:sz w:val="32"/>
          <w:szCs w:val="32"/>
        </w:rPr>
        <w:t>类）年初预算为248.77万元，支出决算为289.21万元，完成年初预算的116.25</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lang w:bidi="ar"/>
        </w:rPr>
        <w:t>人员增加，调整工资标准。</w:t>
      </w:r>
    </w:p>
    <w:p>
      <w:pPr>
        <w:jc w:val="left"/>
        <w:rPr>
          <w:rFonts w:hint="eastAsia"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244.98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288.94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135.07%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仿宋" w:hAnsi="仿宋" w:eastAsia="仿宋" w:cs="仿宋"/>
                <w:szCs w:val="21"/>
              </w:rPr>
              <w:t>人员基本工资，商品服务支出。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仿宋" w:hAnsi="仿宋" w:eastAsia="仿宋" w:cs="仿宋"/>
                <w:sz w:val="18"/>
                <w:szCs w:val="18"/>
              </w:rPr>
              <w:t>人员增加，调整基础性绩效工资增量标准。</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0.27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仿宋" w:hAnsi="仿宋" w:eastAsia="仿宋" w:cs="仿宋"/>
                <w:szCs w:val="21"/>
                <w:lang w:val="en-US" w:eastAsia="zh-CN"/>
              </w:rPr>
              <w:t>园长</w:t>
            </w:r>
            <w:r>
              <w:rPr>
                <w:rFonts w:hint="eastAsia" w:ascii="仿宋" w:hAnsi="仿宋" w:eastAsia="仿宋" w:cs="仿宋"/>
                <w:szCs w:val="21"/>
              </w:rPr>
              <w:t>绩效工资支出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此部分资金由上级部门做预算直接下达，本部门无需做预算。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248.77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289.21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116.25%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p>
    <w:p>
      <w:pPr>
        <w:jc w:val="left"/>
        <w:rPr>
          <w:rFonts w:hint="eastAsia" w:ascii="仿宋" w:hAnsi="仿宋" w:eastAsia="仿宋"/>
          <w:sz w:val="32"/>
          <w:szCs w:val="32"/>
        </w:rPr>
      </w:pPr>
      <w:r>
        <w:rPr>
          <w:rFonts w:hint="eastAsia" w:ascii="仿宋" w:hAnsi="仿宋" w:eastAsia="仿宋"/>
          <w:sz w:val="32"/>
          <w:szCs w:val="32"/>
        </w:rPr>
        <w:drawing>
          <wp:inline distT="0" distB="0" distL="0" distR="0">
            <wp:extent cx="5295900" cy="4822825"/>
            <wp:effectExtent l="0" t="0" r="0" b="15875"/>
            <wp:docPr id="33272260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22600"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01933" cy="4822825"/>
                    </a:xfrm>
                    <a:prstGeom prst="rect">
                      <a:avLst/>
                    </a:prstGeom>
                    <a:noFill/>
                  </pic:spPr>
                </pic:pic>
              </a:graphicData>
            </a:graphic>
          </wp:inline>
        </w:drawing>
      </w:r>
    </w:p>
    <w:p>
      <w:pPr>
        <w:numPr>
          <w:ilvl w:val="0"/>
          <w:numId w:val="1"/>
        </w:numPr>
        <w:jc w:val="left"/>
        <w:rPr>
          <w:rFonts w:eastAsia="仿宋"/>
        </w:rPr>
      </w:pPr>
      <w:r>
        <w:rPr>
          <w:rFonts w:hint="eastAsia" w:ascii="仿宋" w:hAnsi="仿宋" w:eastAsia="仿宋"/>
          <w:sz w:val="32"/>
          <w:szCs w:val="32"/>
        </w:rPr>
        <w:t>社会保障和就业支出</w:t>
      </w:r>
      <w:r>
        <w:rPr>
          <w:rFonts w:ascii="仿宋" w:hAnsi="仿宋" w:eastAsia="仿宋"/>
          <w:sz w:val="32"/>
        </w:rPr>
        <w:t>（208</w:t>
      </w:r>
      <w:r>
        <w:rPr>
          <w:rFonts w:hint="eastAsia" w:ascii="仿宋" w:hAnsi="仿宋" w:eastAsia="仿宋"/>
          <w:sz w:val="32"/>
          <w:szCs w:val="32"/>
        </w:rPr>
        <w:t>类）年初预算为21.11万元，支出决算为18.27万元，完成年初预算的86.55</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lang w:bidi="ar"/>
        </w:rPr>
        <w:t>年初预算缴费基数过高。</w:t>
      </w:r>
    </w:p>
    <w:p>
      <w:pPr>
        <w:jc w:val="left"/>
        <w:rPr>
          <w:rFonts w:hint="eastAsia"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21.11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18.27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86.55%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教职工基本养老保险缴费支出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hint="eastAsia" w:ascii="宋体" w:hAnsi="宋体" w:eastAsia="宋体" w:cs="宋体"/>
                <w:sz w:val="18"/>
                <w:szCs w:val="18"/>
              </w:rPr>
            </w:pPr>
            <w:bookmarkStart w:id="6" w:name="_Hlk151198286"/>
            <w:r>
              <w:rPr>
                <w:rFonts w:hint="eastAsia" w:ascii="仿宋" w:hAnsi="仿宋" w:eastAsia="仿宋" w:cs="仿宋"/>
                <w:sz w:val="18"/>
                <w:szCs w:val="18"/>
              </w:rPr>
              <w:t>年初预算缴费基数过高。</w:t>
            </w:r>
            <w:bookmarkEnd w:id="6"/>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sz w:val="18"/>
                <w:szCs w:val="18"/>
              </w:rPr>
              <w:t>21.11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sz w:val="18"/>
                <w:szCs w:val="18"/>
              </w:rPr>
              <w:t>18.27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86.55%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r>
        <w:rPr>
          <w:rFonts w:hint="eastAsia" w:ascii="仿宋" w:hAnsi="仿宋" w:eastAsia="仿宋"/>
          <w:sz w:val="32"/>
          <w:szCs w:val="32"/>
        </w:rPr>
        <w:drawing>
          <wp:inline distT="0" distB="0" distL="0" distR="0">
            <wp:extent cx="5320030" cy="3042285"/>
            <wp:effectExtent l="0" t="0" r="0" b="5715"/>
            <wp:docPr id="107925383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53839"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322890" cy="3043854"/>
                    </a:xfrm>
                    <a:prstGeom prst="rect">
                      <a:avLst/>
                    </a:prstGeom>
                    <a:noFill/>
                  </pic:spPr>
                </pic:pic>
              </a:graphicData>
            </a:graphic>
          </wp:inline>
        </w:drawing>
      </w:r>
    </w:p>
    <w:p>
      <w:pPr>
        <w:jc w:val="center"/>
        <w:rPr>
          <w:rFonts w:hint="eastAsia" w:ascii="仿宋" w:hAnsi="仿宋" w:eastAsia="仿宋"/>
          <w:sz w:val="32"/>
          <w:szCs w:val="32"/>
        </w:rPr>
      </w:pPr>
    </w:p>
    <w:p>
      <w:pPr>
        <w:numPr>
          <w:ilvl w:val="0"/>
          <w:numId w:val="1"/>
        </w:numPr>
        <w:jc w:val="left"/>
        <w:rPr>
          <w:rFonts w:eastAsia="仿宋"/>
        </w:rPr>
      </w:pPr>
      <w:r>
        <w:rPr>
          <w:rFonts w:hint="eastAsia" w:ascii="仿宋" w:hAnsi="仿宋" w:eastAsia="仿宋"/>
          <w:sz w:val="32"/>
          <w:szCs w:val="32"/>
        </w:rPr>
        <w:t>住房保障支出</w:t>
      </w:r>
      <w:r>
        <w:rPr>
          <w:rFonts w:ascii="仿宋" w:hAnsi="仿宋" w:eastAsia="仿宋"/>
          <w:sz w:val="32"/>
        </w:rPr>
        <w:t>（221</w:t>
      </w:r>
      <w:r>
        <w:rPr>
          <w:rFonts w:hint="eastAsia" w:ascii="仿宋" w:hAnsi="仿宋" w:eastAsia="仿宋"/>
          <w:sz w:val="32"/>
          <w:szCs w:val="32"/>
        </w:rPr>
        <w:t>类）年初预算为15.83万元，支出决算为13.45万元，完成年初预算的84.97</w:t>
      </w:r>
      <w:r>
        <w:rPr>
          <w:rFonts w:ascii="仿宋" w:hAnsi="仿宋" w:eastAsia="仿宋"/>
          <w:sz w:val="32"/>
          <w:szCs w:val="32"/>
        </w:rPr>
        <w:t>%</w:t>
      </w:r>
      <w:r>
        <w:rPr>
          <w:rFonts w:hint="eastAsia" w:ascii="仿宋" w:hAnsi="仿宋" w:eastAsia="仿宋"/>
          <w:sz w:val="32"/>
          <w:szCs w:val="32"/>
        </w:rPr>
        <w:t>。预决算存有差异原因是：</w:t>
      </w:r>
      <w:r>
        <w:rPr>
          <w:rFonts w:hint="eastAsia" w:ascii="仿宋" w:hAnsi="仿宋" w:eastAsia="仿宋" w:cs="仿宋"/>
          <w:sz w:val="32"/>
          <w:szCs w:val="32"/>
          <w:lang w:bidi="ar"/>
        </w:rPr>
        <w:t>年初预算缴费基数过高。</w:t>
      </w:r>
    </w:p>
    <w:p>
      <w:pPr>
        <w:jc w:val="left"/>
        <w:rPr>
          <w:rFonts w:hint="eastAsia"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15.83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13.45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84.97%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仿宋" w:hAnsi="仿宋" w:eastAsia="仿宋" w:cs="仿宋"/>
                <w:szCs w:val="21"/>
              </w:rPr>
              <w:t>教职工住房公积金支出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both"/>
              <w:textAlignment w:val="center"/>
              <w:rPr>
                <w:rFonts w:hint="eastAsia" w:ascii="宋体" w:hAnsi="宋体" w:eastAsia="宋体" w:cs="宋体"/>
                <w:sz w:val="18"/>
                <w:szCs w:val="18"/>
              </w:rPr>
            </w:pPr>
            <w:r>
              <w:rPr>
                <w:rFonts w:hint="eastAsia" w:ascii="仿宋" w:hAnsi="仿宋" w:eastAsia="仿宋" w:cs="仿宋"/>
                <w:sz w:val="18"/>
                <w:szCs w:val="18"/>
              </w:rPr>
              <w:t>年初预算缴费基数过高。</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15.83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13.45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84.97%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p>
    <w:p>
      <w:pPr>
        <w:jc w:val="left"/>
        <w:rPr>
          <w:rFonts w:hint="eastAsia" w:ascii="仿宋" w:hAnsi="仿宋" w:eastAsia="仿宋"/>
          <w:sz w:val="32"/>
          <w:szCs w:val="32"/>
        </w:rPr>
      </w:pPr>
      <w:r>
        <w:rPr>
          <w:rFonts w:hint="eastAsia" w:ascii="仿宋" w:hAnsi="仿宋" w:eastAsia="仿宋"/>
          <w:sz w:val="32"/>
          <w:szCs w:val="32"/>
        </w:rPr>
        <w:drawing>
          <wp:inline distT="0" distB="0" distL="0" distR="0">
            <wp:extent cx="4596765" cy="3042285"/>
            <wp:effectExtent l="0" t="0" r="0" b="5715"/>
            <wp:docPr id="28805929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59295" name="图片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96765" cy="3042285"/>
                    </a:xfrm>
                    <a:prstGeom prst="rect">
                      <a:avLst/>
                    </a:prstGeom>
                    <a:noFill/>
                  </pic:spPr>
                </pic:pic>
              </a:graphicData>
            </a:graphic>
          </wp:inline>
        </w:drawing>
      </w:r>
    </w:p>
    <w:p>
      <w:pPr>
        <w:jc w:val="left"/>
        <w:rPr>
          <w:rFonts w:hint="eastAsia" w:ascii="仿宋" w:hAnsi="仿宋" w:eastAsia="仿宋"/>
          <w:sz w:val="32"/>
          <w:szCs w:val="32"/>
        </w:rPr>
      </w:pPr>
    </w:p>
    <w:p>
      <w:pPr>
        <w:jc w:val="left"/>
        <w:rPr>
          <w:rFonts w:hint="eastAsia" w:ascii="仿宋" w:hAnsi="仿宋" w:eastAsia="仿宋"/>
          <w:sz w:val="32"/>
          <w:szCs w:val="32"/>
        </w:rPr>
      </w:pPr>
    </w:p>
    <w:p>
      <w:pPr>
        <w:numPr>
          <w:ilvl w:val="0"/>
          <w:numId w:val="1"/>
        </w:numPr>
        <w:jc w:val="left"/>
        <w:rPr>
          <w:rFonts w:eastAsia="仿宋"/>
        </w:rPr>
      </w:pPr>
      <w:r>
        <w:rPr>
          <w:rFonts w:hint="eastAsia" w:ascii="仿宋" w:hAnsi="仿宋" w:eastAsia="仿宋"/>
          <w:sz w:val="32"/>
          <w:szCs w:val="32"/>
        </w:rPr>
        <w:t>其他支出</w:t>
      </w:r>
      <w:r>
        <w:rPr>
          <w:rFonts w:ascii="仿宋" w:hAnsi="仿宋" w:eastAsia="仿宋"/>
          <w:sz w:val="32"/>
        </w:rPr>
        <w:t>（229</w:t>
      </w:r>
      <w:r>
        <w:rPr>
          <w:rFonts w:hint="eastAsia" w:ascii="仿宋" w:hAnsi="仿宋" w:eastAsia="仿宋"/>
          <w:sz w:val="32"/>
          <w:szCs w:val="32"/>
        </w:rPr>
        <w:t>类）年初预算为</w:t>
      </w:r>
      <w:r>
        <w:rPr>
          <w:rFonts w:ascii="仿宋" w:hAnsi="仿宋" w:eastAsia="仿宋"/>
          <w:sz w:val="32"/>
          <w:szCs w:val="32"/>
        </w:rPr>
        <w:t>0.00</w:t>
      </w:r>
      <w:r>
        <w:rPr>
          <w:rFonts w:hint="eastAsia" w:ascii="仿宋" w:hAnsi="仿宋" w:eastAsia="仿宋"/>
          <w:sz w:val="32"/>
          <w:szCs w:val="32"/>
        </w:rPr>
        <w:t>万元，支出决算为18</w:t>
      </w:r>
      <w:r>
        <w:rPr>
          <w:rFonts w:ascii="仿宋" w:hAnsi="仿宋" w:eastAsia="仿宋"/>
          <w:sz w:val="32"/>
          <w:szCs w:val="32"/>
        </w:rPr>
        <w:t>.62</w:t>
      </w:r>
      <w:r>
        <w:rPr>
          <w:rFonts w:hint="eastAsia" w:ascii="仿宋" w:hAnsi="仿宋" w:eastAsia="仿宋"/>
          <w:sz w:val="32"/>
          <w:szCs w:val="32"/>
        </w:rPr>
        <w:t>万元，完成年初预算的</w:t>
      </w:r>
      <w:r>
        <w:rPr>
          <w:rFonts w:ascii="仿宋" w:hAnsi="仿宋" w:eastAsia="仿宋"/>
          <w:sz w:val="32"/>
          <w:szCs w:val="32"/>
        </w:rPr>
        <w:t>100.00%</w:t>
      </w:r>
      <w:r>
        <w:rPr>
          <w:rFonts w:hint="eastAsia" w:ascii="仿宋" w:hAnsi="仿宋" w:eastAsia="仿宋"/>
          <w:sz w:val="32"/>
          <w:szCs w:val="32"/>
        </w:rPr>
        <w:t>。预决算存有差异原因是：</w:t>
      </w:r>
      <w:r>
        <w:rPr>
          <w:rFonts w:hint="eastAsia" w:ascii="仿宋" w:hAnsi="仿宋" w:eastAsia="仿宋" w:cs="仿宋"/>
          <w:sz w:val="32"/>
          <w:szCs w:val="32"/>
          <w:lang w:bidi="ar"/>
        </w:rPr>
        <w:t>无差异。</w:t>
      </w:r>
    </w:p>
    <w:p>
      <w:pPr>
        <w:jc w:val="left"/>
        <w:rPr>
          <w:rFonts w:hint="eastAsia" w:ascii="仿宋" w:hAnsi="仿宋" w:eastAsia="仿宋"/>
          <w:sz w:val="32"/>
          <w:szCs w:val="32"/>
        </w:rPr>
      </w:pPr>
      <w:r>
        <w:rPr>
          <w:rFonts w:hint="eastAsia" w:ascii="仿宋" w:hAnsi="仿宋" w:eastAsia="仿宋"/>
          <w:sz w:val="32"/>
          <w:szCs w:val="32"/>
        </w:rPr>
        <w:t>支出具体情况如下：</w:t>
      </w:r>
    </w:p>
    <w:tbl>
      <w:tblPr>
        <w:tblStyle w:val="6"/>
        <w:tblW w:w="8536" w:type="dxa"/>
        <w:tblInd w:w="96" w:type="dxa"/>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原因</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20"/>
                <w:szCs w:val="20"/>
              </w:rPr>
            </w:pPr>
            <w:r>
              <w:rPr>
                <w:rFonts w:hint="eastAsia" w:ascii="宋体" w:hAnsi="宋体" w:eastAsia="宋体" w:cs="宋体"/>
                <w:sz w:val="20"/>
                <w:szCs w:val="20"/>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18.62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r>
              <w:rPr>
                <w:rFonts w:hint="eastAsia" w:ascii="仿宋" w:hAnsi="仿宋" w:eastAsia="仿宋" w:cs="仿宋"/>
                <w:szCs w:val="21"/>
              </w:rPr>
              <w:t>其他工资福利,奖励性绩效补贴支出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sz w:val="18"/>
                <w:szCs w:val="18"/>
              </w:rPr>
              <w:t>此部分资金由上级部门预算直接下达，本部门无需做预算。</w:t>
            </w:r>
          </w:p>
        </w:tc>
      </w:tr>
      <w:tr>
        <w:tblPrEx>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left"/>
              <w:textAlignment w:val="center"/>
              <w:rPr>
                <w:rFonts w:hint="eastAsia" w:ascii="宋体" w:hAnsi="宋体" w:eastAsia="宋体" w:cs="宋体"/>
                <w:color w:val="000000"/>
                <w:sz w:val="20"/>
                <w:szCs w:val="20"/>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sz w:val="18"/>
                <w:szCs w:val="18"/>
              </w:rPr>
              <w:t>6.62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color w:val="000000"/>
                <w:sz w:val="18"/>
                <w:szCs w:val="18"/>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widowControl/>
              <w:jc w:val="center"/>
              <w:textAlignment w:val="center"/>
              <w:rPr>
                <w:rFonts w:hint="eastAsia" w:ascii="宋体" w:hAnsi="宋体" w:eastAsia="宋体" w:cs="宋体"/>
                <w:sz w:val="18"/>
                <w:szCs w:val="18"/>
              </w:rPr>
            </w:pPr>
          </w:p>
        </w:tc>
      </w:tr>
    </w:tbl>
    <w:p>
      <w:pPr>
        <w:jc w:val="left"/>
        <w:rPr>
          <w:rFonts w:hint="eastAsia" w:ascii="仿宋" w:hAnsi="仿宋" w:eastAsia="仿宋"/>
          <w:sz w:val="32"/>
          <w:szCs w:val="32"/>
        </w:rPr>
      </w:pPr>
    </w:p>
    <w:p>
      <w:pPr>
        <w:jc w:val="left"/>
        <w:rPr>
          <w:rFonts w:hint="eastAsia" w:ascii="仿宋" w:hAnsi="仿宋" w:eastAsia="仿宋"/>
          <w:sz w:val="32"/>
          <w:szCs w:val="32"/>
        </w:rPr>
      </w:pPr>
      <w:r>
        <w:rPr>
          <w:rFonts w:hint="eastAsia" w:ascii="仿宋" w:hAnsi="仿宋" w:eastAsia="仿宋"/>
          <w:sz w:val="32"/>
          <w:szCs w:val="32"/>
        </w:rPr>
        <w:drawing>
          <wp:inline distT="0" distB="0" distL="0" distR="0">
            <wp:extent cx="5307965" cy="3042285"/>
            <wp:effectExtent l="0" t="0" r="6985" b="5715"/>
            <wp:docPr id="9867329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3295"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309963" cy="3043255"/>
                    </a:xfrm>
                    <a:prstGeom prst="rect">
                      <a:avLst/>
                    </a:prstGeom>
                    <a:noFill/>
                  </pic:spPr>
                </pic:pic>
              </a:graphicData>
            </a:graphic>
          </wp:inline>
        </w:drawing>
      </w:r>
    </w:p>
    <w:p>
      <w:pPr>
        <w:jc w:val="center"/>
        <w:rPr>
          <w:rFonts w:hint="eastAsia" w:ascii="仿宋" w:hAnsi="仿宋" w:eastAsia="仿宋"/>
          <w:sz w:val="32"/>
          <w:szCs w:val="32"/>
        </w:rPr>
      </w:pPr>
    </w:p>
    <w:p>
      <w:pPr>
        <w:jc w:val="left"/>
        <w:rPr>
          <w:rFonts w:hint="eastAsia" w:ascii="仿宋" w:hAnsi="仿宋" w:eastAsia="仿宋" w:cs="仿宋"/>
          <w:sz w:val="32"/>
          <w:szCs w:val="32"/>
        </w:rPr>
      </w:pPr>
      <w:r>
        <w:rPr>
          <w:rFonts w:hint="eastAsia" w:ascii="黑体" w:hAnsi="黑体" w:eastAsia="黑体" w:cs="黑体"/>
          <w:sz w:val="32"/>
          <w:szCs w:val="32"/>
        </w:rPr>
        <w:t>三、2023年度一般公共预算财政拨款基本支出决算情况说明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环江毛南族自治县第三幼儿园2023年度一般公共预算财政拨款基本支出</w:t>
      </w:r>
      <w:r>
        <w:rPr>
          <w:rFonts w:hint="eastAsia" w:ascii="仿宋" w:hAnsi="仿宋" w:eastAsia="仿宋" w:cs="仿宋"/>
          <w:sz w:val="32"/>
        </w:rPr>
        <w:t>185.2</w:t>
      </w:r>
      <w:r>
        <w:rPr>
          <w:rFonts w:hint="eastAsia" w:ascii="仿宋" w:hAnsi="仿宋" w:eastAsia="仿宋" w:cs="仿宋"/>
          <w:sz w:val="32"/>
          <w:szCs w:val="32"/>
        </w:rPr>
        <w:t>万元，</w:t>
      </w:r>
      <w:r>
        <w:rPr>
          <w:rFonts w:ascii="仿宋_GB2312" w:hAnsi="微软雅黑" w:eastAsia="仿宋_GB2312" w:cs="仿宋_GB2312"/>
          <w:sz w:val="31"/>
          <w:szCs w:val="31"/>
          <w:shd w:val="clear" w:color="auto" w:fill="FFFFFF"/>
        </w:rPr>
        <w:t>其中：人员经费支出</w:t>
      </w:r>
      <w:r>
        <w:rPr>
          <w:rFonts w:hint="eastAsia" w:ascii="仿宋" w:hAnsi="仿宋" w:eastAsia="仿宋" w:cs="仿宋"/>
          <w:sz w:val="32"/>
          <w:szCs w:val="32"/>
        </w:rPr>
        <w:t>182.65</w:t>
      </w:r>
      <w:r>
        <w:rPr>
          <w:rFonts w:ascii="仿宋_GB2312" w:hAnsi="微软雅黑" w:eastAsia="仿宋_GB2312" w:cs="仿宋_GB2312"/>
          <w:sz w:val="31"/>
          <w:szCs w:val="31"/>
          <w:shd w:val="clear" w:color="auto" w:fill="FFFFFF"/>
        </w:rPr>
        <w:t>万元，公用经费支出</w:t>
      </w:r>
      <w:r>
        <w:rPr>
          <w:rFonts w:hint="eastAsia" w:ascii="仿宋" w:hAnsi="仿宋" w:eastAsia="仿宋" w:cs="仿宋"/>
          <w:sz w:val="32"/>
          <w:szCs w:val="32"/>
        </w:rPr>
        <w:t>2.55</w:t>
      </w:r>
      <w:r>
        <w:rPr>
          <w:rFonts w:ascii="仿宋_GB2312" w:hAnsi="微软雅黑" w:eastAsia="仿宋_GB2312" w:cs="仿宋_GB2312"/>
          <w:sz w:val="31"/>
          <w:szCs w:val="31"/>
          <w:shd w:val="clear" w:color="auto" w:fill="FFFFFF"/>
        </w:rPr>
        <w:t>万元，</w:t>
      </w:r>
      <w:r>
        <w:rPr>
          <w:rFonts w:hint="eastAsia" w:ascii="仿宋" w:hAnsi="仿宋" w:eastAsia="仿宋" w:cs="仿宋"/>
          <w:sz w:val="32"/>
          <w:szCs w:val="32"/>
        </w:rPr>
        <w:t>支出具体情况如下：</w:t>
      </w: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工资福利支出</w:t>
      </w:r>
      <w:r>
        <w:rPr>
          <w:rFonts w:hint="eastAsia" w:ascii="仿宋" w:hAnsi="仿宋" w:eastAsia="仿宋" w:cs="仿宋"/>
          <w:sz w:val="32"/>
        </w:rPr>
        <w:t>182.64</w:t>
      </w:r>
      <w:r>
        <w:rPr>
          <w:rFonts w:ascii="仿宋" w:hAnsi="仿宋" w:eastAsia="仿宋" w:cs="仿宋"/>
          <w:sz w:val="32"/>
        </w:rPr>
        <w:t>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119.65%</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lang w:bidi="ar"/>
        </w:rPr>
        <w:t>主要原因是：本部门2023年度新公招4名教师控制数；2023年度调整基础性绩效工资增量标准；职工五险一金基数调整。</w:t>
      </w:r>
    </w:p>
    <w:p>
      <w:pPr>
        <w:ind w:firstLine="640" w:firstLineChars="200"/>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30101基本工资59.93万元，30102津贴补贴7.16万元，30103奖金43.27万元，30107绩效工资32.17万元，30108机关事业单位基本养老保险缴费18.27万元，30110职工基本医疗保险缴费7.38万元，30112其他社会保障缴费0.91万元，30113住房公积金13.45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drawing>
          <wp:inline distT="0" distB="0" distL="0" distR="0">
            <wp:extent cx="4584700" cy="2755900"/>
            <wp:effectExtent l="0" t="0" r="6350" b="6350"/>
            <wp:docPr id="160539620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396209" name="图片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商品和服务支出</w:t>
      </w:r>
      <w:r>
        <w:rPr>
          <w:rFonts w:hint="eastAsia" w:ascii="仿宋" w:hAnsi="仿宋" w:eastAsia="仿宋" w:cs="仿宋"/>
          <w:sz w:val="32"/>
        </w:rPr>
        <w:t>2.55</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100%</w:t>
      </w:r>
      <w:r>
        <w:rPr>
          <w:rFonts w:hint="eastAsia" w:ascii="仿宋_GB2312" w:hAnsi="微软雅黑" w:eastAsia="仿宋_GB2312" w:cs="仿宋_GB2312"/>
          <w:sz w:val="31"/>
          <w:szCs w:val="31"/>
          <w:shd w:val="clear" w:color="auto" w:fill="FFFFFF"/>
        </w:rPr>
        <w:t>。</w:t>
      </w:r>
    </w:p>
    <w:p>
      <w:pPr>
        <w:ind w:firstLine="640" w:firstLineChars="200"/>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 30228工会经费2.55万元。</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0" distR="0">
            <wp:extent cx="4584700" cy="2755900"/>
            <wp:effectExtent l="0" t="0" r="6350" b="6350"/>
            <wp:docPr id="11634933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4933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rPr>
          <w:rFonts w:hint="eastAsia"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对个人和家庭的补助</w:t>
      </w:r>
      <w:r>
        <w:rPr>
          <w:rFonts w:hint="eastAsia" w:ascii="仿宋" w:hAnsi="仿宋" w:eastAsia="仿宋" w:cs="仿宋"/>
          <w:sz w:val="32"/>
        </w:rPr>
        <w:t>0.01</w:t>
      </w:r>
      <w:r>
        <w:rPr>
          <w:rFonts w:ascii="仿宋" w:hAnsi="仿宋" w:eastAsia="仿宋" w:cs="仿宋"/>
          <w:sz w:val="32"/>
        </w:rPr>
        <w:t>万元，</w:t>
      </w:r>
      <w:r>
        <w:rPr>
          <w:rFonts w:ascii="仿宋_GB2312" w:hAnsi="微软雅黑" w:eastAsia="仿宋_GB2312" w:cs="仿宋_GB2312"/>
          <w:color w:val="000000"/>
          <w:sz w:val="31"/>
          <w:szCs w:val="31"/>
          <w:shd w:val="clear" w:color="auto" w:fill="FFFFFF"/>
        </w:rPr>
        <w:t>完成年初预算</w:t>
      </w:r>
      <w:r>
        <w:rPr>
          <w:rFonts w:ascii="仿宋_GB2312" w:hAnsi="微软雅黑" w:eastAsia="仿宋_GB2312" w:cs="仿宋_GB2312"/>
          <w:sz w:val="31"/>
          <w:szCs w:val="31"/>
          <w:shd w:val="clear" w:color="auto" w:fill="FFFFFF"/>
        </w:rPr>
        <w:t>的</w:t>
      </w:r>
      <w:r>
        <w:rPr>
          <w:rFonts w:hint="eastAsia" w:ascii="仿宋" w:hAnsi="仿宋" w:eastAsia="仿宋" w:cs="仿宋"/>
          <w:sz w:val="32"/>
          <w:szCs w:val="32"/>
        </w:rPr>
        <w:t>50%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lang w:bidi="ar"/>
        </w:rPr>
        <w:t>主要原因是：本部门2023年度只有1名符合享受独生子女费补助。</w:t>
      </w:r>
    </w:p>
    <w:p>
      <w:pPr>
        <w:ind w:firstLine="640" w:firstLineChars="200"/>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 30309奖励金0.01万元。</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0" distR="0">
            <wp:extent cx="4578350" cy="2755900"/>
            <wp:effectExtent l="0" t="0" r="0" b="6350"/>
            <wp:docPr id="16706899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89930" name="图片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78350" cy="2755900"/>
                    </a:xfrm>
                    <a:prstGeom prst="rect">
                      <a:avLst/>
                    </a:prstGeom>
                    <a:noFill/>
                  </pic:spPr>
                </pic:pic>
              </a:graphicData>
            </a:graphic>
          </wp:inline>
        </w:drawing>
      </w:r>
    </w:p>
    <w:p>
      <w:pPr>
        <w:rPr>
          <w:rFonts w:hint="eastAsia"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债务利息及费用支出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lang w:bidi="ar"/>
        </w:rPr>
        <w:t>主要原因是：无债务利息及费用支出。</w:t>
      </w:r>
    </w:p>
    <w:p>
      <w:pPr>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rPr>
          <w:rFonts w:hint="eastAsia" w:ascii="仿宋" w:hAnsi="仿宋" w:eastAsia="仿宋" w:cs="仿宋"/>
          <w:sz w:val="32"/>
          <w:szCs w:val="32"/>
        </w:rPr>
      </w:pPr>
    </w:p>
    <w:p>
      <w:pPr>
        <w:numPr>
          <w:ilvl w:val="0"/>
          <w:numId w:val="2"/>
        </w:numPr>
        <w:jc w:val="left"/>
        <w:rPr>
          <w:rFonts w:hint="eastAsia" w:ascii="仿宋" w:hAnsi="仿宋" w:eastAsia="仿宋" w:cs="仿宋"/>
          <w:color w:val="FF0000"/>
          <w:sz w:val="32"/>
          <w:szCs w:val="32"/>
        </w:rPr>
      </w:pPr>
      <w:r>
        <w:rPr>
          <w:rFonts w:hint="eastAsia" w:ascii="仿宋" w:hAnsi="仿宋" w:eastAsia="仿宋" w:cs="仿宋"/>
          <w:sz w:val="32"/>
          <w:szCs w:val="32"/>
        </w:rPr>
        <w:t>资本性支出</w:t>
      </w:r>
      <w:r>
        <w:rPr>
          <w:rFonts w:ascii="仿宋" w:hAnsi="仿宋" w:eastAsia="仿宋" w:cs="仿宋"/>
          <w:sz w:val="32"/>
        </w:rPr>
        <w:t>0.00万元，</w:t>
      </w:r>
      <w:r>
        <w:rPr>
          <w:rFonts w:ascii="仿宋_GB2312" w:hAnsi="微软雅黑" w:eastAsia="仿宋_GB2312" w:cs="仿宋_GB2312"/>
          <w:color w:val="000000"/>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color w:val="000000"/>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color w:val="000000" w:themeColor="text1"/>
          <w:sz w:val="32"/>
          <w:szCs w:val="32"/>
          <w:lang w:bidi="ar"/>
          <w14:textFill>
            <w14:solidFill>
              <w14:schemeClr w14:val="tx1"/>
            </w14:solidFill>
          </w14:textFill>
        </w:rPr>
        <w:t>主要原因是</w:t>
      </w:r>
      <w:r>
        <w:rPr>
          <w:rFonts w:hint="eastAsia" w:ascii="仿宋" w:hAnsi="仿宋" w:eastAsia="仿宋" w:cs="仿宋"/>
          <w:sz w:val="32"/>
          <w:szCs w:val="32"/>
          <w:lang w:bidi="ar"/>
        </w:rPr>
        <w:t>：无资本性支出。</w:t>
      </w:r>
    </w:p>
    <w:p>
      <w:pPr>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rPr>
          <w:rFonts w:hint="eastAsia" w:ascii="仿宋" w:hAnsi="仿宋" w:eastAsia="仿宋" w:cs="仿宋"/>
          <w:sz w:val="32"/>
          <w:szCs w:val="32"/>
        </w:rPr>
      </w:pPr>
    </w:p>
    <w:p>
      <w:pPr>
        <w:numPr>
          <w:ilvl w:val="0"/>
          <w:numId w:val="2"/>
        </w:numPr>
        <w:jc w:val="left"/>
        <w:rPr>
          <w:rFonts w:hint="eastAsia" w:ascii="仿宋" w:hAnsi="仿宋" w:eastAsia="仿宋" w:cs="仿宋"/>
          <w:sz w:val="32"/>
          <w:szCs w:val="32"/>
        </w:rPr>
      </w:pPr>
      <w:r>
        <w:rPr>
          <w:rFonts w:hint="eastAsia" w:ascii="仿宋" w:hAnsi="仿宋" w:eastAsia="仿宋" w:cs="仿宋"/>
          <w:sz w:val="32"/>
          <w:szCs w:val="32"/>
        </w:rPr>
        <w:t>其他支出</w:t>
      </w:r>
      <w:r>
        <w:rPr>
          <w:rFonts w:ascii="仿宋" w:hAnsi="仿宋" w:eastAsia="仿宋" w:cs="仿宋"/>
          <w:sz w:val="32"/>
        </w:rPr>
        <w:t>0.00万元，</w:t>
      </w:r>
      <w:r>
        <w:rPr>
          <w:rFonts w:ascii="仿宋_GB2312" w:hAnsi="微软雅黑" w:eastAsia="仿宋_GB2312" w:cs="仿宋_GB2312"/>
          <w:sz w:val="31"/>
          <w:szCs w:val="31"/>
          <w:shd w:val="clear" w:color="auto" w:fill="FFFFFF"/>
        </w:rPr>
        <w:t>完成年初预算的</w:t>
      </w:r>
      <w:r>
        <w:rPr>
          <w:rFonts w:hint="eastAsia" w:ascii="仿宋" w:hAnsi="仿宋" w:eastAsia="仿宋" w:cs="仿宋"/>
          <w:sz w:val="32"/>
          <w:szCs w:val="32"/>
        </w:rPr>
        <w:t>0%</w:t>
      </w:r>
      <w:r>
        <w:rPr>
          <w:rFonts w:ascii="仿宋_GB2312" w:hAnsi="微软雅黑" w:eastAsia="仿宋_GB2312" w:cs="仿宋_GB2312"/>
          <w:sz w:val="31"/>
          <w:szCs w:val="31"/>
          <w:shd w:val="clear" w:color="auto" w:fill="FFFFFF"/>
        </w:rPr>
        <w:t>，</w:t>
      </w:r>
      <w:r>
        <w:rPr>
          <w:rFonts w:hint="eastAsia" w:ascii="仿宋" w:hAnsi="仿宋" w:eastAsia="仿宋" w:cs="仿宋"/>
          <w:sz w:val="32"/>
          <w:szCs w:val="32"/>
        </w:rPr>
        <w:t>（简要说明预决算差异）</w:t>
      </w:r>
      <w:r>
        <w:rPr>
          <w:rFonts w:hint="eastAsia" w:ascii="仿宋" w:hAnsi="仿宋" w:eastAsia="仿宋" w:cs="仿宋"/>
          <w:sz w:val="32"/>
          <w:szCs w:val="32"/>
          <w:lang w:bidi="ar"/>
        </w:rPr>
        <w:t>主要原因是：无其他支出。</w:t>
      </w:r>
    </w:p>
    <w:p>
      <w:pPr>
        <w:jc w:val="left"/>
        <w:rPr>
          <w:rFonts w:hint="eastAsia" w:ascii="仿宋" w:hAnsi="仿宋" w:eastAsia="仿宋" w:cs="仿宋"/>
          <w:sz w:val="32"/>
          <w:szCs w:val="32"/>
        </w:rPr>
      </w:pPr>
      <w:r>
        <w:rPr>
          <w:rFonts w:hint="eastAsia" w:ascii="仿宋" w:hAnsi="仿宋" w:eastAsia="仿宋"/>
          <w:sz w:val="32"/>
          <w:szCs w:val="32"/>
        </w:rPr>
        <w:t>支出具体情况如下</w:t>
      </w:r>
      <w:r>
        <w:rPr>
          <w:rFonts w:hint="eastAsia" w:ascii="仿宋" w:hAnsi="仿宋" w:eastAsia="仿宋" w:cs="仿宋"/>
          <w:sz w:val="32"/>
          <w:szCs w:val="32"/>
        </w:rPr>
        <w:t>：</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rPr>
          <w:rFonts w:hint="eastAsia" w:ascii="仿宋" w:hAnsi="仿宋" w:eastAsia="仿宋" w:cs="仿宋"/>
          <w:sz w:val="32"/>
          <w:szCs w:val="32"/>
        </w:rPr>
      </w:pPr>
    </w:p>
    <w:p>
      <w:pPr>
        <w:jc w:val="left"/>
        <w:rPr>
          <w:rFonts w:hint="eastAsia" w:ascii="仿宋" w:hAnsi="仿宋" w:eastAsia="仿宋" w:cs="仿宋"/>
          <w:sz w:val="32"/>
          <w:szCs w:val="32"/>
        </w:rPr>
      </w:pPr>
    </w:p>
    <w:p>
      <w:pPr>
        <w:jc w:val="left"/>
        <w:rPr>
          <w:rFonts w:hint="eastAsia" w:ascii="黑体" w:hAnsi="黑体" w:eastAsia="黑体" w:cs="黑体"/>
          <w:sz w:val="32"/>
          <w:szCs w:val="32"/>
        </w:rPr>
      </w:pPr>
      <w:r>
        <w:rPr>
          <w:rFonts w:hint="eastAsia" w:ascii="黑体" w:hAnsi="黑体" w:eastAsia="黑体" w:cs="黑体"/>
          <w:sz w:val="32"/>
          <w:szCs w:val="32"/>
        </w:rPr>
        <w:t>四、2023年度政府性基金支出决算情况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环江毛南族自治县第三幼儿园2023年度政府性基金支出</w:t>
      </w:r>
      <w:r>
        <w:rPr>
          <w:rFonts w:ascii="仿宋" w:hAnsi="仿宋" w:eastAsia="仿宋" w:cs="仿宋"/>
          <w:sz w:val="32"/>
          <w:szCs w:val="32"/>
        </w:rPr>
        <w:t>0.00</w:t>
      </w:r>
      <w:r>
        <w:rPr>
          <w:rFonts w:hint="eastAsia" w:ascii="仿宋" w:hAnsi="仿宋" w:eastAsia="仿宋" w:cs="仿宋"/>
          <w:sz w:val="32"/>
          <w:szCs w:val="32"/>
        </w:rPr>
        <w:t>万元，较2022年度决算数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环江毛南族自治县第三幼儿园2023年度政府性基金支出年初预算为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_GB2312" w:hAnsi="Times New Roman" w:eastAsia="仿宋_GB2312" w:cs="Times New Roman"/>
          <w:sz w:val="32"/>
          <w:szCs w:val="32"/>
        </w:rPr>
        <w:t>环江毛南族自治县第三幼儿园</w:t>
      </w:r>
      <w:r>
        <w:rPr>
          <w:rFonts w:ascii="仿宋_GB2312" w:hAnsi="仿宋_GB2312" w:eastAsia="仿宋_GB2312" w:cs="仿宋_GB2312"/>
          <w:sz w:val="32"/>
        </w:rPr>
        <w:t>没有政府性基金收入，也没有政府性基金收入安排的支出</w:t>
      </w:r>
      <w:r>
        <w:rPr>
          <w:rFonts w:hint="eastAsia" w:ascii="仿宋_GB2312" w:hAnsi="Times New Roman" w:eastAsia="仿宋_GB2312" w:cs="Times New Roman"/>
          <w:sz w:val="32"/>
          <w:szCs w:val="32"/>
        </w:rPr>
        <w:t>。故本段落无表述。</w:t>
      </w:r>
    </w:p>
    <w:p>
      <w:pPr>
        <w:jc w:val="left"/>
        <w:rPr>
          <w:rFonts w:hint="eastAsia" w:ascii="仿宋" w:hAnsi="仿宋" w:eastAsia="仿宋" w:cs="仿宋"/>
          <w:sz w:val="32"/>
          <w:szCs w:val="32"/>
        </w:rPr>
      </w:pPr>
      <w:r>
        <w:rPr>
          <w:rFonts w:hint="eastAsia" w:ascii="黑体" w:hAnsi="黑体" w:eastAsia="黑体" w:cs="黑体"/>
          <w:sz w:val="32"/>
          <w:szCs w:val="32"/>
        </w:rPr>
        <w:t>五、2023年度国有资本经营预算支出决算情况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环江毛南族自治县第三幼儿园2023年度国有资本经营预算支出</w:t>
      </w:r>
      <w:r>
        <w:rPr>
          <w:rFonts w:ascii="仿宋" w:hAnsi="仿宋" w:eastAsia="仿宋" w:cs="仿宋"/>
          <w:sz w:val="32"/>
          <w:szCs w:val="32"/>
        </w:rPr>
        <w:t>0.00</w:t>
      </w:r>
      <w:r>
        <w:rPr>
          <w:rFonts w:hint="eastAsia" w:ascii="仿宋" w:hAnsi="仿宋" w:eastAsia="仿宋" w:cs="仿宋"/>
          <w:sz w:val="32"/>
          <w:szCs w:val="32"/>
        </w:rPr>
        <w:t>万元。其中：基本支出</w:t>
      </w:r>
      <w:r>
        <w:rPr>
          <w:rFonts w:ascii="仿宋" w:hAnsi="仿宋" w:eastAsia="仿宋" w:cs="仿宋"/>
          <w:sz w:val="32"/>
          <w:szCs w:val="32"/>
        </w:rPr>
        <w:t>0.00</w:t>
      </w:r>
      <w:r>
        <w:rPr>
          <w:rFonts w:hint="eastAsia" w:ascii="仿宋" w:hAnsi="仿宋" w:eastAsia="仿宋" w:cs="仿宋"/>
          <w:sz w:val="32"/>
          <w:szCs w:val="32"/>
        </w:rPr>
        <w:t>万元，项目支出</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环江毛南族自治县第三幼儿园2023 年度国有资本经营预算支出年初预算为</w:t>
      </w:r>
      <w:r>
        <w:rPr>
          <w:rFonts w:ascii="仿宋" w:hAnsi="仿宋" w:eastAsia="仿宋" w:cs="仿宋"/>
          <w:sz w:val="32"/>
          <w:szCs w:val="32"/>
        </w:rPr>
        <w:t>0.00</w:t>
      </w:r>
      <w:r>
        <w:rPr>
          <w:rFonts w:hint="eastAsia" w:ascii="仿宋" w:hAnsi="仿宋" w:eastAsia="仿宋" w:cs="仿宋"/>
          <w:sz w:val="32"/>
          <w:szCs w:val="32"/>
        </w:rPr>
        <w:t>万元，支出决算为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bookmarkStart w:id="7" w:name="PO_part3A5B1C1DiffReason1"/>
      <w:r>
        <w:rPr>
          <w:rFonts w:hint="eastAsia" w:ascii="仿宋_GB2312" w:hAnsi="Times New Roman" w:eastAsia="仿宋_GB2312" w:cs="Times New Roman"/>
          <w:sz w:val="32"/>
          <w:szCs w:val="32"/>
        </w:rPr>
        <w:t>环江毛南族自治县第三幼儿园</w:t>
      </w:r>
      <w:r>
        <w:rPr>
          <w:rFonts w:ascii="仿宋_GB2312" w:hAnsi="仿宋_GB2312" w:eastAsia="仿宋_GB2312" w:cs="仿宋_GB2312"/>
          <w:sz w:val="32"/>
        </w:rPr>
        <w:t>没有国有资本经营预算收入，也没有国有资本经营预算收入</w:t>
      </w:r>
      <w:r>
        <w:rPr>
          <w:rFonts w:hint="eastAsia" w:ascii="仿宋_GB2312" w:hAnsi="Times New Roman" w:eastAsia="仿宋_GB2312" w:cs="Times New Roman"/>
          <w:sz w:val="32"/>
          <w:szCs w:val="32"/>
        </w:rPr>
        <w:t>。安排的支出，故本段落无表述。</w:t>
      </w:r>
      <w:bookmarkEnd w:id="7"/>
    </w:p>
    <w:p>
      <w:pPr>
        <w:jc w:val="left"/>
        <w:rPr>
          <w:rFonts w:hint="eastAsia" w:ascii="仿宋" w:hAnsi="仿宋" w:eastAsia="仿宋" w:cs="仿宋"/>
          <w:sz w:val="32"/>
          <w:szCs w:val="32"/>
        </w:rPr>
      </w:pPr>
      <w:r>
        <w:rPr>
          <w:rFonts w:hint="eastAsia" w:ascii="黑体" w:hAnsi="黑体" w:eastAsia="黑体" w:cs="黑体"/>
          <w:sz w:val="32"/>
          <w:szCs w:val="32"/>
        </w:rPr>
        <w:t>六、财政拨款“三公”经费支出决算情况说明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2023年预算财政拨款安排的“三公”经费支出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主要原因是：无财政拨款安排的“三公”经费支出。</w:t>
      </w:r>
      <w:r>
        <w:rPr>
          <w:rFonts w:hint="eastAsia" w:ascii="仿宋" w:hAnsi="仿宋" w:eastAsia="仿宋" w:cs="仿宋"/>
          <w:sz w:val="32"/>
          <w:szCs w:val="32"/>
        </w:rPr>
        <w:t>其中：因公出国（境）费支出决算</w:t>
      </w:r>
      <w:r>
        <w:rPr>
          <w:rFonts w:ascii="仿宋" w:hAnsi="仿宋" w:eastAsia="仿宋" w:cs="仿宋"/>
          <w:sz w:val="32"/>
          <w:szCs w:val="32"/>
        </w:rPr>
        <w:t>0.00</w:t>
      </w:r>
      <w:r>
        <w:rPr>
          <w:rFonts w:hint="eastAsia" w:ascii="仿宋" w:hAnsi="仿宋" w:eastAsia="仿宋" w:cs="仿宋"/>
          <w:sz w:val="32"/>
          <w:szCs w:val="32"/>
        </w:rPr>
        <w:t>万元，公务用车购置及运行费支出决算</w:t>
      </w:r>
      <w:r>
        <w:rPr>
          <w:rFonts w:ascii="仿宋" w:hAnsi="仿宋" w:eastAsia="仿宋" w:cs="仿宋"/>
          <w:sz w:val="32"/>
          <w:szCs w:val="32"/>
        </w:rPr>
        <w:t>0.00</w:t>
      </w:r>
      <w:r>
        <w:rPr>
          <w:rFonts w:hint="eastAsia" w:ascii="仿宋" w:hAnsi="仿宋" w:eastAsia="仿宋" w:cs="仿宋"/>
          <w:sz w:val="32"/>
          <w:szCs w:val="32"/>
        </w:rPr>
        <w:t>万元，公务接待费支出决算</w:t>
      </w:r>
      <w:r>
        <w:rPr>
          <w:rFonts w:ascii="仿宋" w:hAnsi="仿宋" w:eastAsia="仿宋" w:cs="仿宋"/>
          <w:sz w:val="32"/>
          <w:szCs w:val="32"/>
        </w:rPr>
        <w:t>0.00</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具体情况如下：</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（一）因公出国（境）费支出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，比上年</w:t>
      </w:r>
      <w:r>
        <w:rPr>
          <w:rFonts w:ascii="仿宋" w:hAnsi="仿宋" w:eastAsia="仿宋" w:cs="仿宋"/>
          <w:sz w:val="32"/>
          <w:szCs w:val="32"/>
        </w:rPr>
        <w:t>增加0.00</w:t>
      </w:r>
      <w:r>
        <w:rPr>
          <w:rFonts w:hint="eastAsia" w:ascii="仿宋" w:hAnsi="仿宋" w:eastAsia="仿宋" w:cs="仿宋"/>
          <w:sz w:val="32"/>
          <w:szCs w:val="32"/>
        </w:rPr>
        <w:t xml:space="preserve"> 万元。原因是：无</w:t>
      </w:r>
      <w:r>
        <w:rPr>
          <w:rFonts w:hint="eastAsia" w:ascii="仿宋_GB2312" w:hAnsi="Times New Roman" w:eastAsia="仿宋_GB2312" w:cs="Times New Roman"/>
          <w:sz w:val="32"/>
          <w:szCs w:val="32"/>
        </w:rPr>
        <w:t>财政拨款安排的“三公”经费支出</w:t>
      </w:r>
      <w:r>
        <w:rPr>
          <w:rFonts w:hint="eastAsia" w:ascii="仿宋" w:hAnsi="仿宋" w:eastAsia="仿宋" w:cs="仿宋"/>
          <w:sz w:val="32"/>
          <w:szCs w:val="32"/>
        </w:rPr>
        <w:t>全年因公出国（境）团组共计</w:t>
      </w:r>
      <w:r>
        <w:rPr>
          <w:rFonts w:ascii="仿宋" w:hAnsi="仿宋" w:eastAsia="仿宋" w:cs="仿宋"/>
          <w:sz w:val="32"/>
          <w:szCs w:val="32"/>
        </w:rPr>
        <w:t>0</w:t>
      </w:r>
      <w:r>
        <w:rPr>
          <w:rFonts w:hint="eastAsia" w:ascii="仿宋" w:hAnsi="仿宋" w:eastAsia="仿宋" w:cs="仿宋"/>
          <w:sz w:val="32"/>
          <w:szCs w:val="32"/>
        </w:rPr>
        <w:t>个，累计</w:t>
      </w:r>
      <w:r>
        <w:rPr>
          <w:rFonts w:ascii="仿宋" w:hAnsi="仿宋" w:eastAsia="仿宋" w:cs="仿宋"/>
          <w:sz w:val="32"/>
          <w:szCs w:val="32"/>
        </w:rPr>
        <w:t>0</w:t>
      </w:r>
      <w:r>
        <w:rPr>
          <w:rFonts w:hint="eastAsia" w:ascii="仿宋" w:hAnsi="仿宋" w:eastAsia="仿宋" w:cs="仿宋"/>
          <w:sz w:val="32"/>
          <w:szCs w:val="32"/>
        </w:rPr>
        <w:t>人次。</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（二）公务用车购置及运行维护费</w:t>
      </w:r>
      <w:r>
        <w:rPr>
          <w:rFonts w:ascii="仿宋" w:hAnsi="仿宋" w:eastAsia="仿宋" w:cs="仿宋"/>
          <w:sz w:val="32"/>
        </w:rPr>
        <w:t>0.00</w:t>
      </w:r>
      <w:r>
        <w:rPr>
          <w:rFonts w:hint="eastAsia" w:ascii="仿宋" w:hAnsi="仿宋" w:eastAsia="仿宋" w:cs="仿宋"/>
          <w:sz w:val="32"/>
          <w:szCs w:val="32"/>
        </w:rPr>
        <w:t>万元。其中：公务用车购置支出</w:t>
      </w:r>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 xml:space="preserve"> 万元。主要原因是</w:t>
      </w:r>
      <w:bookmarkStart w:id="8" w:name="PO_part3A6B2IncReason1"/>
      <w:r>
        <w:rPr>
          <w:rFonts w:hint="eastAsia" w:ascii="仿宋" w:hAnsi="仿宋" w:eastAsia="仿宋" w:cs="仿宋"/>
          <w:sz w:val="32"/>
          <w:szCs w:val="32"/>
        </w:rPr>
        <w:t>本部门无公务用车购置</w:t>
      </w:r>
      <w:bookmarkEnd w:id="8"/>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bookmarkStart w:id="9" w:name="_Hlk151200525"/>
      <w:r>
        <w:rPr>
          <w:rFonts w:hint="eastAsia" w:ascii="仿宋" w:hAnsi="仿宋" w:eastAsia="仿宋" w:cs="仿宋"/>
          <w:sz w:val="32"/>
          <w:szCs w:val="32"/>
        </w:rPr>
        <w:t>公务用车运行维护支出</w:t>
      </w:r>
      <w:bookmarkEnd w:id="9"/>
      <w:r>
        <w:rPr>
          <w:rFonts w:ascii="仿宋" w:hAnsi="仿宋" w:eastAsia="仿宋" w:cs="仿宋"/>
          <w:sz w:val="32"/>
        </w:rPr>
        <w:t>0.00</w:t>
      </w:r>
      <w:r>
        <w:rPr>
          <w:rFonts w:hint="eastAsia" w:ascii="仿宋" w:hAnsi="仿宋" w:eastAsia="仿宋" w:cs="仿宋"/>
          <w:sz w:val="32"/>
          <w:szCs w:val="32"/>
        </w:rPr>
        <w:t>万元，完成年初预算的</w:t>
      </w:r>
      <w:r>
        <w:rPr>
          <w:rFonts w:ascii="仿宋" w:hAnsi="仿宋" w:eastAsia="仿宋" w:cs="仿宋"/>
          <w:sz w:val="32"/>
        </w:rPr>
        <w:t>0%</w:t>
      </w:r>
      <w:r>
        <w:rPr>
          <w:rFonts w:hint="eastAsia" w:ascii="仿宋" w:hAnsi="仿宋" w:eastAsia="仿宋" w:cs="仿宋"/>
          <w:sz w:val="32"/>
          <w:szCs w:val="32"/>
        </w:rPr>
        <w:t>，比上年</w:t>
      </w:r>
      <w:r>
        <w:rPr>
          <w:rFonts w:ascii="仿宋" w:hAnsi="仿宋" w:eastAsia="仿宋" w:cs="仿宋"/>
          <w:sz w:val="32"/>
        </w:rPr>
        <w:t>增加0.00</w:t>
      </w:r>
      <w:r>
        <w:rPr>
          <w:rFonts w:hint="eastAsia" w:ascii="仿宋" w:hAnsi="仿宋" w:eastAsia="仿宋" w:cs="仿宋"/>
          <w:sz w:val="32"/>
          <w:szCs w:val="32"/>
        </w:rPr>
        <w:t>万元。主要原因是：无公务用车运行维护支出。2023年，</w:t>
      </w:r>
      <w:r>
        <w:rPr>
          <w:rFonts w:ascii="仿宋" w:hAnsi="仿宋" w:eastAsia="仿宋" w:cs="仿宋"/>
          <w:sz w:val="32"/>
        </w:rPr>
        <w:t>环江毛南族自治县第三幼儿园</w:t>
      </w:r>
      <w:r>
        <w:rPr>
          <w:rFonts w:hint="eastAsia" w:ascii="仿宋" w:hAnsi="仿宋" w:eastAsia="仿宋" w:cs="仿宋"/>
          <w:sz w:val="32"/>
          <w:szCs w:val="32"/>
        </w:rPr>
        <w:t>及</w:t>
      </w:r>
      <w:r>
        <w:rPr>
          <w:rFonts w:hint="eastAsia" w:ascii="仿宋" w:hAnsi="仿宋" w:eastAsia="仿宋" w:cs="仿宋"/>
          <w:sz w:val="32"/>
          <w:szCs w:val="32"/>
          <w:u w:val="single"/>
        </w:rPr>
        <w:t xml:space="preserve">  </w:t>
      </w:r>
      <w:r>
        <w:rPr>
          <w:rFonts w:ascii="仿宋" w:hAnsi="仿宋" w:eastAsia="仿宋" w:cs="仿宋"/>
          <w:sz w:val="32"/>
          <w:szCs w:val="32"/>
          <w:u w:val="single"/>
        </w:rPr>
        <w:t>0</w:t>
      </w:r>
      <w:r>
        <w:rPr>
          <w:rFonts w:hint="eastAsia" w:ascii="仿宋" w:hAnsi="仿宋" w:eastAsia="仿宋" w:cs="仿宋"/>
          <w:sz w:val="32"/>
          <w:szCs w:val="32"/>
          <w:u w:val="single"/>
        </w:rPr>
        <w:t xml:space="preserve"> 个</w:t>
      </w:r>
      <w:r>
        <w:rPr>
          <w:rFonts w:hint="eastAsia" w:ascii="仿宋" w:hAnsi="仿宋" w:eastAsia="仿宋" w:cs="仿宋"/>
          <w:sz w:val="32"/>
          <w:szCs w:val="32"/>
        </w:rPr>
        <w:t>所属单位开支财政拨款的公务用车保有量为</w:t>
      </w:r>
      <w:r>
        <w:rPr>
          <w:rFonts w:ascii="仿宋" w:hAnsi="仿宋" w:eastAsia="仿宋" w:cs="仿宋"/>
          <w:sz w:val="32"/>
        </w:rPr>
        <w:t>0</w:t>
      </w:r>
      <w:r>
        <w:rPr>
          <w:rFonts w:hint="eastAsia" w:ascii="仿宋" w:hAnsi="仿宋" w:eastAsia="仿宋" w:cs="仿宋"/>
          <w:sz w:val="32"/>
          <w:szCs w:val="32"/>
        </w:rPr>
        <w:t>辆，全年运行费支出</w:t>
      </w:r>
      <w:r>
        <w:rPr>
          <w:rFonts w:ascii="仿宋" w:hAnsi="仿宋" w:eastAsia="仿宋" w:cs="仿宋"/>
          <w:sz w:val="32"/>
        </w:rPr>
        <w:t>0.00</w:t>
      </w:r>
      <w:r>
        <w:rPr>
          <w:rFonts w:hint="eastAsia" w:ascii="仿宋" w:hAnsi="仿宋" w:eastAsia="仿宋" w:cs="仿宋"/>
          <w:sz w:val="32"/>
          <w:szCs w:val="32"/>
        </w:rPr>
        <w:t xml:space="preserve">万元，平均每辆 </w:t>
      </w:r>
      <w:r>
        <w:rPr>
          <w:rFonts w:ascii="仿宋" w:hAnsi="仿宋" w:eastAsia="仿宋" w:cs="仿宋"/>
          <w:sz w:val="32"/>
          <w:szCs w:val="32"/>
        </w:rPr>
        <w:t>0</w:t>
      </w:r>
      <w:r>
        <w:rPr>
          <w:rFonts w:hint="eastAsia" w:ascii="仿宋" w:hAnsi="仿宋" w:eastAsia="仿宋" w:cs="仿宋"/>
          <w:sz w:val="32"/>
          <w:szCs w:val="32"/>
        </w:rPr>
        <w:t>万元。</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（三）公务接待费支出</w:t>
      </w:r>
      <w:r>
        <w:rPr>
          <w:rFonts w:ascii="仿宋" w:hAnsi="仿宋" w:eastAsia="仿宋" w:cs="仿宋"/>
          <w:sz w:val="32"/>
          <w:szCs w:val="32"/>
        </w:rPr>
        <w:t>0.00</w:t>
      </w:r>
      <w:r>
        <w:rPr>
          <w:rFonts w:hint="eastAsia" w:ascii="仿宋" w:hAnsi="仿宋" w:eastAsia="仿宋" w:cs="仿宋"/>
          <w:sz w:val="32"/>
          <w:szCs w:val="32"/>
        </w:rPr>
        <w:t>万元，完成年初预算的</w:t>
      </w:r>
      <w:r>
        <w:rPr>
          <w:rFonts w:ascii="仿宋" w:hAnsi="仿宋" w:eastAsia="仿宋" w:cs="仿宋"/>
          <w:sz w:val="32"/>
          <w:szCs w:val="32"/>
        </w:rPr>
        <w:t>0%</w:t>
      </w:r>
      <w:r>
        <w:rPr>
          <w:rFonts w:hint="eastAsia" w:ascii="仿宋" w:hAnsi="仿宋" w:eastAsia="仿宋" w:cs="仿宋"/>
          <w:sz w:val="32"/>
          <w:szCs w:val="32"/>
        </w:rPr>
        <w:t>， 比上年</w:t>
      </w:r>
      <w:r>
        <w:rPr>
          <w:rFonts w:ascii="仿宋" w:hAnsi="仿宋" w:eastAsia="仿宋" w:cs="仿宋"/>
          <w:sz w:val="32"/>
          <w:szCs w:val="32"/>
        </w:rPr>
        <w:t>增加0.00</w:t>
      </w:r>
      <w:r>
        <w:rPr>
          <w:rFonts w:hint="eastAsia" w:ascii="仿宋" w:hAnsi="仿宋" w:eastAsia="仿宋" w:cs="仿宋"/>
          <w:sz w:val="32"/>
          <w:szCs w:val="32"/>
        </w:rPr>
        <w:t>万元，</w:t>
      </w:r>
      <w:r>
        <w:rPr>
          <w:rFonts w:hint="eastAsia" w:ascii="仿宋" w:hAnsi="仿宋" w:eastAsia="仿宋" w:cs="仿宋"/>
          <w:sz w:val="32"/>
          <w:szCs w:val="32"/>
          <w:lang w:bidi="ar"/>
        </w:rPr>
        <w:t>主要原因是：无公务接待费支出。</w:t>
      </w:r>
      <w:r>
        <w:rPr>
          <w:rFonts w:hint="eastAsia" w:ascii="仿宋" w:hAnsi="仿宋" w:eastAsia="仿宋" w:cs="仿宋"/>
          <w:sz w:val="32"/>
          <w:szCs w:val="32"/>
        </w:rPr>
        <w:t>国内公务接待批次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次，国（境）外公务接待批次</w:t>
      </w:r>
      <w:r>
        <w:rPr>
          <w:rFonts w:ascii="仿宋" w:hAnsi="仿宋" w:eastAsia="仿宋" w:cs="仿宋"/>
          <w:sz w:val="32"/>
          <w:szCs w:val="32"/>
        </w:rPr>
        <w:t>0</w:t>
      </w:r>
      <w:r>
        <w:rPr>
          <w:rFonts w:hint="eastAsia" w:ascii="仿宋" w:hAnsi="仿宋" w:eastAsia="仿宋" w:cs="仿宋"/>
          <w:sz w:val="32"/>
          <w:szCs w:val="32"/>
        </w:rPr>
        <w:t>次，人次</w:t>
      </w:r>
      <w:r>
        <w:rPr>
          <w:rFonts w:ascii="仿宋" w:hAnsi="仿宋" w:eastAsia="仿宋" w:cs="仿宋"/>
          <w:sz w:val="32"/>
          <w:szCs w:val="32"/>
        </w:rPr>
        <w:t>0</w:t>
      </w:r>
      <w:r>
        <w:rPr>
          <w:rFonts w:hint="eastAsia" w:ascii="仿宋" w:hAnsi="仿宋" w:eastAsia="仿宋" w:cs="仿宋"/>
          <w:sz w:val="32"/>
          <w:szCs w:val="32"/>
        </w:rPr>
        <w:t>次。</w:t>
      </w:r>
    </w:p>
    <w:p>
      <w:pPr>
        <w:jc w:val="left"/>
        <w:rPr>
          <w:rFonts w:hint="eastAsia" w:ascii="仿宋" w:hAnsi="仿宋" w:eastAsia="仿宋" w:cs="仿宋"/>
          <w:sz w:val="32"/>
          <w:szCs w:val="32"/>
        </w:rPr>
      </w:pPr>
      <w:r>
        <w:rPr>
          <w:rFonts w:hint="eastAsia" w:ascii="黑体" w:hAnsi="黑体" w:eastAsia="黑体" w:cs="黑体"/>
          <w:sz w:val="32"/>
          <w:szCs w:val="32"/>
        </w:rPr>
        <w:t>七、其他重要事项情况说明</w:t>
      </w:r>
    </w:p>
    <w:p>
      <w:pPr>
        <w:jc w:val="left"/>
        <w:rPr>
          <w:rFonts w:hint="eastAsia" w:ascii="黑体" w:hAnsi="黑体" w:eastAsia="黑体" w:cs="黑体"/>
          <w:sz w:val="32"/>
          <w:szCs w:val="32"/>
        </w:rPr>
      </w:pPr>
      <w:r>
        <w:rPr>
          <w:rFonts w:hint="eastAsia" w:ascii="黑体" w:hAnsi="黑体" w:eastAsia="黑体" w:cs="黑体"/>
          <w:sz w:val="32"/>
          <w:szCs w:val="32"/>
        </w:rPr>
        <w:t>（一） 机关运行经费支出情况说明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本部门2023年度机关运行经费支出</w:t>
      </w:r>
      <w:r>
        <w:rPr>
          <w:rFonts w:ascii="仿宋" w:hAnsi="仿宋" w:eastAsia="仿宋" w:cs="仿宋"/>
          <w:sz w:val="32"/>
          <w:szCs w:val="32"/>
        </w:rPr>
        <w:t>0.00</w:t>
      </w:r>
      <w:r>
        <w:rPr>
          <w:rFonts w:hint="eastAsia" w:ascii="仿宋" w:hAnsi="仿宋" w:eastAsia="仿宋" w:cs="仿宋"/>
          <w:sz w:val="32"/>
          <w:szCs w:val="32"/>
        </w:rPr>
        <w:t>万元，比年初预算数</w:t>
      </w:r>
      <w:r>
        <w:rPr>
          <w:rFonts w:ascii="仿宋" w:hAnsi="仿宋" w:eastAsia="仿宋" w:cs="仿宋"/>
          <w:sz w:val="32"/>
          <w:szCs w:val="32"/>
        </w:rPr>
        <w:t>减少</w:t>
      </w:r>
      <w:r>
        <w:rPr>
          <w:rFonts w:hint="eastAsia" w:ascii="仿宋" w:hAnsi="仿宋" w:eastAsia="仿宋" w:cs="仿宋"/>
          <w:sz w:val="32"/>
          <w:szCs w:val="32"/>
        </w:rPr>
        <w:t>0万元，</w:t>
      </w:r>
      <w:r>
        <w:rPr>
          <w:rFonts w:ascii="仿宋" w:hAnsi="仿宋" w:eastAsia="仿宋" w:cs="仿宋"/>
          <w:sz w:val="32"/>
          <w:szCs w:val="32"/>
        </w:rPr>
        <w:t>下降</w:t>
      </w:r>
      <w:r>
        <w:rPr>
          <w:rFonts w:hint="eastAsia" w:ascii="仿宋" w:hAnsi="仿宋" w:eastAsia="仿宋" w:cs="仿宋"/>
          <w:sz w:val="32"/>
          <w:szCs w:val="32"/>
        </w:rPr>
        <w:t>0</w:t>
      </w:r>
      <w:r>
        <w:rPr>
          <w:rFonts w:ascii="仿宋" w:hAnsi="仿宋" w:eastAsia="仿宋" w:cs="仿宋"/>
          <w:sz w:val="32"/>
          <w:szCs w:val="32"/>
        </w:rPr>
        <w:t>%</w:t>
      </w:r>
      <w:r>
        <w:rPr>
          <w:rFonts w:hint="eastAsia" w:ascii="仿宋" w:hAnsi="仿宋" w:eastAsia="仿宋" w:cs="仿宋"/>
          <w:sz w:val="32"/>
          <w:szCs w:val="32"/>
        </w:rPr>
        <w:t>，比上年决算数</w:t>
      </w:r>
      <w:r>
        <w:rPr>
          <w:rFonts w:ascii="仿宋" w:hAnsi="仿宋" w:eastAsia="仿宋" w:cs="仿宋"/>
          <w:sz w:val="32"/>
          <w:szCs w:val="32"/>
        </w:rPr>
        <w:t>增加0.00</w:t>
      </w:r>
      <w:r>
        <w:rPr>
          <w:rFonts w:hint="eastAsia" w:ascii="仿宋" w:hAnsi="仿宋" w:eastAsia="仿宋" w:cs="仿宋"/>
          <w:sz w:val="32"/>
          <w:szCs w:val="32"/>
        </w:rPr>
        <w:t>万元，</w:t>
      </w:r>
      <w:r>
        <w:rPr>
          <w:rFonts w:ascii="仿宋" w:hAnsi="仿宋" w:eastAsia="仿宋" w:cs="仿宋"/>
          <w:sz w:val="32"/>
          <w:szCs w:val="32"/>
        </w:rPr>
        <w:t>增长0%</w:t>
      </w:r>
      <w:r>
        <w:rPr>
          <w:rFonts w:hint="eastAsia" w:ascii="仿宋" w:hAnsi="仿宋" w:eastAsia="仿宋" w:cs="仿宋"/>
          <w:sz w:val="32"/>
          <w:szCs w:val="32"/>
        </w:rPr>
        <w:t>。原因是：本部门2023年度无机关运行经费支出。</w:t>
      </w:r>
    </w:p>
    <w:p>
      <w:pPr>
        <w:jc w:val="left"/>
        <w:rPr>
          <w:rFonts w:hint="eastAsia" w:ascii="黑体" w:hAnsi="黑体" w:eastAsia="黑体" w:cs="黑体"/>
          <w:sz w:val="32"/>
          <w:szCs w:val="32"/>
        </w:rPr>
      </w:pPr>
      <w:r>
        <w:rPr>
          <w:rFonts w:hint="eastAsia" w:ascii="黑体" w:hAnsi="黑体" w:eastAsia="黑体" w:cs="黑体"/>
          <w:sz w:val="32"/>
          <w:szCs w:val="32"/>
        </w:rPr>
        <w:t>（二）政府采购支出情况说明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本部门2023年度政府采购支出总额1.54万元，其中：政府采购货物支出1.54万元、政府采购工程支出</w:t>
      </w:r>
      <w:r>
        <w:rPr>
          <w:rFonts w:ascii="仿宋" w:hAnsi="仿宋" w:eastAsia="仿宋" w:cs="仿宋"/>
          <w:sz w:val="32"/>
          <w:szCs w:val="32"/>
        </w:rPr>
        <w:t>0.00</w:t>
      </w:r>
      <w:r>
        <w:rPr>
          <w:rFonts w:hint="eastAsia" w:ascii="仿宋" w:hAnsi="仿宋" w:eastAsia="仿宋" w:cs="仿宋"/>
          <w:sz w:val="32"/>
          <w:szCs w:val="32"/>
        </w:rPr>
        <w:t>万元、政府采购服务支出</w:t>
      </w:r>
      <w:r>
        <w:rPr>
          <w:rFonts w:ascii="仿宋" w:hAnsi="仿宋" w:eastAsia="仿宋" w:cs="仿宋"/>
          <w:sz w:val="32"/>
          <w:szCs w:val="32"/>
        </w:rPr>
        <w:t>0.00</w:t>
      </w:r>
      <w:r>
        <w:rPr>
          <w:rFonts w:hint="eastAsia" w:ascii="仿宋" w:hAnsi="仿宋" w:eastAsia="仿宋" w:cs="仿宋"/>
          <w:sz w:val="32"/>
          <w:szCs w:val="32"/>
        </w:rPr>
        <w:t>万元。授予中小企业合同金额1.54万元，占政府采购支出总额的100</w:t>
      </w:r>
      <w:r>
        <w:rPr>
          <w:rFonts w:ascii="仿宋" w:hAnsi="仿宋" w:eastAsia="仿宋" w:cs="仿宋"/>
          <w:sz w:val="32"/>
          <w:szCs w:val="32"/>
        </w:rPr>
        <w:t>%</w:t>
      </w:r>
      <w:r>
        <w:rPr>
          <w:rFonts w:hint="eastAsia" w:ascii="仿宋" w:hAnsi="仿宋" w:eastAsia="仿宋" w:cs="仿宋"/>
          <w:sz w:val="32"/>
          <w:szCs w:val="32"/>
        </w:rPr>
        <w:t>，其中：授予小微企业合同金额1.54万元，占授予中小企业合同金额的100</w:t>
      </w:r>
      <w:r>
        <w:rPr>
          <w:rFonts w:ascii="仿宋" w:hAnsi="仿宋" w:eastAsia="仿宋" w:cs="仿宋"/>
          <w:sz w:val="32"/>
          <w:szCs w:val="32"/>
        </w:rPr>
        <w:t>%</w:t>
      </w:r>
      <w:r>
        <w:rPr>
          <w:rFonts w:hint="eastAsia" w:ascii="仿宋" w:hAnsi="仿宋" w:eastAsia="仿宋" w:cs="仿宋"/>
          <w:sz w:val="32"/>
          <w:szCs w:val="32"/>
        </w:rPr>
        <w:t>。</w:t>
      </w:r>
    </w:p>
    <w:p>
      <w:pPr>
        <w:jc w:val="left"/>
        <w:rPr>
          <w:rFonts w:hint="eastAsia" w:ascii="仿宋" w:hAnsi="仿宋" w:eastAsia="仿宋" w:cs="仿宋"/>
          <w:sz w:val="32"/>
          <w:szCs w:val="32"/>
        </w:rPr>
      </w:pPr>
      <w:r>
        <w:rPr>
          <w:rFonts w:hint="eastAsia" w:ascii="黑体" w:hAnsi="黑体" w:eastAsia="黑体" w:cs="黑体"/>
          <w:sz w:val="32"/>
          <w:szCs w:val="32"/>
        </w:rPr>
        <w:t>（三）国有资产占用情况说明</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截至2023年12月31日，本部门共有车辆</w:t>
      </w:r>
      <w:r>
        <w:rPr>
          <w:rFonts w:ascii="仿宋" w:hAnsi="仿宋" w:eastAsia="仿宋" w:cs="仿宋"/>
          <w:sz w:val="32"/>
          <w:szCs w:val="32"/>
        </w:rPr>
        <w:t>0</w:t>
      </w:r>
      <w:r>
        <w:rPr>
          <w:rFonts w:hint="eastAsia" w:ascii="仿宋" w:hAnsi="仿宋" w:eastAsia="仿宋" w:cs="仿宋"/>
          <w:sz w:val="32"/>
          <w:szCs w:val="32"/>
        </w:rPr>
        <w:t>辆，其中：副部（省）级领导干部用车</w:t>
      </w:r>
      <w:r>
        <w:rPr>
          <w:rFonts w:ascii="仿宋" w:hAnsi="仿宋" w:eastAsia="仿宋" w:cs="仿宋"/>
          <w:sz w:val="32"/>
          <w:szCs w:val="32"/>
        </w:rPr>
        <w:t>0</w:t>
      </w:r>
      <w:r>
        <w:rPr>
          <w:rFonts w:hint="eastAsia" w:ascii="仿宋" w:hAnsi="仿宋" w:eastAsia="仿宋" w:cs="仿宋"/>
          <w:sz w:val="32"/>
          <w:szCs w:val="32"/>
        </w:rPr>
        <w:t>辆、机要通信用车</w:t>
      </w:r>
      <w:r>
        <w:rPr>
          <w:rFonts w:ascii="仿宋" w:hAnsi="仿宋" w:eastAsia="仿宋" w:cs="仿宋"/>
          <w:sz w:val="32"/>
          <w:szCs w:val="32"/>
        </w:rPr>
        <w:t>0</w:t>
      </w:r>
      <w:r>
        <w:rPr>
          <w:rFonts w:hint="eastAsia" w:ascii="仿宋" w:hAnsi="仿宋" w:eastAsia="仿宋" w:cs="仿宋"/>
          <w:sz w:val="32"/>
          <w:szCs w:val="32"/>
        </w:rPr>
        <w:t>辆、应急保障用车</w:t>
      </w:r>
      <w:r>
        <w:rPr>
          <w:rFonts w:ascii="仿宋" w:hAnsi="仿宋" w:eastAsia="仿宋" w:cs="仿宋"/>
          <w:sz w:val="32"/>
          <w:szCs w:val="32"/>
        </w:rPr>
        <w:t>0</w:t>
      </w:r>
      <w:r>
        <w:rPr>
          <w:rFonts w:hint="eastAsia" w:ascii="仿宋" w:hAnsi="仿宋" w:eastAsia="仿宋" w:cs="仿宋"/>
          <w:sz w:val="32"/>
          <w:szCs w:val="32"/>
        </w:rPr>
        <w:t>辆、执法执勤用车</w:t>
      </w:r>
      <w:r>
        <w:rPr>
          <w:rFonts w:ascii="仿宋" w:hAnsi="仿宋" w:eastAsia="仿宋" w:cs="仿宋"/>
          <w:sz w:val="32"/>
          <w:szCs w:val="32"/>
        </w:rPr>
        <w:t>0</w:t>
      </w:r>
      <w:r>
        <w:rPr>
          <w:rFonts w:hint="eastAsia" w:ascii="仿宋" w:hAnsi="仿宋" w:eastAsia="仿宋" w:cs="仿宋"/>
          <w:sz w:val="32"/>
          <w:szCs w:val="32"/>
        </w:rPr>
        <w:t>辆、特种专业技术用车</w:t>
      </w:r>
      <w:r>
        <w:rPr>
          <w:rFonts w:ascii="仿宋" w:hAnsi="仿宋" w:eastAsia="仿宋" w:cs="仿宋"/>
          <w:sz w:val="32"/>
          <w:szCs w:val="32"/>
        </w:rPr>
        <w:t>0</w:t>
      </w:r>
      <w:r>
        <w:rPr>
          <w:rFonts w:hint="eastAsia" w:ascii="仿宋" w:hAnsi="仿宋" w:eastAsia="仿宋" w:cs="仿宋"/>
          <w:sz w:val="32"/>
          <w:szCs w:val="32"/>
        </w:rPr>
        <w:t>辆、其他用车</w:t>
      </w:r>
      <w:r>
        <w:rPr>
          <w:rFonts w:ascii="仿宋" w:hAnsi="仿宋" w:eastAsia="仿宋" w:cs="仿宋"/>
          <w:sz w:val="32"/>
          <w:szCs w:val="32"/>
        </w:rPr>
        <w:t>0</w:t>
      </w:r>
      <w:r>
        <w:rPr>
          <w:rFonts w:hint="eastAsia" w:ascii="仿宋" w:hAnsi="仿宋" w:eastAsia="仿宋" w:cs="仿宋"/>
          <w:sz w:val="32"/>
          <w:szCs w:val="32"/>
        </w:rPr>
        <w:t>辆；单位价值50万元以上通用设备</w:t>
      </w:r>
      <w:r>
        <w:rPr>
          <w:rFonts w:ascii="仿宋" w:hAnsi="仿宋" w:eastAsia="仿宋" w:cs="仿宋"/>
          <w:sz w:val="32"/>
          <w:szCs w:val="32"/>
        </w:rPr>
        <w:t>0</w:t>
      </w:r>
      <w:r>
        <w:rPr>
          <w:rFonts w:hint="eastAsia" w:ascii="仿宋" w:hAnsi="仿宋" w:eastAsia="仿宋" w:cs="仿宋"/>
          <w:sz w:val="32"/>
          <w:szCs w:val="32"/>
        </w:rPr>
        <w:t>台（套）；单位价值100万元以上专用设备0（套）。</w:t>
      </w:r>
    </w:p>
    <w:p>
      <w:pPr>
        <w:jc w:val="left"/>
        <w:rPr>
          <w:rFonts w:hint="eastAsia" w:ascii="仿宋" w:hAnsi="仿宋" w:eastAsia="仿宋" w:cs="仿宋"/>
          <w:sz w:val="32"/>
          <w:szCs w:val="32"/>
        </w:rPr>
      </w:pPr>
      <w:r>
        <w:rPr>
          <w:rFonts w:hint="eastAsia" w:ascii="黑体" w:hAnsi="黑体" w:eastAsia="黑体" w:cs="黑体"/>
          <w:sz w:val="32"/>
          <w:szCs w:val="32"/>
        </w:rPr>
        <w:t>（四）预算绩效管理工作开展情况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1.绩效管理工作开展情况。</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根据财政预算管理要求，本部门组织对2023年度一般公共预算项目支出全面开展绩效自评。其中，一等项目</w:t>
      </w:r>
      <w:r>
        <w:rPr>
          <w:rFonts w:ascii="仿宋" w:hAnsi="仿宋" w:eastAsia="仿宋" w:cs="仿宋"/>
          <w:sz w:val="32"/>
          <w:szCs w:val="32"/>
        </w:rPr>
        <w:t>1</w:t>
      </w:r>
      <w:r>
        <w:rPr>
          <w:rFonts w:hint="eastAsia" w:ascii="仿宋" w:hAnsi="仿宋" w:eastAsia="仿宋" w:cs="仿宋"/>
          <w:sz w:val="32"/>
          <w:szCs w:val="32"/>
        </w:rPr>
        <w:t>9个，二等项目0个，共涉及资金249.97万元，占一般公共预算项目支出总额的84.76%。组织对2023年度</w:t>
      </w:r>
      <w:r>
        <w:rPr>
          <w:rFonts w:ascii="仿宋" w:hAnsi="仿宋" w:eastAsia="仿宋" w:cs="仿宋"/>
          <w:sz w:val="32"/>
          <w:szCs w:val="32"/>
        </w:rPr>
        <w:t>0</w:t>
      </w:r>
      <w:r>
        <w:rPr>
          <w:rFonts w:hint="eastAsia" w:ascii="仿宋" w:hAnsi="仿宋" w:eastAsia="仿宋" w:cs="仿宋"/>
          <w:sz w:val="32"/>
          <w:szCs w:val="32"/>
        </w:rPr>
        <w:t>等个政府性基金预算项目支出开展绩效自评，共涉及资金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万元，占政府性基金预算项目支出总额的</w:t>
      </w:r>
      <w:r>
        <w:rPr>
          <w:rFonts w:ascii="仿宋" w:hAnsi="仿宋" w:eastAsia="仿宋" w:cs="仿宋"/>
          <w:sz w:val="32"/>
          <w:szCs w:val="32"/>
        </w:rPr>
        <w:t>0</w:t>
      </w:r>
      <w:r>
        <w:rPr>
          <w:rFonts w:hint="eastAsia" w:ascii="仿宋" w:hAnsi="仿宋" w:eastAsia="仿宋" w:cs="仿宋"/>
          <w:sz w:val="32"/>
          <w:szCs w:val="32"/>
        </w:rPr>
        <w:t>%。组织对2023年度</w:t>
      </w:r>
      <w:r>
        <w:rPr>
          <w:rFonts w:ascii="仿宋" w:hAnsi="仿宋" w:eastAsia="仿宋" w:cs="仿宋"/>
          <w:sz w:val="32"/>
          <w:szCs w:val="32"/>
        </w:rPr>
        <w:t>0</w:t>
      </w:r>
      <w:r>
        <w:rPr>
          <w:rFonts w:hint="eastAsia" w:ascii="仿宋" w:hAnsi="仿宋" w:eastAsia="仿宋" w:cs="仿宋"/>
          <w:sz w:val="32"/>
          <w:szCs w:val="32"/>
        </w:rPr>
        <w:t>等</w:t>
      </w:r>
      <w:r>
        <w:rPr>
          <w:rFonts w:ascii="仿宋" w:hAnsi="仿宋" w:eastAsia="仿宋" w:cs="仿宋"/>
          <w:sz w:val="32"/>
          <w:szCs w:val="32"/>
        </w:rPr>
        <w:t>0</w:t>
      </w:r>
      <w:r>
        <w:rPr>
          <w:rFonts w:hint="eastAsia" w:ascii="仿宋" w:hAnsi="仿宋" w:eastAsia="仿宋" w:cs="仿宋"/>
          <w:sz w:val="32"/>
          <w:szCs w:val="32"/>
        </w:rPr>
        <w:t>个国有资本经营预算项目支出开展绩效自评，共涉及资金</w:t>
      </w:r>
      <w:r>
        <w:rPr>
          <w:rFonts w:ascii="仿宋" w:hAnsi="仿宋" w:eastAsia="仿宋" w:cs="仿宋"/>
          <w:sz w:val="32"/>
          <w:szCs w:val="32"/>
        </w:rPr>
        <w:t>0</w:t>
      </w:r>
      <w:r>
        <w:rPr>
          <w:rFonts w:hint="eastAsia" w:ascii="仿宋" w:hAnsi="仿宋" w:eastAsia="仿宋" w:cs="仿宋"/>
          <w:sz w:val="32"/>
          <w:szCs w:val="32"/>
        </w:rPr>
        <w:t>万元，占国有资本经营预算项目支出总额的</w:t>
      </w:r>
      <w:r>
        <w:rPr>
          <w:rFonts w:ascii="仿宋" w:hAnsi="仿宋" w:eastAsia="仿宋" w:cs="仿宋"/>
          <w:sz w:val="32"/>
          <w:szCs w:val="32"/>
        </w:rPr>
        <w:t>0</w:t>
      </w:r>
      <w:r>
        <w:rPr>
          <w:rFonts w:hint="eastAsia" w:ascii="仿宋" w:hAnsi="仿宋" w:eastAsia="仿宋" w:cs="仿宋"/>
          <w:sz w:val="32"/>
          <w:szCs w:val="32"/>
        </w:rPr>
        <w:t>%。</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组织对“班主任津贴”等</w:t>
      </w:r>
      <w:r>
        <w:rPr>
          <w:rFonts w:ascii="仿宋" w:hAnsi="仿宋" w:eastAsia="仿宋" w:cs="仿宋"/>
          <w:sz w:val="32"/>
          <w:szCs w:val="32"/>
        </w:rPr>
        <w:t>1</w:t>
      </w:r>
      <w:r>
        <w:rPr>
          <w:rFonts w:hint="eastAsia" w:ascii="仿宋" w:hAnsi="仿宋" w:eastAsia="仿宋" w:cs="仿宋"/>
          <w:sz w:val="32"/>
          <w:szCs w:val="32"/>
        </w:rPr>
        <w:t>9个项目进行了部门评价，涉及一般公共预算支出249.97万元，政府性基金预算支出</w:t>
      </w:r>
      <w:r>
        <w:rPr>
          <w:rFonts w:ascii="仿宋" w:hAnsi="仿宋" w:eastAsia="仿宋" w:cs="仿宋"/>
          <w:sz w:val="32"/>
          <w:szCs w:val="32"/>
        </w:rPr>
        <w:t>0</w:t>
      </w:r>
      <w:r>
        <w:rPr>
          <w:rFonts w:hint="eastAsia" w:ascii="仿宋" w:hAnsi="仿宋" w:eastAsia="仿宋" w:cs="仿宋"/>
          <w:sz w:val="32"/>
          <w:szCs w:val="32"/>
        </w:rPr>
        <w:t>万元，国有资本经营预算支出</w:t>
      </w:r>
      <w:r>
        <w:rPr>
          <w:rFonts w:ascii="仿宋" w:hAnsi="仿宋" w:eastAsia="仿宋" w:cs="仿宋"/>
          <w:sz w:val="32"/>
          <w:szCs w:val="32"/>
        </w:rPr>
        <w:t>0</w:t>
      </w:r>
      <w:r>
        <w:rPr>
          <w:rFonts w:hint="eastAsia" w:ascii="仿宋" w:hAnsi="仿宋" w:eastAsia="仿宋" w:cs="仿宋"/>
          <w:sz w:val="32"/>
          <w:szCs w:val="32"/>
        </w:rPr>
        <w:t>万元。从评价情况来看，本部门推进预算支出绩效评价管理,提高资金使用效率。按时完成各个项目年度绩效目标，提高服务对象的满意度。</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组织对</w:t>
      </w:r>
      <w:r>
        <w:rPr>
          <w:rFonts w:ascii="仿宋" w:hAnsi="仿宋" w:eastAsia="仿宋" w:cs="仿宋"/>
          <w:sz w:val="32"/>
          <w:szCs w:val="32"/>
        </w:rPr>
        <w:t>1</w:t>
      </w:r>
      <w:r>
        <w:rPr>
          <w:rFonts w:hint="eastAsia" w:ascii="仿宋" w:hAnsi="仿宋" w:eastAsia="仿宋" w:cs="仿宋"/>
          <w:sz w:val="32"/>
          <w:szCs w:val="32"/>
        </w:rPr>
        <w:t>9个项目开展整体支出绩效评价试点，涉及一般公共预算支出249.97万元，政府性基金预算支出</w:t>
      </w:r>
      <w:r>
        <w:rPr>
          <w:rFonts w:ascii="仿宋" w:hAnsi="仿宋" w:eastAsia="仿宋" w:cs="仿宋"/>
          <w:sz w:val="32"/>
          <w:szCs w:val="32"/>
        </w:rPr>
        <w:t>0</w:t>
      </w:r>
      <w:r>
        <w:rPr>
          <w:rFonts w:hint="eastAsia" w:ascii="仿宋" w:hAnsi="仿宋" w:eastAsia="仿宋" w:cs="仿宋"/>
          <w:sz w:val="32"/>
          <w:szCs w:val="32"/>
        </w:rPr>
        <w:t>万元。从评价情况来看，我部门绩效管理情况较为理想，达到了年初设定的各项绩效目标。所有资金使用严格按审批程序办理、操作规范，会计核算结果真实、准确，各项支出严格按照各项制度执行。</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2.部门决算中项目绩效自评结果。</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我部门根据年初设定的绩效目标，</w:t>
      </w:r>
      <w:bookmarkStart w:id="10" w:name="_Hlk151217930"/>
      <w:r>
        <w:rPr>
          <w:rFonts w:hint="eastAsia" w:ascii="仿宋" w:hAnsi="仿宋" w:eastAsia="仿宋" w:cs="仿宋"/>
          <w:sz w:val="32"/>
          <w:szCs w:val="32"/>
        </w:rPr>
        <w:t>班主任津贴项目自评得分为100分，无发现问题。奖励性补贴项目自评得分为100分。无发现问题。</w:t>
      </w:r>
      <w:bookmarkEnd w:id="10"/>
      <w:r>
        <w:rPr>
          <w:rFonts w:hint="eastAsia" w:ascii="仿宋" w:hAnsi="仿宋" w:eastAsia="仿宋" w:cs="仿宋"/>
          <w:sz w:val="32"/>
          <w:szCs w:val="32"/>
        </w:rPr>
        <w:t>普惠性民办幼儿园奖补中央补助资金项目自评得分为94.19分。发现的主要问题及原因：辖区内普惠性民办幼儿园未能及时整理报账材料。下一步改进措施：一是做好民办幼儿园整理报账材料的培训；二是加快资金进度安排。教师节经费项目自评得分为</w:t>
      </w:r>
      <w:r>
        <w:rPr>
          <w:rFonts w:ascii="仿宋" w:hAnsi="仿宋" w:eastAsia="仿宋" w:cs="仿宋"/>
          <w:sz w:val="32"/>
          <w:szCs w:val="32"/>
        </w:rPr>
        <w:t>100</w:t>
      </w:r>
      <w:r>
        <w:rPr>
          <w:rFonts w:hint="eastAsia" w:ascii="仿宋" w:hAnsi="仿宋" w:eastAsia="仿宋" w:cs="仿宋"/>
          <w:sz w:val="32"/>
          <w:szCs w:val="32"/>
        </w:rPr>
        <w:t>分。发现的主要问题及原因：无。下一步改进措施：无。普惠性民办幼儿园专职保安员配备自治区补助经费项目自评得分为</w:t>
      </w:r>
      <w:r>
        <w:rPr>
          <w:rFonts w:ascii="仿宋" w:hAnsi="仿宋" w:eastAsia="仿宋" w:cs="仿宋"/>
          <w:sz w:val="32"/>
          <w:szCs w:val="32"/>
        </w:rPr>
        <w:t>100</w:t>
      </w:r>
      <w:r>
        <w:rPr>
          <w:rFonts w:hint="eastAsia" w:ascii="仿宋" w:hAnsi="仿宋" w:eastAsia="仿宋" w:cs="仿宋"/>
          <w:sz w:val="32"/>
          <w:szCs w:val="32"/>
        </w:rPr>
        <w:t>分。发现的主要问题及原因：无。下一步改进措施：无。年初预算经费项目自评得分为</w:t>
      </w:r>
      <w:r>
        <w:rPr>
          <w:rFonts w:ascii="仿宋" w:hAnsi="仿宋" w:eastAsia="仿宋" w:cs="仿宋"/>
          <w:sz w:val="32"/>
          <w:szCs w:val="32"/>
        </w:rPr>
        <w:t>9</w:t>
      </w:r>
      <w:r>
        <w:rPr>
          <w:rFonts w:hint="eastAsia" w:ascii="仿宋" w:hAnsi="仿宋" w:eastAsia="仿宋" w:cs="仿宋"/>
          <w:sz w:val="32"/>
          <w:szCs w:val="32"/>
        </w:rPr>
        <w:t>7.07分。发现的主要问题及原因：部分报账材料未能及时整理。下一步改进措施：及时整理报账材料，完成年度资金进度安排。学前教育免除保教费中央补助资金项目自评得分为</w:t>
      </w:r>
      <w:r>
        <w:rPr>
          <w:rFonts w:ascii="仿宋" w:hAnsi="仿宋" w:eastAsia="仿宋" w:cs="仿宋"/>
          <w:sz w:val="32"/>
          <w:szCs w:val="32"/>
        </w:rPr>
        <w:t>99.</w:t>
      </w:r>
      <w:r>
        <w:rPr>
          <w:rFonts w:hint="eastAsia" w:ascii="仿宋" w:hAnsi="仿宋" w:eastAsia="仿宋" w:cs="仿宋"/>
          <w:sz w:val="32"/>
          <w:szCs w:val="32"/>
        </w:rPr>
        <w:t>82分。发现的主要问题及原因：辖区内普惠性民办幼儿园未能及时整理报账材料。下一步改进措施：一是做好民办幼儿园整理报账材料的培训；二是加快资金进度安排。学前教育免除保教育费自治区补助资金项目自评得分为</w:t>
      </w:r>
      <w:r>
        <w:rPr>
          <w:rFonts w:ascii="仿宋" w:hAnsi="仿宋" w:eastAsia="仿宋" w:cs="仿宋"/>
          <w:sz w:val="32"/>
          <w:szCs w:val="32"/>
        </w:rPr>
        <w:t>97.</w:t>
      </w:r>
      <w:r>
        <w:rPr>
          <w:rFonts w:hint="eastAsia" w:ascii="仿宋" w:hAnsi="仿宋" w:eastAsia="仿宋" w:cs="仿宋"/>
          <w:sz w:val="32"/>
          <w:szCs w:val="32"/>
        </w:rPr>
        <w:t>62分。发现的主要问题及原因：辖区内普惠性民办幼儿园未能及时整理报账材料。下一步改进措施：一是做好民办幼儿园整理报账材料的培训；二是加快资金进度安排。学前教育免保教费县本级补助资金项目自评得分为</w:t>
      </w:r>
      <w:r>
        <w:rPr>
          <w:rFonts w:ascii="仿宋" w:hAnsi="仿宋" w:eastAsia="仿宋" w:cs="仿宋"/>
          <w:sz w:val="32"/>
          <w:szCs w:val="32"/>
        </w:rPr>
        <w:t>9</w:t>
      </w:r>
      <w:r>
        <w:rPr>
          <w:rFonts w:hint="eastAsia" w:ascii="仿宋" w:hAnsi="仿宋" w:eastAsia="仿宋" w:cs="仿宋"/>
          <w:sz w:val="32"/>
          <w:szCs w:val="32"/>
        </w:rPr>
        <w:t>0.39分。发现的主要问题及原因：辖区内普惠性民办幼儿园未能及时整理报账材料。下一步改进措施：一是做好民办幼儿园整理报账材料的培训；二是加快资金进度安排。学前生均公用经费项目自评得分为95</w:t>
      </w:r>
      <w:r>
        <w:rPr>
          <w:rFonts w:ascii="仿宋" w:hAnsi="仿宋" w:eastAsia="仿宋" w:cs="仿宋"/>
          <w:sz w:val="32"/>
          <w:szCs w:val="32"/>
        </w:rPr>
        <w:t>.54</w:t>
      </w:r>
      <w:r>
        <w:rPr>
          <w:rFonts w:hint="eastAsia" w:ascii="仿宋" w:hAnsi="仿宋" w:eastAsia="仿宋" w:cs="仿宋"/>
          <w:sz w:val="32"/>
          <w:szCs w:val="32"/>
        </w:rPr>
        <w:t>分。发现的主要问题及原因：部分报账材料未能及时整理。下一步改进措施：及时整理报账材料，完成年度资金进度安排。环江县第三幼儿园2023年年初预算经费(非三保)项目自评得分为100分。学前教育质量提升资金项目自评得分为98.29分。发现的主要问题及原因：部分报账材料未能及时整理。下一步改进措施：及时整理报账材料，完成年度资金进度安排。全县校长绩效工资项目自评得分为</w:t>
      </w:r>
      <w:r>
        <w:rPr>
          <w:rFonts w:ascii="仿宋" w:hAnsi="仿宋" w:eastAsia="仿宋" w:cs="仿宋"/>
          <w:sz w:val="32"/>
          <w:szCs w:val="32"/>
        </w:rPr>
        <w:t>100</w:t>
      </w:r>
      <w:r>
        <w:rPr>
          <w:rFonts w:hint="eastAsia" w:ascii="仿宋" w:hAnsi="仿宋" w:eastAsia="仿宋" w:cs="仿宋"/>
          <w:sz w:val="32"/>
          <w:szCs w:val="32"/>
        </w:rPr>
        <w:t>分。发现的主要问题及原因：无。下一步改进措施：无。普惠幼儿园奖补县本级奖补资金项目自评得分为</w:t>
      </w:r>
      <w:r>
        <w:rPr>
          <w:rFonts w:ascii="仿宋" w:hAnsi="仿宋" w:eastAsia="仿宋" w:cs="仿宋"/>
          <w:sz w:val="32"/>
          <w:szCs w:val="32"/>
        </w:rPr>
        <w:t>100</w:t>
      </w:r>
      <w:r>
        <w:rPr>
          <w:rFonts w:hint="eastAsia" w:ascii="仿宋" w:hAnsi="仿宋" w:eastAsia="仿宋" w:cs="仿宋"/>
          <w:sz w:val="32"/>
          <w:szCs w:val="32"/>
        </w:rPr>
        <w:t>分。发现的主要问题及原因：无。下一步改进措施：无。普惠性民办幼儿园专职保安员配备市级补助经费项目自评得分为100分，无发现问题。普惠幼儿园奖补县本级奖补资金项目自评得分为98.29分。发现的主要问题及原因：民办幼儿园部分报账材料未能及时整理。下一步改进措施：及时整理报账材料，完成年度资金进度安排。学前教育普惠性幼儿园奖补(一次性奖补)</w:t>
      </w:r>
      <w:r>
        <w:rPr>
          <w:rFonts w:hint="eastAsia" w:ascii="仿宋_GB2312" w:eastAsia="仿宋_GB2312"/>
          <w:sz w:val="32"/>
          <w:szCs w:val="32"/>
        </w:rPr>
        <w:t xml:space="preserve"> 项目</w:t>
      </w:r>
      <w:r>
        <w:rPr>
          <w:rFonts w:hint="eastAsia" w:ascii="仿宋" w:hAnsi="仿宋" w:eastAsia="仿宋" w:cs="仿宋"/>
          <w:sz w:val="32"/>
          <w:szCs w:val="32"/>
        </w:rPr>
        <w:t>自评得分为100分，无发现问题。普惠性民办幼儿园奖补自治区补助资金项目自评得分为100分，无发现问题。</w:t>
      </w:r>
    </w:p>
    <w:p>
      <w:pPr>
        <w:jc w:val="center"/>
        <w:rPr>
          <w:rFonts w:hint="eastAsia" w:ascii="黑体" w:hAnsi="黑体" w:eastAsia="黑体" w:cs="黑体"/>
          <w:sz w:val="32"/>
          <w:szCs w:val="32"/>
        </w:rPr>
      </w:pPr>
      <w:r>
        <w:rPr>
          <w:rFonts w:hint="eastAsia" w:ascii="黑体" w:hAnsi="黑体" w:eastAsia="黑体" w:cs="黑体"/>
          <w:sz w:val="32"/>
          <w:szCs w:val="32"/>
        </w:rPr>
        <w:t>第四部分  名词解释</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一、财政拨款收入：指</w:t>
      </w:r>
      <w:r>
        <w:rPr>
          <w:rFonts w:ascii="仿宋" w:hAnsi="仿宋" w:eastAsia="仿宋" w:cs="仿宋"/>
          <w:sz w:val="32"/>
        </w:rPr>
        <w:t>环江毛南族自治县财政部门当年拨付的资金。</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二、事业收入：指事业单位开展专业业务活动及辅助活动所取得的收入。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三、经营收入：指事业单位在专业业务活动及其辅助活动之外开展非独立核算经营活动取得的收入。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四、其他收入：指除上述“财政拨款收入”“事业收入”“经营收入”等以外的收入。</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六、年初结转和结余：指以前年度尚未完成、结转到本年 按有关规定继续使用的资金。</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七、结余分配：指事业单位按规定提取的职工福利基金、事业基金和缴纳的所得税，以及建设单位按规定应交回的基本建设竣工项目结余资金。 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八、年末结转和结余：指本年度或以前年度预算安排、因客观条件发生变化无法按原计划实施，需要延迟到以后年度按有关规定继续使用的资金。 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九、基本支出：指为保障机构正常运转、完成日常工作任务而发生的人员支出和公用支出。 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十、项目支出：指在基本支出之外为完成特定行政任务和事业发展目标所发生的支出。 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十一、经营支出：指事业单位在专业业务活动及其辅助活动之外开展非独立核算经营活动发生的支出。</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十二、“三公”经费：纳入</w:t>
      </w:r>
      <w:r>
        <w:rPr>
          <w:rFonts w:ascii="仿宋" w:hAnsi="仿宋" w:eastAsia="仿宋" w:cs="仿宋"/>
          <w:sz w:val="32"/>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14E1E"/>
    <w:rsid w:val="00022149"/>
    <w:rsid w:val="00030FAF"/>
    <w:rsid w:val="00047F6C"/>
    <w:rsid w:val="0007420F"/>
    <w:rsid w:val="000769D2"/>
    <w:rsid w:val="00093C26"/>
    <w:rsid w:val="00094B91"/>
    <w:rsid w:val="000B06D8"/>
    <w:rsid w:val="000E10C9"/>
    <w:rsid w:val="000E3737"/>
    <w:rsid w:val="000E5855"/>
    <w:rsid w:val="00122986"/>
    <w:rsid w:val="001418A5"/>
    <w:rsid w:val="00147D40"/>
    <w:rsid w:val="00156EF2"/>
    <w:rsid w:val="001B04D9"/>
    <w:rsid w:val="001B318A"/>
    <w:rsid w:val="001C42FF"/>
    <w:rsid w:val="001D7B97"/>
    <w:rsid w:val="001E10B8"/>
    <w:rsid w:val="001F2922"/>
    <w:rsid w:val="001F4992"/>
    <w:rsid w:val="00210E20"/>
    <w:rsid w:val="00215F09"/>
    <w:rsid w:val="00223F38"/>
    <w:rsid w:val="00226BB1"/>
    <w:rsid w:val="00227935"/>
    <w:rsid w:val="00233613"/>
    <w:rsid w:val="002371CC"/>
    <w:rsid w:val="00254DBE"/>
    <w:rsid w:val="00267F05"/>
    <w:rsid w:val="00275CAB"/>
    <w:rsid w:val="0027657A"/>
    <w:rsid w:val="0028709C"/>
    <w:rsid w:val="0029328F"/>
    <w:rsid w:val="002B05AC"/>
    <w:rsid w:val="002B2731"/>
    <w:rsid w:val="002E48AF"/>
    <w:rsid w:val="002E5E53"/>
    <w:rsid w:val="00300725"/>
    <w:rsid w:val="00317589"/>
    <w:rsid w:val="00320D84"/>
    <w:rsid w:val="003326E4"/>
    <w:rsid w:val="00382867"/>
    <w:rsid w:val="0039749A"/>
    <w:rsid w:val="003A4973"/>
    <w:rsid w:val="003B65F1"/>
    <w:rsid w:val="003C1C96"/>
    <w:rsid w:val="003C69F8"/>
    <w:rsid w:val="003E3EF0"/>
    <w:rsid w:val="003E40BA"/>
    <w:rsid w:val="003E7165"/>
    <w:rsid w:val="003F1917"/>
    <w:rsid w:val="004034CB"/>
    <w:rsid w:val="00411D54"/>
    <w:rsid w:val="00414FFA"/>
    <w:rsid w:val="0041579D"/>
    <w:rsid w:val="00427074"/>
    <w:rsid w:val="00434D04"/>
    <w:rsid w:val="00445B79"/>
    <w:rsid w:val="0045240F"/>
    <w:rsid w:val="00457821"/>
    <w:rsid w:val="004637BE"/>
    <w:rsid w:val="004658F5"/>
    <w:rsid w:val="004B4EAB"/>
    <w:rsid w:val="004B658D"/>
    <w:rsid w:val="004B7536"/>
    <w:rsid w:val="004C4D73"/>
    <w:rsid w:val="004D6414"/>
    <w:rsid w:val="004D72FF"/>
    <w:rsid w:val="004D7D0E"/>
    <w:rsid w:val="005234F5"/>
    <w:rsid w:val="005263D8"/>
    <w:rsid w:val="00531745"/>
    <w:rsid w:val="00546C04"/>
    <w:rsid w:val="005536F7"/>
    <w:rsid w:val="0055485E"/>
    <w:rsid w:val="00555A52"/>
    <w:rsid w:val="00571563"/>
    <w:rsid w:val="00574196"/>
    <w:rsid w:val="00577668"/>
    <w:rsid w:val="00586962"/>
    <w:rsid w:val="00593BF0"/>
    <w:rsid w:val="00595DE1"/>
    <w:rsid w:val="005B454B"/>
    <w:rsid w:val="00606193"/>
    <w:rsid w:val="006123AD"/>
    <w:rsid w:val="00620422"/>
    <w:rsid w:val="00645B83"/>
    <w:rsid w:val="00646978"/>
    <w:rsid w:val="006613DC"/>
    <w:rsid w:val="0066173C"/>
    <w:rsid w:val="006742AB"/>
    <w:rsid w:val="0067720A"/>
    <w:rsid w:val="00680A42"/>
    <w:rsid w:val="006916EC"/>
    <w:rsid w:val="006B1CF3"/>
    <w:rsid w:val="006B3A03"/>
    <w:rsid w:val="006D0396"/>
    <w:rsid w:val="006D677A"/>
    <w:rsid w:val="006F185D"/>
    <w:rsid w:val="006F5799"/>
    <w:rsid w:val="007011D2"/>
    <w:rsid w:val="00706045"/>
    <w:rsid w:val="00726A10"/>
    <w:rsid w:val="007640BB"/>
    <w:rsid w:val="00771953"/>
    <w:rsid w:val="00776E0B"/>
    <w:rsid w:val="0078051D"/>
    <w:rsid w:val="007A0641"/>
    <w:rsid w:val="007A2166"/>
    <w:rsid w:val="007B5D5D"/>
    <w:rsid w:val="007C52E7"/>
    <w:rsid w:val="007C54EA"/>
    <w:rsid w:val="007C776D"/>
    <w:rsid w:val="007D7CE3"/>
    <w:rsid w:val="007E2F6C"/>
    <w:rsid w:val="007F3705"/>
    <w:rsid w:val="00817C69"/>
    <w:rsid w:val="00823A94"/>
    <w:rsid w:val="00824151"/>
    <w:rsid w:val="008315A9"/>
    <w:rsid w:val="00834354"/>
    <w:rsid w:val="00834982"/>
    <w:rsid w:val="008437BA"/>
    <w:rsid w:val="008811A5"/>
    <w:rsid w:val="00885226"/>
    <w:rsid w:val="00895B73"/>
    <w:rsid w:val="008E3C04"/>
    <w:rsid w:val="008E4F10"/>
    <w:rsid w:val="008F1B95"/>
    <w:rsid w:val="008F4AE2"/>
    <w:rsid w:val="008F6882"/>
    <w:rsid w:val="009142F1"/>
    <w:rsid w:val="00934C72"/>
    <w:rsid w:val="00946CCF"/>
    <w:rsid w:val="009518BB"/>
    <w:rsid w:val="009665E2"/>
    <w:rsid w:val="0097368A"/>
    <w:rsid w:val="0097721B"/>
    <w:rsid w:val="009814E9"/>
    <w:rsid w:val="009831F8"/>
    <w:rsid w:val="009A3682"/>
    <w:rsid w:val="009A6D12"/>
    <w:rsid w:val="009A7202"/>
    <w:rsid w:val="009B3E00"/>
    <w:rsid w:val="009D1667"/>
    <w:rsid w:val="009F1138"/>
    <w:rsid w:val="00A036DA"/>
    <w:rsid w:val="00A07CCE"/>
    <w:rsid w:val="00A1532B"/>
    <w:rsid w:val="00A15D2A"/>
    <w:rsid w:val="00A27624"/>
    <w:rsid w:val="00A31BCD"/>
    <w:rsid w:val="00A32047"/>
    <w:rsid w:val="00A358E6"/>
    <w:rsid w:val="00A40A06"/>
    <w:rsid w:val="00A55B92"/>
    <w:rsid w:val="00A575AA"/>
    <w:rsid w:val="00A60922"/>
    <w:rsid w:val="00A874C2"/>
    <w:rsid w:val="00AA3E9D"/>
    <w:rsid w:val="00AA59F5"/>
    <w:rsid w:val="00AA5A1B"/>
    <w:rsid w:val="00AA78EE"/>
    <w:rsid w:val="00AB1B0E"/>
    <w:rsid w:val="00AB53E1"/>
    <w:rsid w:val="00AC29E0"/>
    <w:rsid w:val="00AC47DC"/>
    <w:rsid w:val="00AE5F66"/>
    <w:rsid w:val="00B07A0B"/>
    <w:rsid w:val="00B07B3F"/>
    <w:rsid w:val="00B13A25"/>
    <w:rsid w:val="00B22F28"/>
    <w:rsid w:val="00B37453"/>
    <w:rsid w:val="00B45479"/>
    <w:rsid w:val="00B60171"/>
    <w:rsid w:val="00B708DE"/>
    <w:rsid w:val="00B837AC"/>
    <w:rsid w:val="00BB4FB8"/>
    <w:rsid w:val="00BB6D86"/>
    <w:rsid w:val="00BD0528"/>
    <w:rsid w:val="00BD315D"/>
    <w:rsid w:val="00C01462"/>
    <w:rsid w:val="00C02BB7"/>
    <w:rsid w:val="00C04AF3"/>
    <w:rsid w:val="00C110D2"/>
    <w:rsid w:val="00C3279E"/>
    <w:rsid w:val="00C34857"/>
    <w:rsid w:val="00C43D9B"/>
    <w:rsid w:val="00C74217"/>
    <w:rsid w:val="00C905EE"/>
    <w:rsid w:val="00C90E9E"/>
    <w:rsid w:val="00C94E2B"/>
    <w:rsid w:val="00CA2E26"/>
    <w:rsid w:val="00CB5B20"/>
    <w:rsid w:val="00CB7771"/>
    <w:rsid w:val="00CC4DB1"/>
    <w:rsid w:val="00CD0763"/>
    <w:rsid w:val="00CE6609"/>
    <w:rsid w:val="00D00918"/>
    <w:rsid w:val="00D14326"/>
    <w:rsid w:val="00D56CC7"/>
    <w:rsid w:val="00D63ABC"/>
    <w:rsid w:val="00D772CC"/>
    <w:rsid w:val="00D84F30"/>
    <w:rsid w:val="00D85423"/>
    <w:rsid w:val="00D878A6"/>
    <w:rsid w:val="00D90FBF"/>
    <w:rsid w:val="00DB73F4"/>
    <w:rsid w:val="00DC76C1"/>
    <w:rsid w:val="00DE5938"/>
    <w:rsid w:val="00DE74BD"/>
    <w:rsid w:val="00DE7D07"/>
    <w:rsid w:val="00E247CC"/>
    <w:rsid w:val="00E31F7B"/>
    <w:rsid w:val="00E8229C"/>
    <w:rsid w:val="00E837F6"/>
    <w:rsid w:val="00EB7822"/>
    <w:rsid w:val="00EC2A24"/>
    <w:rsid w:val="00EC50A9"/>
    <w:rsid w:val="00ED04DB"/>
    <w:rsid w:val="00ED78EA"/>
    <w:rsid w:val="00EE0C96"/>
    <w:rsid w:val="00F03CAD"/>
    <w:rsid w:val="00F21455"/>
    <w:rsid w:val="00F25578"/>
    <w:rsid w:val="00F30A21"/>
    <w:rsid w:val="00F5354B"/>
    <w:rsid w:val="00F552CC"/>
    <w:rsid w:val="00F904BA"/>
    <w:rsid w:val="00F90667"/>
    <w:rsid w:val="00F95135"/>
    <w:rsid w:val="00F9658C"/>
    <w:rsid w:val="00F978FD"/>
    <w:rsid w:val="00FA738E"/>
    <w:rsid w:val="00FC16A5"/>
    <w:rsid w:val="00FC1B1E"/>
    <w:rsid w:val="00FC438B"/>
    <w:rsid w:val="00FE5A4F"/>
    <w:rsid w:val="00FE693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2D23D3C"/>
    <w:rsid w:val="246E2F77"/>
    <w:rsid w:val="24806E3C"/>
    <w:rsid w:val="254B4E2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B0B217C"/>
    <w:rsid w:val="3C07002B"/>
    <w:rsid w:val="3D0D152A"/>
    <w:rsid w:val="3DF62756"/>
    <w:rsid w:val="3F1B7587"/>
    <w:rsid w:val="40461717"/>
    <w:rsid w:val="41E57B4F"/>
    <w:rsid w:val="432F26F6"/>
    <w:rsid w:val="43880F63"/>
    <w:rsid w:val="441C5A6F"/>
    <w:rsid w:val="44513A53"/>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10107B"/>
    <w:rsid w:val="5786217B"/>
    <w:rsid w:val="59337A15"/>
    <w:rsid w:val="59810274"/>
    <w:rsid w:val="5CA96A00"/>
    <w:rsid w:val="5CF730BC"/>
    <w:rsid w:val="5CFD11A7"/>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字符"/>
    <w:basedOn w:val="7"/>
    <w:link w:val="4"/>
    <w:qFormat/>
    <w:uiPriority w:val="0"/>
    <w:rPr>
      <w:rFonts w:asciiTheme="minorHAnsi" w:hAnsiTheme="minorHAnsi" w:eastAsiaTheme="minorEastAsia" w:cstheme="minorBidi"/>
      <w:kern w:val="2"/>
      <w:sz w:val="18"/>
      <w:szCs w:val="18"/>
    </w:rPr>
  </w:style>
  <w:style w:type="character" w:customStyle="1" w:styleId="10">
    <w:name w:val="页脚 字符"/>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Template>
  <Pages>41</Pages>
  <Words>2337</Words>
  <Characters>13326</Characters>
  <Lines>111</Lines>
  <Paragraphs>31</Paragraphs>
  <TotalTime>0</TotalTime>
  <ScaleCrop>false</ScaleCrop>
  <LinksUpToDate>false</LinksUpToDate>
  <CharactersWithSpaces>15632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hjxjyj</cp:lastModifiedBy>
  <cp:lastPrinted>2023-11-20T00:32:00Z</cp:lastPrinted>
  <dcterms:modified xsi:type="dcterms:W3CDTF">2024-12-31T07:59:28Z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AB39B93F7D76405DB80362C81FFF8051_13</vt:lpwstr>
  </property>
</Properties>
</file>