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环江毛南族自治县第四初级中学</w:t>
      </w:r>
      <w:r>
        <w:rPr>
          <w:rFonts w:hint="eastAsia" w:ascii="黑体" w:hAnsi="黑体" w:eastAsia="黑体" w:cs="黑体"/>
          <w:b/>
          <w:bCs/>
          <w:sz w:val="52"/>
          <w:szCs w:val="52"/>
          <w:highlight w:val="none"/>
          <w:lang w:eastAsia="zh-CN"/>
        </w:rPr>
        <w:t>2023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200" w:firstLineChars="500"/>
        <w:jc w:val="left"/>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单位负责人：覃 偶</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广西河池市环江毛南族自治县第四初级中学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广西河池市环江毛南族自治县第四初级中学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广西河池市环江毛南族自治县第四初级中学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广西河池市环江毛南族自治县第四初级中学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_GB2312" w:eastAsia="仿宋_GB2312"/>
          <w:b/>
          <w:bCs/>
          <w:sz w:val="32"/>
          <w:szCs w:val="32"/>
        </w:rPr>
      </w:pPr>
      <w:r>
        <w:rPr>
          <w:rFonts w:hint="eastAsia" w:ascii="仿宋_GB2312" w:eastAsia="仿宋_GB2312"/>
          <w:b/>
          <w:bCs/>
          <w:sz w:val="32"/>
          <w:szCs w:val="32"/>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w:t>
      </w:r>
      <w:r>
        <w:rPr>
          <w:rFonts w:hint="eastAsia" w:ascii="仿宋_GB2312" w:eastAsia="仿宋_GB2312" w:cs="仿宋_GB2312"/>
          <w:kern w:val="0"/>
          <w:sz w:val="32"/>
          <w:szCs w:val="32"/>
          <w:lang w:val="en-US" w:eastAsia="zh-CN"/>
        </w:rPr>
        <w:t>推进</w:t>
      </w:r>
      <w:r>
        <w:rPr>
          <w:rFonts w:hint="eastAsia" w:ascii="仿宋_GB2312" w:eastAsia="仿宋_GB2312" w:cs="仿宋_GB2312"/>
          <w:kern w:val="0"/>
          <w:sz w:val="32"/>
          <w:szCs w:val="32"/>
        </w:rPr>
        <w:t>教育</w:t>
      </w:r>
      <w:r>
        <w:rPr>
          <w:rFonts w:hint="eastAsia" w:ascii="仿宋_GB2312" w:eastAsia="仿宋_GB2312" w:cs="仿宋_GB2312"/>
          <w:kern w:val="0"/>
          <w:sz w:val="32"/>
          <w:szCs w:val="32"/>
          <w:lang w:val="en-US" w:eastAsia="zh-CN"/>
        </w:rPr>
        <w:t>教学</w:t>
      </w:r>
      <w:r>
        <w:rPr>
          <w:rFonts w:hint="eastAsia" w:ascii="仿宋_GB2312" w:eastAsia="仿宋_GB2312" w:cs="仿宋_GB2312"/>
          <w:kern w:val="0"/>
          <w:sz w:val="32"/>
          <w:szCs w:val="32"/>
        </w:rPr>
        <w:t>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（二）编制本</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教育事业发展规划并检查实施情况，向上级教育部门作出报告。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（三）贯彻执行教育方针、政策、法令、法规和上级的各项规定；评估指导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  （四）负责推进义务教育均衡发展和促进教育公平，负责</w:t>
      </w:r>
      <w:r>
        <w:rPr>
          <w:rFonts w:hint="eastAsia" w:ascii="仿宋_GB2312" w:eastAsia="仿宋_GB2312" w:cs="仿宋_GB2312"/>
          <w:kern w:val="0"/>
          <w:sz w:val="32"/>
          <w:szCs w:val="32"/>
          <w:lang w:val="en-US" w:eastAsia="zh-CN"/>
        </w:rPr>
        <w:t>学校执行义务</w:t>
      </w:r>
      <w:r>
        <w:rPr>
          <w:rFonts w:hint="eastAsia" w:ascii="仿宋_GB2312" w:eastAsia="仿宋_GB2312" w:cs="仿宋_GB2312"/>
          <w:kern w:val="0"/>
          <w:sz w:val="32"/>
          <w:szCs w:val="32"/>
        </w:rPr>
        <w:t>教育的宏观指导与协调</w:t>
      </w:r>
      <w:r>
        <w:rPr>
          <w:rFonts w:hint="eastAsia" w:ascii="仿宋_GB2312"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（五）负责全</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教师队伍建设，包括</w:t>
      </w:r>
      <w:r>
        <w:rPr>
          <w:rFonts w:hint="eastAsia" w:ascii="仿宋_GB2312" w:eastAsia="仿宋_GB2312" w:cs="仿宋_GB2312"/>
          <w:kern w:val="0"/>
          <w:sz w:val="32"/>
          <w:szCs w:val="32"/>
          <w:lang w:val="en-US" w:eastAsia="zh-CN"/>
        </w:rPr>
        <w:t>教师业务</w:t>
      </w:r>
      <w:r>
        <w:rPr>
          <w:rFonts w:hint="eastAsia" w:ascii="仿宋_GB2312" w:eastAsia="仿宋_GB2312" w:cs="仿宋_GB2312"/>
          <w:kern w:val="0"/>
          <w:sz w:val="32"/>
          <w:szCs w:val="32"/>
        </w:rPr>
        <w:t>培训、</w:t>
      </w:r>
      <w:r>
        <w:rPr>
          <w:rFonts w:hint="eastAsia" w:ascii="仿宋_GB2312" w:eastAsia="仿宋_GB2312" w:cs="仿宋_GB2312"/>
          <w:kern w:val="0"/>
          <w:sz w:val="32"/>
          <w:szCs w:val="32"/>
          <w:lang w:val="en-US" w:eastAsia="zh-CN"/>
        </w:rPr>
        <w:t>队</w:t>
      </w:r>
      <w:r>
        <w:rPr>
          <w:rFonts w:hint="eastAsia" w:ascii="仿宋_GB2312" w:eastAsia="仿宋_GB2312" w:cs="仿宋_GB2312"/>
          <w:kern w:val="0"/>
          <w:sz w:val="32"/>
          <w:szCs w:val="32"/>
        </w:rPr>
        <w:t>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w:t>
      </w:r>
      <w:r>
        <w:rPr>
          <w:rFonts w:hint="eastAsia" w:ascii="仿宋_GB2312" w:eastAsia="仿宋_GB2312" w:cs="仿宋_GB2312"/>
          <w:kern w:val="0"/>
          <w:sz w:val="32"/>
          <w:szCs w:val="32"/>
          <w:lang w:val="en-US" w:eastAsia="zh-CN"/>
        </w:rPr>
        <w:t>做好学生各期考试、</w:t>
      </w:r>
      <w:r>
        <w:rPr>
          <w:rFonts w:hint="eastAsia" w:ascii="仿宋_GB2312" w:eastAsia="仿宋_GB2312" w:cs="仿宋_GB2312"/>
          <w:kern w:val="0"/>
          <w:sz w:val="32"/>
          <w:szCs w:val="32"/>
        </w:rPr>
        <w:t>招生录取工作和学</w:t>
      </w:r>
      <w:r>
        <w:rPr>
          <w:rFonts w:hint="eastAsia" w:ascii="仿宋_GB2312" w:eastAsia="仿宋_GB2312" w:cs="仿宋_GB2312"/>
          <w:kern w:val="0"/>
          <w:sz w:val="32"/>
          <w:szCs w:val="32"/>
          <w:lang w:val="en-US" w:eastAsia="zh-CN"/>
        </w:rPr>
        <w:t>生</w:t>
      </w:r>
      <w:r>
        <w:rPr>
          <w:rFonts w:hint="eastAsia" w:ascii="仿宋_GB2312" w:eastAsia="仿宋_GB2312" w:cs="仿宋_GB2312"/>
          <w:kern w:val="0"/>
          <w:sz w:val="32"/>
          <w:szCs w:val="32"/>
        </w:rPr>
        <w:t>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（七）按照中央关于全面推进素质教育要求，负责</w:t>
      </w:r>
      <w:r>
        <w:rPr>
          <w:rFonts w:hint="eastAsia" w:ascii="仿宋_GB2312" w:eastAsia="仿宋_GB2312" w:cs="仿宋_GB2312"/>
          <w:kern w:val="0"/>
          <w:sz w:val="32"/>
          <w:szCs w:val="32"/>
          <w:lang w:val="en-US" w:eastAsia="zh-CN"/>
        </w:rPr>
        <w:t>全校</w:t>
      </w:r>
      <w:r>
        <w:rPr>
          <w:rFonts w:hint="eastAsia" w:ascii="仿宋_GB2312" w:eastAsia="仿宋_GB2312" w:cs="仿宋_GB2312"/>
          <w:kern w:val="0"/>
          <w:sz w:val="32"/>
          <w:szCs w:val="32"/>
        </w:rPr>
        <w:t>教育教学管理、教育教学改革及教育教学工作，检查指导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（九）检查指导</w:t>
      </w:r>
      <w:r>
        <w:rPr>
          <w:rFonts w:hint="eastAsia" w:ascii="仿宋_GB2312" w:eastAsia="仿宋_GB2312" w:cs="仿宋_GB2312"/>
          <w:kern w:val="0"/>
          <w:sz w:val="32"/>
          <w:szCs w:val="32"/>
          <w:lang w:val="en-US" w:eastAsia="zh-CN"/>
        </w:rPr>
        <w:t>本单位</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  （十）负责</w:t>
      </w:r>
      <w:r>
        <w:rPr>
          <w:rFonts w:hint="eastAsia" w:ascii="仿宋_GB2312" w:eastAsia="仿宋_GB2312" w:cs="仿宋_GB2312"/>
          <w:kern w:val="0"/>
          <w:sz w:val="32"/>
          <w:szCs w:val="32"/>
          <w:lang w:val="en-US" w:eastAsia="zh-CN"/>
        </w:rPr>
        <w:t>组织学校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）负责指导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德育、体育、卫生、艺术、安全工作以及团组织</w:t>
      </w:r>
      <w:r>
        <w:rPr>
          <w:rFonts w:hint="eastAsia" w:ascii="仿宋_GB2312" w:eastAsia="仿宋_GB2312" w:cs="仿宋_GB2312"/>
          <w:kern w:val="0"/>
          <w:sz w:val="32"/>
          <w:szCs w:val="32"/>
          <w:lang w:val="en-US" w:eastAsia="zh-CN"/>
        </w:rPr>
        <w:t>共青团工作。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）负责指导学生资助管理工作。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 （十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）完成自治县</w:t>
      </w:r>
      <w:r>
        <w:rPr>
          <w:rFonts w:hint="eastAsia" w:ascii="仿宋_GB2312" w:eastAsia="仿宋_GB2312" w:cs="仿宋_GB2312"/>
          <w:kern w:val="0"/>
          <w:sz w:val="32"/>
          <w:szCs w:val="32"/>
          <w:lang w:val="en-US" w:eastAsia="zh-CN"/>
        </w:rPr>
        <w:t>教育局和各级</w:t>
      </w:r>
      <w:r>
        <w:rPr>
          <w:rFonts w:hint="eastAsia" w:ascii="仿宋_GB2312" w:eastAsia="仿宋_GB2312" w:cs="仿宋_GB2312"/>
          <w:kern w:val="0"/>
          <w:sz w:val="32"/>
          <w:szCs w:val="32"/>
        </w:rPr>
        <w:t>政府</w:t>
      </w:r>
      <w:r>
        <w:rPr>
          <w:rFonts w:hint="eastAsia" w:ascii="仿宋_GB2312" w:eastAsia="仿宋_GB2312" w:cs="仿宋_GB2312"/>
          <w:kern w:val="0"/>
          <w:sz w:val="32"/>
          <w:szCs w:val="32"/>
          <w:lang w:val="en-US" w:eastAsia="zh-CN"/>
        </w:rPr>
        <w:t>部门</w:t>
      </w:r>
      <w:r>
        <w:rPr>
          <w:rFonts w:hint="eastAsia" w:ascii="仿宋_GB2312" w:eastAsia="仿宋_GB2312" w:cs="仿宋_GB2312"/>
          <w:kern w:val="0"/>
          <w:sz w:val="32"/>
          <w:szCs w:val="32"/>
        </w:rPr>
        <w:t>交办的其他工作。</w:t>
      </w:r>
    </w:p>
    <w:p>
      <w:pPr>
        <w:ind w:firstLine="640" w:firstLineChars="200"/>
        <w:jc w:val="left"/>
        <w:rPr>
          <w:rFonts w:hint="eastAsia" w:ascii="仿宋" w:hAnsi="仿宋" w:eastAsia="仿宋" w:cs="仿宋"/>
          <w:color w:val="FF0000"/>
          <w:sz w:val="32"/>
          <w:szCs w:val="32"/>
          <w:lang w:val="en-US" w:eastAsia="zh-CN"/>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_GB2312" w:eastAsia="仿宋_GB2312" w:cs="仿宋_GB2312"/>
          <w:color w:val="auto"/>
          <w:kern w:val="0"/>
          <w:sz w:val="32"/>
          <w:szCs w:val="32"/>
          <w:lang w:val="en-US" w:eastAsia="zh-CN"/>
        </w:rPr>
        <w:t>环江四中内设政教处、教务处、总务处。</w:t>
      </w:r>
      <w:r>
        <w:rPr>
          <w:rFonts w:hint="eastAsia" w:ascii="仿宋" w:hAnsi="仿宋" w:eastAsia="仿宋" w:cs="仿宋"/>
          <w:color w:val="auto"/>
          <w:sz w:val="32"/>
          <w:szCs w:val="32"/>
        </w:rPr>
        <w:t>我部门没有下属单位，按照部门决算编报要求，单独编制本部门决算。</w:t>
      </w: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sz w:val="32"/>
          <w:szCs w:val="32"/>
          <w:highlight w:val="none"/>
          <w:lang w:val="en-US" w:eastAsia="zh-CN"/>
        </w:r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广西河池市环江毛南族自治县第四初级中学</w:t>
      </w: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814"/>
        <w:gridCol w:w="453"/>
        <w:gridCol w:w="1126"/>
        <w:gridCol w:w="2231"/>
        <w:gridCol w:w="2669"/>
        <w:gridCol w:w="503"/>
        <w:gridCol w:w="429"/>
        <w:gridCol w:w="123"/>
        <w:gridCol w:w="1147"/>
        <w:gridCol w:w="1902"/>
      </w:tblGrid>
      <w:tr>
        <w:tblPrEx>
          <w:tblCellMar>
            <w:top w:w="0" w:type="dxa"/>
            <w:left w:w="108" w:type="dxa"/>
            <w:bottom w:w="0" w:type="dxa"/>
            <w:right w:w="108" w:type="dxa"/>
          </w:tblCellMar>
        </w:tblPrEx>
        <w:trPr>
          <w:trHeight w:val="902" w:hRule="atLeast"/>
        </w:trPr>
        <w:tc>
          <w:tcPr>
            <w:tcW w:w="13940" w:type="dxa"/>
            <w:gridSpan w:val="11"/>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gridSpan w:val="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4"/>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5"/>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266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gridSpan w:val="4"/>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15" w:hRule="atLeast"/>
        </w:trPr>
        <w:tc>
          <w:tcPr>
            <w:tcW w:w="716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收入</w:t>
            </w:r>
          </w:p>
        </w:tc>
        <w:tc>
          <w:tcPr>
            <w:tcW w:w="67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15"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行次</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金额</w:t>
            </w: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行次</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15"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一、一般公共服务支出</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32</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二、外交支出</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33</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三、国防支出</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34</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四、上级补助收入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四、公共安全支出</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35</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五、事业收入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五、教育支出</w:t>
            </w:r>
          </w:p>
        </w:tc>
        <w:tc>
          <w:tcPr>
            <w:tcW w:w="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36</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1608.09</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六、经营收入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六、科学技术支出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37</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七、附属单位上缴收入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7</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38</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八、其他收入</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8</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39</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9</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九、卫生健康支出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40</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十、节能环保支出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41</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11</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十一、城乡社区支出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42</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十二、农林水支出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43</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13</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十三、交通运输支出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44</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45</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46</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十六、金融支出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47</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48</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18</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49</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十九、住房保障支出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50</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51</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21</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52</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53</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23</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二十三、其他支出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54</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24</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二十四、债务还本支出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55</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25</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二十五、债务付息支出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56</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0"/>
                <w:szCs w:val="20"/>
                <w:u w:val="none"/>
                <w:lang w:val="en-US" w:eastAsia="zh-CN" w:bidi="ar"/>
              </w:rPr>
              <w:t>26</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57</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i w:val="0"/>
                <w:color w:val="000000"/>
                <w:kern w:val="0"/>
                <w:sz w:val="22"/>
                <w:szCs w:val="22"/>
                <w:u w:val="none"/>
                <w:lang w:val="en-US" w:eastAsia="zh-CN" w:bidi="ar"/>
              </w:rPr>
              <w:t>本年收入合计</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27</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本年支出合计</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58</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使用非财政拨款结余（含专用结余）</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28</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结余分配</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59</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color w:val="000000"/>
                <w:kern w:val="0"/>
                <w:sz w:val="22"/>
                <w:szCs w:val="22"/>
                <w:u w:val="none"/>
                <w:lang w:val="en-US" w:eastAsia="zh-CN" w:bidi="ar"/>
              </w:rPr>
              <w:t>年初结转和结余</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29</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年末结转和结余</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60</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highlight w:val="none"/>
              </w:rPr>
            </w:pP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30</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61</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34" w:hRule="atLeast"/>
        </w:trPr>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i w:val="0"/>
                <w:color w:val="000000"/>
                <w:kern w:val="0"/>
                <w:sz w:val="22"/>
                <w:szCs w:val="22"/>
                <w:u w:val="none"/>
                <w:lang w:val="en-US" w:eastAsia="zh-CN" w:bidi="ar"/>
              </w:rPr>
              <w:t>总计</w:t>
            </w:r>
          </w:p>
        </w:tc>
        <w:tc>
          <w:tcPr>
            <w:tcW w:w="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31</w:t>
            </w:r>
          </w:p>
        </w:tc>
        <w:tc>
          <w:tcPr>
            <w:tcW w:w="33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3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总计</w:t>
            </w:r>
          </w:p>
        </w:tc>
        <w:tc>
          <w:tcPr>
            <w:tcW w:w="5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62</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214"/>
        <w:gridCol w:w="174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37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1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2744"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44"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color w:val="000000"/>
                <w:kern w:val="0"/>
                <w:sz w:val="22"/>
                <w:szCs w:val="22"/>
                <w:u w:val="none"/>
                <w:lang w:val="en-US" w:eastAsia="zh-CN" w:bidi="ar"/>
              </w:rPr>
              <w:t>1988.69</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color w:val="000000"/>
                <w:kern w:val="0"/>
                <w:sz w:val="22"/>
                <w:szCs w:val="22"/>
                <w:u w:val="none"/>
                <w:lang w:val="en-US" w:eastAsia="zh-CN" w:bidi="ar"/>
              </w:rPr>
              <w:t>1988.69</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7"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2012999</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2050203</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1590.13</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1590.13</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2050299</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17.96</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17.96</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90"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2080505</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2210201</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27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56"/>
        <w:gridCol w:w="181"/>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653"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1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270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1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0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color w:val="000000"/>
                <w:kern w:val="0"/>
                <w:sz w:val="22"/>
                <w:szCs w:val="22"/>
                <w:u w:val="none"/>
                <w:lang w:val="en-US" w:eastAsia="zh-CN" w:bidi="ar"/>
              </w:rPr>
              <w:t>1988.69</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1421.00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567.69</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2012999</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2050203</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1590.13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1040.40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549.73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2050299</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17.96</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17.96</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2080505</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2210201</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1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2299999</w:t>
            </w:r>
          </w:p>
        </w:tc>
        <w:tc>
          <w:tcPr>
            <w:tcW w:w="27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4077" w:type="dxa"/>
        <w:tblInd w:w="0" w:type="dxa"/>
        <w:tblLayout w:type="fixed"/>
        <w:tblCellMar>
          <w:top w:w="0" w:type="dxa"/>
          <w:left w:w="108" w:type="dxa"/>
          <w:bottom w:w="0" w:type="dxa"/>
          <w:right w:w="108" w:type="dxa"/>
        </w:tblCellMar>
      </w:tblPr>
      <w:tblGrid>
        <w:gridCol w:w="2214"/>
        <w:gridCol w:w="545"/>
        <w:gridCol w:w="240"/>
        <w:gridCol w:w="271"/>
        <w:gridCol w:w="1036"/>
        <w:gridCol w:w="681"/>
        <w:gridCol w:w="1679"/>
        <w:gridCol w:w="437"/>
        <w:gridCol w:w="416"/>
        <w:gridCol w:w="265"/>
        <w:gridCol w:w="823"/>
        <w:gridCol w:w="430"/>
        <w:gridCol w:w="633"/>
        <w:gridCol w:w="710"/>
        <w:gridCol w:w="473"/>
        <w:gridCol w:w="600"/>
        <w:gridCol w:w="730"/>
        <w:gridCol w:w="404"/>
        <w:gridCol w:w="750"/>
        <w:gridCol w:w="740"/>
      </w:tblGrid>
      <w:tr>
        <w:tblPrEx>
          <w:tblCellMar>
            <w:top w:w="0" w:type="dxa"/>
            <w:left w:w="108" w:type="dxa"/>
            <w:bottom w:w="0" w:type="dxa"/>
            <w:right w:w="108" w:type="dxa"/>
          </w:tblCellMar>
        </w:tblPrEx>
        <w:trPr>
          <w:trHeight w:val="520" w:hRule="atLeast"/>
        </w:trPr>
        <w:tc>
          <w:tcPr>
            <w:tcW w:w="14077" w:type="dxa"/>
            <w:gridSpan w:val="2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5"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8"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73" w:type="dxa"/>
            <w:gridSpan w:val="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gridSpan w:val="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gridSpan w:val="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607" w:type="dxa"/>
            <w:gridSpan w:val="11"/>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773" w:type="dxa"/>
            <w:gridSpan w:val="3"/>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3" w:type="dxa"/>
            <w:gridSpan w:val="3"/>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94" w:type="dxa"/>
            <w:gridSpan w:val="3"/>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268" w:hRule="atLeast"/>
        </w:trPr>
        <w:tc>
          <w:tcPr>
            <w:tcW w:w="498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9090"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275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5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行次</w:t>
            </w:r>
          </w:p>
        </w:tc>
        <w:tc>
          <w:tcPr>
            <w:tcW w:w="171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金额</w:t>
            </w:r>
          </w:p>
        </w:tc>
        <w:tc>
          <w:tcPr>
            <w:tcW w:w="21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68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行次</w:t>
            </w:r>
          </w:p>
        </w:tc>
        <w:tc>
          <w:tcPr>
            <w:tcW w:w="188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178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一般公共预算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财政拨款</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政府性基金预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算财政拨款</w:t>
            </w:r>
          </w:p>
        </w:tc>
        <w:tc>
          <w:tcPr>
            <w:tcW w:w="14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国有资本经营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预算财政拨款</w:t>
            </w:r>
          </w:p>
        </w:tc>
      </w:tr>
      <w:tr>
        <w:tblPrEx>
          <w:tblCellMar>
            <w:top w:w="0" w:type="dxa"/>
            <w:left w:w="108" w:type="dxa"/>
            <w:bottom w:w="0" w:type="dxa"/>
            <w:right w:w="108" w:type="dxa"/>
          </w:tblCellMar>
        </w:tblPrEx>
        <w:trPr>
          <w:trHeight w:val="312" w:hRule="atLeast"/>
        </w:trPr>
        <w:tc>
          <w:tcPr>
            <w:tcW w:w="2759"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8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8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9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一、一般公共预算财政拨款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一、一般公共服务支出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33</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15.79</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二、政府性基金预算财政拨款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二、外交支出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34</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三、国防支出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35</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四、公共安全支出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36</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五、教育支出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37</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1608.09</w:t>
            </w: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1608.09</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六、科学技术支出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38</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7</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8</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40</w:t>
            </w:r>
          </w:p>
        </w:tc>
        <w:tc>
          <w:tcPr>
            <w:tcW w:w="18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7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140.68</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9</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九、卫生健康支出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41</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十、节能环保支出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42</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11</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十一、城乡社区支出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43</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十二、农林水支出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44</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13</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十三、交通运输支出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45</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46</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47</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16</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十六、金融支出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48</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49</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18</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50</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19</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十九、住房保障支出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51</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104.00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52</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21</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53</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54</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23</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二十三、其他支出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55</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120.13</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24</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二十四、债务还本支出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56</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25</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二十五、债务付息支出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57</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26</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58</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本年收入合计</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27</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本年支出合计</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59</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年初财政拨款结转和结余</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28</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年末财政拨款结转和结余</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60</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29</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61</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62</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63</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27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总计</w:t>
            </w:r>
          </w:p>
        </w:tc>
        <w:tc>
          <w:tcPr>
            <w:tcW w:w="5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32</w:t>
            </w:r>
          </w:p>
        </w:tc>
        <w:tc>
          <w:tcPr>
            <w:tcW w:w="17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279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i w:val="0"/>
                <w:color w:val="000000"/>
                <w:kern w:val="0"/>
                <w:sz w:val="22"/>
                <w:szCs w:val="22"/>
                <w:u w:val="none"/>
                <w:lang w:val="en-US" w:eastAsia="zh-CN" w:bidi="ar"/>
              </w:rPr>
              <w:t>总计</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64</w:t>
            </w:r>
          </w:p>
        </w:tc>
        <w:tc>
          <w:tcPr>
            <w:tcW w:w="18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17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color w:val="000000"/>
                <w:kern w:val="0"/>
                <w:sz w:val="22"/>
                <w:szCs w:val="22"/>
                <w:u w:val="none"/>
                <w:lang w:val="en-US" w:eastAsia="zh-CN" w:bidi="ar"/>
              </w:rPr>
              <w:t>1988.69</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68" w:hRule="atLeast"/>
        </w:trPr>
        <w:tc>
          <w:tcPr>
            <w:tcW w:w="13337" w:type="dxa"/>
            <w:gridSpan w:val="19"/>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740" w:type="dxa"/>
            <w:tcBorders>
              <w:top w:val="single" w:color="auto" w:sz="4" w:space="0"/>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476"/>
        <w:gridCol w:w="807"/>
        <w:gridCol w:w="238"/>
        <w:gridCol w:w="238"/>
        <w:gridCol w:w="2052"/>
        <w:gridCol w:w="2795"/>
        <w:gridCol w:w="378"/>
        <w:gridCol w:w="2305"/>
        <w:gridCol w:w="802"/>
        <w:gridCol w:w="2889"/>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3107"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w:t>
            </w:r>
          </w:p>
        </w:tc>
        <w:tc>
          <w:tcPr>
            <w:tcW w:w="91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3335"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27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小计</w:t>
            </w:r>
          </w:p>
        </w:tc>
        <w:tc>
          <w:tcPr>
            <w:tcW w:w="268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基本支出</w:t>
            </w:r>
          </w:p>
        </w:tc>
        <w:tc>
          <w:tcPr>
            <w:tcW w:w="369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35"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8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9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14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335"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8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9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栏次</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合计</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color w:val="000000"/>
                <w:kern w:val="0"/>
                <w:sz w:val="22"/>
                <w:szCs w:val="22"/>
                <w:u w:val="none"/>
                <w:lang w:val="en-US" w:eastAsia="zh-CN" w:bidi="ar"/>
              </w:rPr>
              <w:t>1988.69</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i w:val="0"/>
                <w:color w:val="000000"/>
                <w:kern w:val="0"/>
                <w:sz w:val="22"/>
                <w:szCs w:val="22"/>
                <w:u w:val="none"/>
                <w:lang w:val="en-US" w:eastAsia="zh-CN" w:bidi="ar"/>
              </w:rPr>
              <w:t>1421.00</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color w:val="000000"/>
                <w:kern w:val="0"/>
                <w:sz w:val="22"/>
                <w:szCs w:val="22"/>
                <w:u w:val="none"/>
                <w:lang w:val="en-US" w:eastAsia="zh-CN" w:bidi="ar"/>
              </w:rPr>
              <w:t>549.73</w:t>
            </w: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2012999</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其他群众团体事务支出</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15.79</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15.79</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2050203</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初中教育</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1590.13</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1040.40</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549.73</w:t>
            </w: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2050299</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其他普通教育支出</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17.96</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17.96</w:t>
            </w: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2080505</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140.68</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140.68</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2210201</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住房公积金</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104.00</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104.00</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2299999</w:t>
            </w:r>
          </w:p>
        </w:tc>
        <w:tc>
          <w:tcPr>
            <w:tcW w:w="33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120.13</w:t>
            </w:r>
          </w:p>
        </w:tc>
        <w:tc>
          <w:tcPr>
            <w:tcW w:w="2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120.13</w:t>
            </w:r>
          </w:p>
        </w:tc>
        <w:tc>
          <w:tcPr>
            <w:tcW w:w="36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10"/>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100"/>
        <w:gridCol w:w="271"/>
        <w:gridCol w:w="1106"/>
        <w:gridCol w:w="673"/>
        <w:gridCol w:w="607"/>
        <w:gridCol w:w="160"/>
        <w:gridCol w:w="2187"/>
        <w:gridCol w:w="1160"/>
        <w:gridCol w:w="170"/>
        <w:gridCol w:w="1003"/>
        <w:gridCol w:w="2147"/>
        <w:gridCol w:w="1309"/>
      </w:tblGrid>
      <w:tr>
        <w:tblPrEx>
          <w:tblCellMar>
            <w:top w:w="0" w:type="dxa"/>
            <w:left w:w="108" w:type="dxa"/>
            <w:bottom w:w="0" w:type="dxa"/>
            <w:right w:w="108" w:type="dxa"/>
          </w:tblCellMar>
        </w:tblPrEx>
        <w:trPr>
          <w:trHeight w:val="614" w:hRule="atLeast"/>
        </w:trPr>
        <w:tc>
          <w:tcPr>
            <w:tcW w:w="14000" w:type="dxa"/>
            <w:gridSpan w:val="13"/>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8"/>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16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19" w:hRule="atLeast"/>
        </w:trPr>
        <w:tc>
          <w:tcPr>
            <w:tcW w:w="5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874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决算数</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决算数</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科目代码</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科目名称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工资福利支出</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105.21</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商品和服务支出</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15.79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30101</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color w:val="000000"/>
                <w:kern w:val="0"/>
                <w:sz w:val="22"/>
                <w:szCs w:val="22"/>
                <w:u w:val="none"/>
                <w:lang w:val="en-US" w:eastAsia="zh-CN" w:bidi="ar"/>
              </w:rPr>
              <w:t xml:space="preserve">  基本工资</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429.96</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30201</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办公费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30102</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56.11</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30202</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印刷费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30103</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奖金</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402.82</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30203</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咨询费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30106</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30204</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手续费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30107</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208.08</w:t>
            </w:r>
          </w:p>
        </w:tc>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30205</w:t>
            </w:r>
          </w:p>
        </w:tc>
        <w:tc>
          <w:tcPr>
            <w:tcW w:w="23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水费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30108</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140.68</w:t>
            </w: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30206</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电费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30109</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30207</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邮电费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30110</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56.58</w:t>
            </w: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30208</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取暖费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30111</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30209</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30112</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6.97</w:t>
            </w: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30211</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差旅费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30113</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104.00</w:t>
            </w: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30212</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30114</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30213</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30199</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30214</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租赁费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对个人和家庭的补助</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30215</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会议费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30301</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离休费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30216</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培训费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30302</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退休费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30217</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30303</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30218</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30304</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抚恤金</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30224</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30305</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30225</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30306</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救济费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30226</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劳务费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30307</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30227</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30308</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助学金</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30228</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15.79</w:t>
            </w: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30309</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奖励金</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30229</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福利费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30310</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30231</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30311</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30239</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30399</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30240</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7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30299</w:t>
            </w:r>
          </w:p>
        </w:tc>
        <w:tc>
          <w:tcPr>
            <w:tcW w:w="21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0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347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人员经费合计</w:t>
            </w: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1405.21</w:t>
            </w:r>
          </w:p>
        </w:tc>
        <w:tc>
          <w:tcPr>
            <w:tcW w:w="743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color w:val="000000"/>
                <w:kern w:val="0"/>
                <w:sz w:val="22"/>
                <w:szCs w:val="22"/>
                <w:u w:val="none"/>
                <w:lang w:val="en-US" w:eastAsia="zh-CN" w:bidi="ar"/>
              </w:rPr>
              <w:t>15.79</w:t>
            </w:r>
          </w:p>
        </w:tc>
      </w:tr>
      <w:bookmarkEnd w:id="0"/>
      <w:bookmarkEnd w:id="1"/>
      <w:tr>
        <w:tblPrEx>
          <w:tblCellMar>
            <w:top w:w="0" w:type="dxa"/>
            <w:left w:w="108" w:type="dxa"/>
            <w:bottom w:w="0" w:type="dxa"/>
            <w:right w:w="108" w:type="dxa"/>
          </w:tblCellMar>
        </w:tblPrEx>
        <w:trPr>
          <w:trHeight w:val="319" w:hRule="atLeast"/>
        </w:trPr>
        <w:tc>
          <w:tcPr>
            <w:tcW w:w="14000" w:type="dxa"/>
            <w:gridSpan w:val="13"/>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68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auto"/>
          <w:kern w:val="2"/>
          <w:sz w:val="21"/>
          <w:szCs w:val="21"/>
          <w:highlight w:val="none"/>
          <w:lang w:val="en-US" w:eastAsia="zh-CN" w:bidi="ar"/>
        </w:rPr>
        <w:t>本部门</w:t>
      </w:r>
      <w:r>
        <w:rPr>
          <w:rFonts w:hint="eastAsia" w:ascii="Times New Roman" w:hAnsi="Times New Roman" w:eastAsia="宋体" w:cs="Times New Roman"/>
          <w:color w:val="auto"/>
          <w:kern w:val="2"/>
          <w:sz w:val="21"/>
          <w:szCs w:val="21"/>
          <w:highlight w:val="none"/>
          <w:lang w:val="en-US" w:eastAsia="zh-CN" w:bidi="ar"/>
        </w:rPr>
        <w:t>2023</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p>
      <w:pPr>
        <w:bidi w:val="0"/>
        <w:jc w:val="left"/>
        <w:rPr>
          <w:rFonts w:hint="eastAsia" w:asciiTheme="minorHAnsi" w:hAnsiTheme="minorHAnsi" w:eastAsiaTheme="minorEastAsia" w:cstheme="minorBidi"/>
          <w:kern w:val="2"/>
          <w:sz w:val="21"/>
          <w:szCs w:val="24"/>
          <w:lang w:val="en-US" w:eastAsia="zh-CN" w:bidi="ar-SA"/>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广西河池市环江毛南族自治县第四初级中学</w:t>
            </w: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w:t>
            </w:r>
            <w:r>
              <w:rPr>
                <w:rFonts w:hint="eastAsia" w:ascii="宋体" w:hAnsi="宋体" w:eastAsia="宋体" w:cs="宋体"/>
                <w:color w:val="000000"/>
                <w:kern w:val="0"/>
                <w:sz w:val="20"/>
                <w:szCs w:val="20"/>
                <w:highlight w:val="none"/>
                <w:lang w:val="en-US" w:eastAsia="zh-CN" w:bidi="ar"/>
              </w:rPr>
              <w:t>万</w:t>
            </w:r>
            <w:r>
              <w:rPr>
                <w:rFonts w:hint="eastAsia" w:ascii="宋体" w:hAnsi="宋体" w:eastAsia="宋体" w:cs="宋体"/>
                <w:color w:val="000000"/>
                <w:kern w:val="0"/>
                <w:sz w:val="20"/>
                <w:szCs w:val="20"/>
                <w:highlight w:val="none"/>
                <w:lang w:bidi="ar"/>
              </w:rPr>
              <w:t>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广西河池市环江毛南族自治县第四初级中学</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u w:color="auto"/>
          <w:lang w:eastAsia="zh-CN"/>
        </w:rPr>
        <w:t>1988.69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eastAsia="zh-CN"/>
        </w:rPr>
        <w:t>466.34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30.63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eastAsia="zh-CN"/>
        </w:rPr>
        <w:t>1988.69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eastAsia="zh-CN"/>
        </w:rPr>
        <w:t>1988.69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w:t>
      </w:r>
      <w:r>
        <w:rPr>
          <w:rFonts w:hint="eastAsia" w:ascii="仿宋" w:hAnsi="仿宋" w:eastAsia="仿宋" w:cs="仿宋"/>
          <w:sz w:val="32"/>
          <w:u w:color="auto"/>
          <w:lang w:val="en-US" w:eastAsia="zh-CN"/>
        </w:rPr>
        <w:t>466.34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30.63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学生人数增加，教师人数增加，拨款资金相对增加。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本单位无经营性收入。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万元。较2022年度决算数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下降0</w:t>
      </w:r>
      <w:r>
        <w:rPr>
          <w:rFonts w:hint="eastAsia" w:ascii="仿宋" w:hAnsi="仿宋" w:eastAsia="仿宋" w:cs="仿宋"/>
          <w:sz w:val="32"/>
          <w:u w:color="auto"/>
          <w:lang w:val="en-US" w:eastAsia="zh-CN"/>
        </w:rPr>
        <w:t>.00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41875" cy="2972435"/>
            <wp:effectExtent l="4445" t="4445" r="1143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二）本部门</w:t>
      </w:r>
      <w:r>
        <w:rPr>
          <w:rFonts w:hint="eastAsia" w:ascii="仿宋" w:hAnsi="仿宋" w:eastAsia="仿宋" w:cs="仿宋"/>
          <w:color w:val="000000" w:themeColor="text1"/>
          <w:sz w:val="32"/>
          <w:szCs w:val="32"/>
          <w:highlight w:val="none"/>
          <w:lang w:eastAsia="zh-CN"/>
          <w14:textFill>
            <w14:solidFill>
              <w14:schemeClr w14:val="tx1"/>
            </w14:solidFill>
          </w14:textFill>
        </w:rPr>
        <w:t>2023</w:t>
      </w:r>
      <w:r>
        <w:rPr>
          <w:rFonts w:hint="eastAsia" w:ascii="仿宋" w:hAnsi="仿宋" w:eastAsia="仿宋" w:cs="仿宋"/>
          <w:color w:val="000000" w:themeColor="text1"/>
          <w:sz w:val="32"/>
          <w:szCs w:val="32"/>
          <w:highlight w:val="none"/>
          <w14:textFill>
            <w14:solidFill>
              <w14:schemeClr w14:val="tx1"/>
            </w14:solidFill>
          </w14:textFill>
        </w:rPr>
        <w:t>年度总支出</w:t>
      </w:r>
      <w:r>
        <w:rPr>
          <w:rFonts w:hint="eastAsia" w:ascii="仿宋" w:hAnsi="仿宋" w:eastAsia="仿宋" w:cs="仿宋"/>
          <w:color w:val="000000" w:themeColor="text1"/>
          <w:sz w:val="32"/>
          <w:u w:color="auto"/>
          <w:lang w:eastAsia="zh-CN"/>
          <w14:textFill>
            <w14:solidFill>
              <w14:schemeClr w14:val="tx1"/>
            </w14:solidFill>
          </w14:textFill>
        </w:rPr>
        <w:t>1988.69</w:t>
      </w:r>
      <w:r>
        <w:rPr>
          <w:rFonts w:hint="eastAsia" w:ascii="仿宋" w:hAnsi="仿宋" w:eastAsia="仿宋" w:cs="仿宋"/>
          <w:color w:val="000000" w:themeColor="text1"/>
          <w:sz w:val="32"/>
          <w:szCs w:val="32"/>
          <w:highlight w:val="none"/>
          <w14:textFill>
            <w14:solidFill>
              <w14:schemeClr w14:val="tx1"/>
            </w14:solidFill>
          </w14:textFill>
        </w:rPr>
        <w:t>万元，其中本年支出</w:t>
      </w:r>
      <w:r>
        <w:rPr>
          <w:rFonts w:hint="eastAsia" w:ascii="仿宋" w:hAnsi="仿宋" w:eastAsia="仿宋" w:cs="仿宋"/>
          <w:color w:val="000000" w:themeColor="text1"/>
          <w:sz w:val="32"/>
          <w:u w:color="auto"/>
          <w:lang w:eastAsia="zh-CN"/>
          <w14:textFill>
            <w14:solidFill>
              <w14:schemeClr w14:val="tx1"/>
            </w14:solidFill>
          </w14:textFill>
        </w:rPr>
        <w:t>1988.69</w:t>
      </w:r>
      <w:r>
        <w:rPr>
          <w:rFonts w:hint="eastAsia" w:ascii="仿宋" w:hAnsi="仿宋" w:eastAsia="仿宋" w:cs="仿宋"/>
          <w:color w:val="000000" w:themeColor="text1"/>
          <w:sz w:val="32"/>
          <w:szCs w:val="32"/>
          <w:highlight w:val="none"/>
          <w14:textFill>
            <w14:solidFill>
              <w14:schemeClr w14:val="tx1"/>
            </w14:solidFill>
          </w14:textFill>
        </w:rPr>
        <w:t>万元，较</w:t>
      </w:r>
      <w:r>
        <w:rPr>
          <w:rFonts w:hint="eastAsia" w:ascii="仿宋" w:hAnsi="仿宋" w:eastAsia="仿宋" w:cs="仿宋"/>
          <w:color w:val="000000" w:themeColor="text1"/>
          <w:sz w:val="32"/>
          <w:szCs w:val="32"/>
          <w:highlight w:val="none"/>
          <w:lang w:eastAsia="zh-CN"/>
          <w14:textFill>
            <w14:solidFill>
              <w14:schemeClr w14:val="tx1"/>
            </w14:solidFill>
          </w14:textFill>
        </w:rPr>
        <w:t>2022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ascii="仿宋" w:hAnsi="仿宋" w:eastAsia="仿宋" w:cs="仿宋"/>
          <w:color w:val="000000" w:themeColor="text1"/>
          <w:sz w:val="32"/>
          <w:u w:color="auto"/>
          <w14:textFill>
            <w14:solidFill>
              <w14:schemeClr w14:val="tx1"/>
            </w14:solidFill>
          </w14:textFill>
        </w:rPr>
        <w:t>增加</w:t>
      </w:r>
      <w:r>
        <w:rPr>
          <w:rFonts w:hint="eastAsia" w:ascii="仿宋" w:hAnsi="仿宋" w:eastAsia="仿宋" w:cs="仿宋"/>
          <w:color w:val="000000" w:themeColor="text1"/>
          <w:sz w:val="32"/>
          <w:u w:color="auto"/>
          <w:lang w:eastAsia="zh-CN"/>
          <w14:textFill>
            <w14:solidFill>
              <w14:schemeClr w14:val="tx1"/>
            </w14:solidFill>
          </w14:textFill>
        </w:rPr>
        <w:t>466.34</w:t>
      </w:r>
      <w:r>
        <w:rPr>
          <w:rFonts w:hint="eastAsia" w:ascii="仿宋" w:hAnsi="仿宋" w:eastAsia="仿宋" w:cs="仿宋"/>
          <w:color w:val="000000" w:themeColor="text1"/>
          <w:sz w:val="32"/>
          <w:szCs w:val="32"/>
          <w:highlight w:val="none"/>
          <w14:textFill>
            <w14:solidFill>
              <w14:schemeClr w14:val="tx1"/>
            </w14:solidFill>
          </w14:textFill>
        </w:rPr>
        <w:t>万元，</w:t>
      </w:r>
      <w:r>
        <w:rPr>
          <w:rFonts w:ascii="仿宋" w:hAnsi="仿宋" w:eastAsia="仿宋" w:cs="仿宋"/>
          <w:color w:val="000000" w:themeColor="text1"/>
          <w:sz w:val="32"/>
          <w:u w:color="auto"/>
          <w14:textFill>
            <w14:solidFill>
              <w14:schemeClr w14:val="tx1"/>
            </w14:solidFill>
          </w14:textFill>
        </w:rPr>
        <w:t>增长</w:t>
      </w:r>
      <w:r>
        <w:rPr>
          <w:rFonts w:hint="eastAsia" w:ascii="仿宋" w:hAnsi="仿宋" w:eastAsia="仿宋" w:cs="仿宋"/>
          <w:color w:val="000000" w:themeColor="text1"/>
          <w:sz w:val="32"/>
          <w:u w:color="auto"/>
          <w:lang w:eastAsia="zh-CN"/>
          <w14:textFill>
            <w14:solidFill>
              <w14:schemeClr w14:val="tx1"/>
            </w14:solidFill>
          </w14:textFill>
        </w:rPr>
        <w:t>30.63</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000000" w:themeColor="text1"/>
          <w:sz w:val="32"/>
          <w:szCs w:val="32"/>
          <w:highlight w:val="none"/>
          <w14:textFill>
            <w14:solidFill>
              <w14:schemeClr w14:val="tx1"/>
            </w14:solidFill>
          </w14:textFill>
        </w:rPr>
        <w:t>1</w:t>
      </w:r>
      <w:r>
        <w:rPr>
          <w:rFonts w:ascii="仿宋" w:hAnsi="仿宋" w:eastAsia="仿宋" w:cs="仿宋"/>
          <w:color w:val="000000" w:themeColor="text1"/>
          <w:sz w:val="32"/>
          <w:u w:color="auto"/>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一般公共服务支出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bidi="ar"/>
          <w14:textFill>
            <w14:solidFill>
              <w14:schemeClr w14:val="tx1"/>
            </w14:solidFill>
          </w14:textFill>
        </w:rPr>
        <w:t>201</w:t>
      </w:r>
      <w:r>
        <w:rPr>
          <w:rFonts w:ascii="Calibri" w:hAnsi="Calibri" w:eastAsia="宋体" w:cs="Times New Roman"/>
          <w:color w:val="000000" w:themeColor="text1"/>
          <w:highlight w:val="none"/>
          <w:lang w:bidi="ar"/>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类）</w:t>
      </w:r>
      <w:r>
        <w:rPr>
          <w:rFonts w:hint="eastAsia" w:ascii="仿宋" w:hAnsi="仿宋" w:eastAsia="仿宋" w:cs="仿宋"/>
          <w:color w:val="000000" w:themeColor="text1"/>
          <w:sz w:val="32"/>
          <w:szCs w:val="32"/>
          <w:highlight w:val="none"/>
          <w:lang w:eastAsia="zh-CN" w:bidi="ar"/>
          <w14:textFill>
            <w14:solidFill>
              <w14:schemeClr w14:val="tx1"/>
            </w14:solidFill>
          </w14:textFill>
        </w:rPr>
        <w:t>15.79</w:t>
      </w:r>
      <w:r>
        <w:rPr>
          <w:rFonts w:hint="eastAsia" w:ascii="仿宋" w:hAnsi="仿宋" w:eastAsia="仿宋" w:cs="仿宋"/>
          <w:color w:val="000000" w:themeColor="text1"/>
          <w:sz w:val="32"/>
          <w:szCs w:val="32"/>
          <w:highlight w:val="none"/>
          <w14:textFill>
            <w14:solidFill>
              <w14:schemeClr w14:val="tx1"/>
            </w14:solidFill>
          </w14:textFill>
        </w:rPr>
        <w:t>万元：主要用于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olor w:val="000000" w:themeColor="text1"/>
          <w:sz w:val="32"/>
          <w:szCs w:val="32"/>
          <w:highlight w:val="none"/>
          <w:u w:val="none"/>
          <w:lang w:val="en-US" w:eastAsia="zh-CN"/>
          <w14:textFill>
            <w14:solidFill>
              <w14:schemeClr w14:val="tx1"/>
            </w14:solidFill>
          </w14:textFill>
        </w:rPr>
        <w:t>工会组织活动开支</w:t>
      </w:r>
      <w:r>
        <w:rPr>
          <w:rFonts w:hint="eastAsia" w:ascii="仿宋" w:hAnsi="仿宋" w:eastAsia="仿宋" w:cs="仿宋"/>
          <w:color w:val="000000" w:themeColor="text1"/>
          <w:sz w:val="32"/>
          <w:szCs w:val="32"/>
          <w:highlight w:val="none"/>
          <w14:textFill>
            <w14:solidFill>
              <w14:schemeClr w14:val="tx1"/>
            </w14:solidFill>
          </w14:textFill>
        </w:rPr>
        <w:t>。较</w:t>
      </w:r>
      <w:r>
        <w:rPr>
          <w:rFonts w:hint="eastAsia" w:ascii="仿宋" w:hAnsi="仿宋" w:eastAsia="仿宋" w:cs="仿宋"/>
          <w:color w:val="000000" w:themeColor="text1"/>
          <w:sz w:val="32"/>
          <w:szCs w:val="32"/>
          <w:highlight w:val="none"/>
          <w:lang w:eastAsia="zh-CN"/>
          <w14:textFill>
            <w14:solidFill>
              <w14:schemeClr w14:val="tx1"/>
            </w14:solidFill>
          </w14:textFill>
        </w:rPr>
        <w:t>2022</w:t>
      </w:r>
      <w:r>
        <w:rPr>
          <w:rFonts w:hint="eastAsia" w:ascii="仿宋" w:hAnsi="仿宋" w:eastAsia="仿宋" w:cs="仿宋"/>
          <w:color w:val="000000" w:themeColor="text1"/>
          <w:sz w:val="32"/>
          <w:szCs w:val="32"/>
          <w:highlight w:val="none"/>
          <w14:textFill>
            <w14:solidFill>
              <w14:schemeClr w14:val="tx1"/>
            </w14:solidFill>
          </w14:textFill>
        </w:rPr>
        <w:t>年度决算数</w:t>
      </w:r>
      <w:r>
        <w:rPr>
          <w:rFonts w:hint="eastAsia" w:ascii="仿宋" w:hAnsi="仿宋" w:eastAsia="仿宋" w:cs="仿宋"/>
          <w:color w:val="000000" w:themeColor="text1"/>
          <w:sz w:val="32"/>
          <w:szCs w:val="32"/>
          <w:highlight w:val="none"/>
          <w:lang w:bidi="ar"/>
          <w14:textFill>
            <w14:solidFill>
              <w14:schemeClr w14:val="tx1"/>
            </w14:solidFill>
          </w14:textFill>
        </w:rPr>
        <w:t>增加</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3.40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000000" w:themeColor="text1"/>
          <w:sz w:val="32"/>
          <w:szCs w:val="32"/>
          <w:highlight w:val="none"/>
          <w:lang w:bidi="ar"/>
          <w14:textFill>
            <w14:solidFill>
              <w14:schemeClr w14:val="tx1"/>
            </w14:solidFill>
          </w14:textFill>
        </w:rPr>
        <w:t>增长</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27.44</w:t>
      </w:r>
      <w:r>
        <w:rPr>
          <w:rFonts w:hint="eastAsia" w:ascii="仿宋" w:hAnsi="仿宋" w:eastAsia="仿宋" w:cs="仿宋"/>
          <w:color w:val="000000" w:themeColor="text1"/>
          <w:sz w:val="32"/>
          <w:szCs w:val="32"/>
          <w:highlight w:val="none"/>
          <w:lang w:bidi="ar"/>
          <w14:textFill>
            <w14:solidFill>
              <w14:schemeClr w14:val="tx1"/>
            </w14:solidFill>
          </w14:textFill>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主要原因是：教职工人数增加，教职工活动经费相应增加。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eastAsia="zh-CN" w:bidi="ar"/>
        </w:rPr>
        <w:t>1608.09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highlight w:val="none"/>
        </w:rPr>
        <w:t>主要用于全</w:t>
      </w:r>
      <w:r>
        <w:rPr>
          <w:rFonts w:hint="eastAsia" w:ascii="华文仿宋" w:hAnsi="华文仿宋" w:eastAsia="华文仿宋" w:cs="华文仿宋"/>
          <w:color w:val="auto"/>
          <w:kern w:val="0"/>
          <w:sz w:val="32"/>
          <w:szCs w:val="32"/>
          <w:highlight w:val="none"/>
          <w:lang w:val="en-US" w:eastAsia="zh-CN"/>
        </w:rPr>
        <w:t>校</w:t>
      </w:r>
      <w:r>
        <w:rPr>
          <w:rFonts w:hint="eastAsia" w:ascii="华文仿宋" w:hAnsi="华文仿宋" w:eastAsia="华文仿宋" w:cs="华文仿宋"/>
          <w:color w:val="auto"/>
          <w:kern w:val="0"/>
          <w:sz w:val="32"/>
          <w:szCs w:val="32"/>
          <w:highlight w:val="none"/>
        </w:rPr>
        <w:t>教</w:t>
      </w:r>
      <w:r>
        <w:rPr>
          <w:rFonts w:hint="eastAsia" w:ascii="华文仿宋" w:hAnsi="华文仿宋" w:eastAsia="华文仿宋" w:cs="华文仿宋"/>
          <w:color w:val="auto"/>
          <w:kern w:val="0"/>
          <w:sz w:val="32"/>
          <w:szCs w:val="32"/>
          <w:highlight w:val="none"/>
          <w:lang w:val="en-US" w:eastAsia="zh-CN"/>
        </w:rPr>
        <w:t>职工</w:t>
      </w:r>
      <w:r>
        <w:rPr>
          <w:rFonts w:hint="eastAsia" w:ascii="华文仿宋" w:hAnsi="华文仿宋" w:eastAsia="华文仿宋" w:cs="华文仿宋"/>
          <w:color w:val="auto"/>
          <w:kern w:val="0"/>
          <w:sz w:val="32"/>
          <w:szCs w:val="32"/>
          <w:highlight w:val="none"/>
        </w:rPr>
        <w:t>工资及为开展教育教学活动的支出。</w:t>
      </w:r>
      <w:r>
        <w:rPr>
          <w:rFonts w:hint="eastAsia" w:ascii="仿宋" w:hAnsi="仿宋" w:eastAsia="仿宋" w:cs="仿宋"/>
          <w:color w:val="auto"/>
          <w:sz w:val="32"/>
          <w:szCs w:val="32"/>
          <w:highlight w:val="none"/>
        </w:rPr>
        <w:t>较</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增加454.32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32.96</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eastAsia="zh-CN"/>
        </w:rPr>
        <w:t>学生</w:t>
      </w:r>
      <w:r>
        <w:rPr>
          <w:rFonts w:hint="eastAsia" w:ascii="华文仿宋" w:hAnsi="华文仿宋" w:eastAsia="华文仿宋" w:cs="华文仿宋"/>
          <w:color w:val="auto"/>
          <w:kern w:val="0"/>
          <w:sz w:val="32"/>
          <w:szCs w:val="32"/>
          <w:highlight w:val="none"/>
          <w:lang w:val="en-US" w:eastAsia="zh-CN"/>
        </w:rPr>
        <w:t>及教师人</w:t>
      </w:r>
      <w:r>
        <w:rPr>
          <w:rFonts w:hint="eastAsia" w:ascii="华文仿宋" w:hAnsi="华文仿宋" w:eastAsia="华文仿宋" w:cs="华文仿宋"/>
          <w:color w:val="auto"/>
          <w:kern w:val="0"/>
          <w:sz w:val="32"/>
          <w:szCs w:val="32"/>
          <w:highlight w:val="none"/>
          <w:lang w:eastAsia="zh-CN"/>
        </w:rPr>
        <w:t>数</w:t>
      </w:r>
      <w:r>
        <w:rPr>
          <w:rFonts w:hint="eastAsia" w:ascii="华文仿宋" w:hAnsi="华文仿宋" w:eastAsia="华文仿宋" w:cs="华文仿宋"/>
          <w:color w:val="auto"/>
          <w:kern w:val="0"/>
          <w:sz w:val="32"/>
          <w:szCs w:val="32"/>
          <w:highlight w:val="none"/>
          <w:lang w:val="en-US" w:eastAsia="zh-CN"/>
        </w:rPr>
        <w:t>增加</w:t>
      </w:r>
      <w:r>
        <w:rPr>
          <w:rFonts w:hint="eastAsia" w:ascii="华文仿宋" w:hAnsi="华文仿宋" w:eastAsia="华文仿宋" w:cs="华文仿宋"/>
          <w:color w:val="auto"/>
          <w:kern w:val="0"/>
          <w:sz w:val="32"/>
          <w:szCs w:val="32"/>
          <w:highlight w:val="none"/>
          <w:lang w:eastAsia="zh-CN"/>
        </w:rPr>
        <w:t>，</w:t>
      </w:r>
      <w:r>
        <w:rPr>
          <w:rFonts w:hint="eastAsia" w:ascii="华文仿宋" w:hAnsi="华文仿宋" w:eastAsia="华文仿宋" w:cs="华文仿宋"/>
          <w:color w:val="auto"/>
          <w:kern w:val="0"/>
          <w:sz w:val="32"/>
          <w:szCs w:val="32"/>
          <w:highlight w:val="none"/>
          <w:lang w:val="en-US" w:eastAsia="zh-CN"/>
        </w:rPr>
        <w:t>各项支出相应有所增加</w:t>
      </w:r>
      <w:r>
        <w:rPr>
          <w:rFonts w:hint="eastAsia" w:ascii="华文仿宋" w:hAnsi="华文仿宋" w:eastAsia="华文仿宋" w:cs="华文仿宋"/>
          <w:color w:val="auto"/>
          <w:kern w:val="0"/>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140.68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缴纳教职工</w:t>
      </w:r>
      <w:r>
        <w:rPr>
          <w:rFonts w:hint="eastAsia" w:ascii="华文仿宋" w:hAnsi="华文仿宋" w:eastAsia="华文仿宋" w:cs="华文仿宋"/>
          <w:kern w:val="0"/>
          <w:sz w:val="32"/>
          <w:szCs w:val="32"/>
          <w:lang w:val="en-US" w:eastAsia="zh-CN"/>
        </w:rPr>
        <w:t>养老保险费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eastAsia="zh-CN" w:bidi="ar"/>
        </w:rPr>
        <w:t>47.06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50.27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主要原因是：公招</w:t>
      </w:r>
      <w:r>
        <w:rPr>
          <w:rFonts w:hint="eastAsia" w:ascii="仿宋" w:hAnsi="仿宋" w:eastAsia="仿宋" w:cs="仿宋"/>
          <w:color w:val="auto"/>
          <w:kern w:val="2"/>
          <w:sz w:val="32"/>
          <w:szCs w:val="32"/>
          <w:highlight w:val="none"/>
          <w:lang w:val="en-US" w:eastAsia="zh-CN" w:bidi="ar"/>
        </w:rPr>
        <w:t>教师调进，人员增加</w:t>
      </w:r>
      <w:r>
        <w:rPr>
          <w:rFonts w:hint="eastAsia" w:ascii="仿宋" w:hAnsi="仿宋" w:eastAsia="仿宋" w:cs="仿宋"/>
          <w:color w:val="0000FF"/>
          <w:kern w:val="2"/>
          <w:sz w:val="32"/>
          <w:szCs w:val="32"/>
          <w:highlight w:val="none"/>
          <w:lang w:val="en-US" w:eastAsia="zh-CN" w:bidi="ar"/>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就</w:t>
      </w:r>
      <w:r>
        <w:rPr>
          <w:rFonts w:hint="eastAsia" w:ascii="仿宋" w:hAnsi="仿宋" w:eastAsia="仿宋" w:cs="仿宋"/>
          <w:sz w:val="32"/>
          <w:szCs w:val="32"/>
          <w:highlight w:val="none"/>
          <w:lang w:val="en-US" w:eastAsia="zh-CN" w:bidi="ar"/>
        </w:rPr>
        <w:t>增加</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104.00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w:t>
      </w:r>
      <w:r>
        <w:rPr>
          <w:rFonts w:hint="eastAsia" w:ascii="Times New Roman" w:hAnsi="Times New Roman" w:eastAsia="仿宋_GB2312" w:cs="Times New Roman"/>
          <w:kern w:val="0"/>
          <w:sz w:val="32"/>
          <w:szCs w:val="32"/>
        </w:rPr>
        <w:t>住房公积金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29.04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38.74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主要原因是：公招</w:t>
      </w:r>
      <w:r>
        <w:rPr>
          <w:rFonts w:hint="eastAsia" w:ascii="仿宋" w:hAnsi="仿宋" w:eastAsia="仿宋" w:cs="仿宋"/>
          <w:color w:val="auto"/>
          <w:kern w:val="2"/>
          <w:sz w:val="32"/>
          <w:szCs w:val="32"/>
          <w:highlight w:val="none"/>
          <w:lang w:val="en-US" w:eastAsia="zh-CN" w:bidi="ar"/>
        </w:rPr>
        <w:t>教师调进，人员增加，公积金缴纳增长</w:t>
      </w:r>
      <w:r>
        <w:rPr>
          <w:rFonts w:hint="eastAsia" w:ascii="仿宋" w:hAnsi="仿宋" w:eastAsia="仿宋" w:cs="仿宋"/>
          <w:color w:val="auto"/>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eastAsia="zh-CN" w:bidi="ar"/>
        </w:rPr>
        <w:t>120.13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rPr>
        <w:t>减少11.82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-8.96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主要原因是：部分绩效考评奖励金在2022年度预发和有部分到2024年度才清算发放。</w:t>
      </w:r>
      <w:bookmarkStart w:id="6" w:name="_GoBack"/>
      <w:bookmarkEnd w:id="6"/>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highlight w:val="none"/>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主要原因是：本单位年末无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89500" cy="2594610"/>
            <wp:effectExtent l="4445" t="4445" r="20955"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eastAsia="zh-CN"/>
        </w:rPr>
        <w:t>1988.69</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eastAsia="zh-CN"/>
        </w:rPr>
        <w:t>466.34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eastAsia="zh-CN"/>
        </w:rPr>
        <w:t>30.63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eastAsia="zh-CN"/>
        </w:rPr>
        <w:t>1421.00</w:t>
      </w:r>
      <w:r>
        <w:rPr>
          <w:rFonts w:hint="eastAsia" w:ascii="仿宋" w:hAnsi="仿宋" w:eastAsia="仿宋" w:cs="仿宋"/>
          <w:sz w:val="32"/>
          <w:szCs w:val="32"/>
          <w:highlight w:val="none"/>
        </w:rPr>
        <w:t>万元，项目支出</w:t>
      </w:r>
      <w:r>
        <w:rPr>
          <w:rFonts w:hint="eastAsia" w:ascii="仿宋" w:hAnsi="仿宋" w:eastAsia="仿宋" w:cs="仿宋"/>
          <w:sz w:val="32"/>
          <w:u w:color="auto"/>
          <w:lang w:eastAsia="zh-CN"/>
        </w:rPr>
        <w:t>567.69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color w:val="auto"/>
          <w:sz w:val="32"/>
          <w:u w:color="auto"/>
          <w:lang w:val="en-US" w:eastAsia="zh-CN"/>
        </w:rPr>
        <w:t>1009.48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eastAsia="zh-CN"/>
        </w:rPr>
        <w:t>1988.69</w:t>
      </w:r>
      <w:r>
        <w:rPr>
          <w:rFonts w:hint="eastAsia" w:ascii="仿宋" w:hAnsi="仿宋" w:eastAsia="仿宋" w:cs="仿宋"/>
          <w:sz w:val="32"/>
          <w:szCs w:val="32"/>
          <w:highlight w:val="none"/>
        </w:rPr>
        <w:t>万元，完成年初预算的</w:t>
      </w:r>
      <w:r>
        <w:rPr>
          <w:rFonts w:hint="eastAsia" w:ascii="仿宋" w:hAnsi="仿宋" w:eastAsia="仿宋" w:cs="仿宋"/>
          <w:color w:val="auto"/>
          <w:sz w:val="32"/>
          <w:u w:color="auto"/>
          <w:lang w:val="en-US" w:eastAsia="zh-CN"/>
        </w:rPr>
        <w:t>979.21</w:t>
      </w:r>
      <w:r>
        <w:rPr>
          <w:rFonts w:ascii="仿宋" w:hAnsi="仿宋" w:eastAsia="仿宋" w:cs="仿宋"/>
          <w:color w:val="auto"/>
          <w:sz w:val="32"/>
          <w:u w:color="auto"/>
        </w:rPr>
        <w:t>%</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 xml:space="preserve"> </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eastAsia="zh-CN"/>
        </w:rPr>
        <w:t>15.79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eastAsia="zh-CN"/>
        </w:rPr>
        <w:t>15.79</w:t>
      </w:r>
      <w:r>
        <w:rPr>
          <w:rFonts w:hint="eastAsia" w:ascii="仿宋" w:hAnsi="仿宋" w:eastAsia="仿宋"/>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没有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15.79</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15.79</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15.79</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15.79</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color w:val="auto"/>
          <w:sz w:val="32"/>
          <w:szCs w:val="32"/>
          <w:highlight w:val="none"/>
          <w:lang w:val="en-US" w:eastAsia="zh-CN"/>
        </w:rPr>
        <w:t>812.5</w:t>
      </w:r>
      <w:r>
        <w:rPr>
          <w:rFonts w:hint="eastAsia" w:ascii="仿宋" w:hAnsi="仿宋" w:eastAsia="仿宋"/>
          <w:color w:val="auto"/>
          <w:sz w:val="32"/>
          <w:szCs w:val="32"/>
          <w:highlight w:val="none"/>
        </w:rPr>
        <w:t>万元，</w:t>
      </w:r>
      <w:r>
        <w:rPr>
          <w:rFonts w:hint="eastAsia" w:ascii="仿宋" w:hAnsi="仿宋" w:eastAsia="仿宋"/>
          <w:sz w:val="32"/>
          <w:szCs w:val="32"/>
          <w:highlight w:val="none"/>
        </w:rPr>
        <w:t>支出决算为</w:t>
      </w:r>
      <w:r>
        <w:rPr>
          <w:rFonts w:hint="eastAsia" w:ascii="仿宋" w:hAnsi="仿宋" w:eastAsia="仿宋"/>
          <w:sz w:val="32"/>
          <w:szCs w:val="32"/>
          <w:highlight w:val="none"/>
          <w:lang w:eastAsia="zh-CN"/>
        </w:rPr>
        <w:t>1608.09</w:t>
      </w:r>
      <w:r>
        <w:rPr>
          <w:rFonts w:hint="eastAsia" w:ascii="仿宋" w:hAnsi="仿宋" w:eastAsia="仿宋"/>
          <w:sz w:val="32"/>
          <w:szCs w:val="32"/>
          <w:highlight w:val="none"/>
        </w:rPr>
        <w:t>万元，完成年初预算的</w:t>
      </w:r>
      <w:r>
        <w:rPr>
          <w:rFonts w:hint="eastAsia" w:ascii="仿宋" w:hAnsi="仿宋" w:eastAsia="仿宋"/>
          <w:color w:val="auto"/>
          <w:sz w:val="32"/>
          <w:szCs w:val="32"/>
          <w:highlight w:val="none"/>
          <w:lang w:val="en-US" w:eastAsia="zh-CN"/>
        </w:rPr>
        <w:t>759.59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原因是：一是该类支出部分资金上级部门每年都有预算，直接下达，本部门无需做预算，二是教职工调入人员增加，支出增加</w:t>
      </w:r>
      <w:r>
        <w:rPr>
          <w:rFonts w:hint="eastAsia" w:ascii="仿宋" w:hAnsi="仿宋" w:eastAsia="仿宋" w:cs="仿宋"/>
          <w:b/>
          <w:bCs/>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900"/>
        <w:gridCol w:w="855"/>
        <w:gridCol w:w="21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0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17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8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FF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764.40</w:t>
            </w:r>
          </w:p>
        </w:tc>
        <w:tc>
          <w:tcPr>
            <w:tcW w:w="90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1590.98</w:t>
            </w:r>
          </w:p>
        </w:tc>
        <w:tc>
          <w:tcPr>
            <w:tcW w:w="8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FF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208.13%</w:t>
            </w:r>
          </w:p>
        </w:tc>
        <w:tc>
          <w:tcPr>
            <w:tcW w:w="217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人员工资及为开展教育教学活动的支出</w:t>
            </w:r>
          </w:p>
        </w:tc>
        <w:tc>
          <w:tcPr>
            <w:tcW w:w="158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18"/>
                <w:szCs w:val="18"/>
                <w:highlight w:val="none"/>
                <w:lang w:val="en-US" w:eastAsia="zh-CN"/>
                <w14:textFill>
                  <w14:solidFill>
                    <w14:schemeClr w14:val="tx1"/>
                  </w14:solidFill>
                </w14:textFill>
              </w:rPr>
              <w:t>一是该类支出部分资金上级部门每年都有预算，直接下达，本部门无需做预算，二是教职工调入人员增加，支出增</w:t>
            </w:r>
            <w:r>
              <w:rPr>
                <w:rFonts w:hint="eastAsia" w:ascii="仿宋" w:hAnsi="仿宋" w:eastAsia="仿宋"/>
                <w:color w:val="000000" w:themeColor="text1"/>
                <w:sz w:val="21"/>
                <w:szCs w:val="21"/>
                <w:highlight w:val="none"/>
                <w:lang w:val="en-US" w:eastAsia="zh-CN"/>
                <w14:textFill>
                  <w14:solidFill>
                    <w14:schemeClr w14:val="tx1"/>
                  </w14:solidFill>
                </w14:textFill>
              </w:rPr>
              <w:t>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0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17.96</w:t>
            </w:r>
          </w:p>
        </w:tc>
        <w:tc>
          <w:tcPr>
            <w:tcW w:w="8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17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要用于人员工资及为开展教育教学活动的支出</w:t>
            </w:r>
          </w:p>
        </w:tc>
        <w:tc>
          <w:tcPr>
            <w:tcW w:w="158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此部分资金上级部门每年都有预算直接下达，本部门无需预算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812.5</w:t>
            </w:r>
          </w:p>
        </w:tc>
        <w:tc>
          <w:tcPr>
            <w:tcW w:w="90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1608.09</w:t>
            </w:r>
          </w:p>
        </w:tc>
        <w:tc>
          <w:tcPr>
            <w:tcW w:w="8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17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18"/>
                <w:szCs w:val="18"/>
              </w:rPr>
              <w:t>要用于人员工资及为开展教育教学活动的支出</w:t>
            </w:r>
          </w:p>
        </w:tc>
        <w:tc>
          <w:tcPr>
            <w:tcW w:w="158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drawing>
          <wp:inline distT="0" distB="0" distL="114300" distR="114300">
            <wp:extent cx="4666615" cy="3304540"/>
            <wp:effectExtent l="4445" t="5080" r="15240" b="5080"/>
            <wp:docPr id="103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color w:val="auto"/>
          <w:sz w:val="32"/>
          <w:szCs w:val="32"/>
          <w:highlight w:val="none"/>
          <w:lang w:val="en-US" w:eastAsia="zh-CN"/>
        </w:rPr>
        <w:t>131.02</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eastAsia="zh-CN"/>
        </w:rPr>
        <w:t>140.68</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109.66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原因是：教职工调入人员增加。</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131.02</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140.68</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109.66%</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21"/>
                <w:szCs w:val="21"/>
                <w:highlight w:val="none"/>
                <w:lang w:val="en-US" w:eastAsia="zh-CN"/>
              </w:rPr>
              <w:t>用于教师</w:t>
            </w:r>
            <w:r>
              <w:rPr>
                <w:rFonts w:hint="eastAsia" w:ascii="宋体" w:hAnsi="宋体" w:eastAsia="宋体" w:cs="宋体"/>
                <w:b w:val="0"/>
                <w:bCs w:val="0"/>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教职工调入人员增加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FF0000"/>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131.02</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140.68</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21"/>
                <w:szCs w:val="21"/>
                <w:highlight w:val="none"/>
                <w:lang w:val="en-US" w:eastAsia="zh-CN"/>
              </w:rPr>
              <w:t>用于教师</w:t>
            </w:r>
            <w:r>
              <w:rPr>
                <w:rFonts w:hint="eastAsia" w:ascii="宋体" w:hAnsi="宋体" w:eastAsia="宋体" w:cs="宋体"/>
                <w:b w:val="0"/>
                <w:bCs w:val="0"/>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教职工调入人员增</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color w:val="auto"/>
          <w:sz w:val="32"/>
          <w:szCs w:val="32"/>
          <w:highlight w:val="none"/>
          <w:lang w:val="en-US" w:eastAsia="zh-CN"/>
        </w:rPr>
        <w:t>98.27</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eastAsia="zh-CN"/>
        </w:rPr>
        <w:t>104.00</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105.3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原因是：人为增加工资基数，年初预算数据偏大。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98.27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104.00</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105.3%</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教职工调入人员增加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98.27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104.00</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教职工调入人员增加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hint="eastAsia" w:ascii="仿宋" w:hAnsi="仿宋" w:eastAsia="仿宋"/>
          <w:color w:val="auto"/>
          <w:sz w:val="32"/>
          <w:szCs w:val="32"/>
          <w:highlight w:val="none"/>
          <w:lang w:eastAsia="zh-CN"/>
        </w:rPr>
        <w:t>120.13</w:t>
      </w:r>
      <w:r>
        <w:rPr>
          <w:rFonts w:hint="eastAsia" w:ascii="仿宋" w:hAnsi="仿宋" w:eastAsia="仿宋"/>
          <w:color w:val="auto"/>
          <w:sz w:val="32"/>
          <w:szCs w:val="32"/>
          <w:highlight w:val="none"/>
        </w:rPr>
        <w:t>万元，完成年初预算的</w:t>
      </w:r>
      <w:r>
        <w:rPr>
          <w:rFonts w:hint="eastAsia" w:ascii="仿宋" w:hAnsi="仿宋" w:eastAsia="仿宋"/>
          <w:color w:val="auto"/>
          <w:sz w:val="32"/>
          <w:szCs w:val="32"/>
          <w:highlight w:val="none"/>
          <w:lang w:val="en-US" w:eastAsia="zh-CN"/>
        </w:rPr>
        <w:t>120.13</w:t>
      </w:r>
      <w:r>
        <w:rPr>
          <w:rFonts w:ascii="仿宋" w:hAnsi="仿宋" w:eastAsia="仿宋"/>
          <w:color w:val="auto"/>
          <w:sz w:val="32"/>
          <w:szCs w:val="32"/>
          <w:highlight w:val="none"/>
        </w:rPr>
        <w:t>%</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原因是：政府加大投资力度，学校严格按</w:t>
      </w:r>
      <w:r>
        <w:rPr>
          <w:rFonts w:hint="eastAsia" w:ascii="仿宋" w:hAnsi="仿宋" w:eastAsia="仿宋"/>
          <w:color w:val="000000" w:themeColor="text1"/>
          <w:sz w:val="32"/>
          <w:szCs w:val="32"/>
          <w:highlight w:val="none"/>
          <w:lang w:val="en-US" w:eastAsia="zh-CN"/>
          <w14:textFill>
            <w14:solidFill>
              <w14:schemeClr w14:val="tx1"/>
            </w14:solidFill>
          </w14:textFill>
        </w:rPr>
        <w:t>照资金管理办法使用。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120.13</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用于支付人员奖励性补贴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120.13</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用于支付人员奖励性补贴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此部分资金上级部门每年都有预算直接下达，本部门无需预算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eastAsia="zh-CN"/>
        </w:rPr>
        <w:t>1421.00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eastAsia="zh-CN"/>
        </w:rPr>
        <w:t>1405.21</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15.79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eastAsia="zh-CN"/>
        </w:rPr>
        <w:t>1405.21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144.56</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主要原因是：教师工资提高及奖励性绩效工资的发放。</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429.96万元，30102津贴补贴56.11万元，30103奖金402.82万元，30107绩效工资208.08万元，30108机关事业单位基本养老保险缴费140.68万元，30110职工基本医疗保险缴费56.58万元，30112其他社会保障缴费6.97万元，30113住房公积金104.00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color w:val="auto"/>
          <w:sz w:val="32"/>
          <w:u w:color="auto"/>
          <w:lang w:val="en-US" w:eastAsia="zh-CN"/>
        </w:rPr>
        <w:t>15.79万</w:t>
      </w:r>
      <w:r>
        <w:rPr>
          <w:rFonts w:ascii="仿宋" w:hAnsi="仿宋" w:eastAsia="仿宋" w:cs="仿宋"/>
          <w:color w:val="auto"/>
          <w:sz w:val="32"/>
          <w:u w:color="auto"/>
        </w:rPr>
        <w:t>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30228工会经费15.79万元。</w:t>
      </w:r>
    </w:p>
    <w:p>
      <w:pPr>
        <w:jc w:val="center"/>
        <w:rPr>
          <w:rFonts w:hint="eastAsia" w:ascii="仿宋" w:hAnsi="仿宋" w:eastAsia="仿宋" w:cs="仿宋"/>
          <w:color w:val="FF0000"/>
          <w:sz w:val="32"/>
          <w:szCs w:val="32"/>
          <w:highlight w:val="none"/>
        </w:rPr>
      </w:pPr>
      <w:r>
        <w:rPr>
          <w:rFonts w:hint="eastAsia" w:ascii="仿宋" w:hAnsi="仿宋" w:eastAsia="仿宋" w:cs="仿宋"/>
          <w:color w:val="FF0000"/>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color w:val="FF0000"/>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eastAsia="zh-CN"/>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u w:color="auto"/>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广西河池市环江毛南族自治县第四初级中学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广西河池市环江毛南族自治县第四初级中学</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广西河池市环江毛南族自治县第四初级中学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numPr>
          <w:ilvl w:val="0"/>
          <w:numId w:val="2"/>
        </w:num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本单位没有三公经费收入和支出。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本单位没有三公经费收入和支出。</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lang w:eastAsia="zh-CN"/>
        </w:rPr>
        <w:t>。</w:t>
      </w:r>
    </w:p>
    <w:p>
      <w:pPr>
        <w:numPr>
          <w:ilvl w:val="0"/>
          <w:numId w:val="0"/>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w:t>
      </w:r>
      <w:r>
        <w:rPr>
          <w:rFonts w:hint="eastAsia" w:ascii="仿宋" w:hAnsi="仿宋" w:eastAsia="仿宋" w:cs="仿宋"/>
          <w:color w:val="auto"/>
          <w:sz w:val="32"/>
          <w:szCs w:val="32"/>
          <w:lang w:val="en-US" w:eastAsia="zh-CN"/>
        </w:rPr>
        <w:t>接待</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528.163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449.582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528.163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w:t>
      </w:r>
      <w:r>
        <w:rPr>
          <w:rFonts w:hint="eastAsia" w:ascii="仿宋" w:hAnsi="仿宋" w:eastAsia="仿宋" w:cs="仿宋"/>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2023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分。发现的主要问题及原因：一是学校报账材料整理比</w:t>
      </w:r>
      <w:r>
        <w:rPr>
          <w:rFonts w:hint="eastAsia" w:ascii="仿宋" w:hAnsi="仿宋" w:eastAsia="仿宋" w:cs="仿宋"/>
          <w:color w:val="000000" w:themeColor="text1"/>
          <w:sz w:val="32"/>
          <w:szCs w:val="32"/>
          <w:lang w:val="en-US" w:eastAsia="zh-CN"/>
          <w14:textFill>
            <w14:solidFill>
              <w14:schemeClr w14:val="tx1"/>
            </w14:solidFill>
          </w14:textFill>
        </w:rPr>
        <w:t>较</w:t>
      </w:r>
      <w:r>
        <w:rPr>
          <w:rFonts w:hint="eastAsia" w:ascii="仿宋" w:hAnsi="仿宋" w:eastAsia="仿宋" w:cs="仿宋"/>
          <w:color w:val="000000" w:themeColor="text1"/>
          <w:sz w:val="32"/>
          <w:szCs w:val="32"/>
          <w14:textFill>
            <w14:solidFill>
              <w14:schemeClr w14:val="tx1"/>
            </w14:solidFill>
          </w14:textFill>
        </w:rPr>
        <w:t>慢。下一步改进措施：一是</w:t>
      </w:r>
      <w:r>
        <w:rPr>
          <w:rFonts w:hint="eastAsia" w:ascii="仿宋" w:hAnsi="仿宋" w:eastAsia="仿宋" w:cs="仿宋"/>
          <w:color w:val="000000" w:themeColor="text1"/>
          <w:sz w:val="32"/>
          <w:szCs w:val="32"/>
          <w:lang w:eastAsia="zh-CN"/>
          <w14:textFill>
            <w14:solidFill>
              <w14:schemeClr w14:val="tx1"/>
            </w14:solidFill>
          </w14:textFill>
        </w:rPr>
        <w:t>及时整理报账材料</w:t>
      </w:r>
      <w:r>
        <w:rPr>
          <w:rFonts w:hint="eastAsia" w:ascii="仿宋" w:hAnsi="仿宋" w:eastAsia="仿宋" w:cs="仿宋"/>
          <w:color w:val="000000" w:themeColor="text1"/>
          <w:sz w:val="32"/>
          <w:szCs w:val="32"/>
          <w14:textFill>
            <w14:solidFill>
              <w14:schemeClr w14:val="tx1"/>
            </w14:solidFill>
          </w14:textFill>
        </w:rPr>
        <w:t>；二是与财政沟通第二年</w:t>
      </w:r>
      <w:r>
        <w:rPr>
          <w:rFonts w:hint="eastAsia" w:ascii="仿宋" w:hAnsi="仿宋" w:eastAsia="仿宋" w:cs="仿宋"/>
          <w:color w:val="000000" w:themeColor="text1"/>
          <w:sz w:val="32"/>
          <w:szCs w:val="32"/>
          <w:lang w:eastAsia="zh-CN"/>
          <w14:textFill>
            <w14:solidFill>
              <w14:schemeClr w14:val="tx1"/>
            </w14:solidFill>
          </w14:textFill>
        </w:rPr>
        <w:t>继续</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3E0B2D27"/>
    <w:multiLevelType w:val="singleLevel"/>
    <w:tmpl w:val="3E0B2D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YTA0ZWQ1N2YwNDE3NzVkYWRkZjQyNWE1NjliOT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22E90"/>
    <w:rsid w:val="01234E98"/>
    <w:rsid w:val="015E0632"/>
    <w:rsid w:val="015F1951"/>
    <w:rsid w:val="020C171D"/>
    <w:rsid w:val="0216715F"/>
    <w:rsid w:val="02E0291A"/>
    <w:rsid w:val="030C3475"/>
    <w:rsid w:val="03966E45"/>
    <w:rsid w:val="04185410"/>
    <w:rsid w:val="04806B11"/>
    <w:rsid w:val="04E54546"/>
    <w:rsid w:val="05856AD5"/>
    <w:rsid w:val="05992762"/>
    <w:rsid w:val="05B52F84"/>
    <w:rsid w:val="062067FE"/>
    <w:rsid w:val="0700284C"/>
    <w:rsid w:val="079A524B"/>
    <w:rsid w:val="07B0770E"/>
    <w:rsid w:val="0840235A"/>
    <w:rsid w:val="08CB522A"/>
    <w:rsid w:val="0942143F"/>
    <w:rsid w:val="09B96D4E"/>
    <w:rsid w:val="0ACB17D8"/>
    <w:rsid w:val="0B9D61FB"/>
    <w:rsid w:val="0BBF2615"/>
    <w:rsid w:val="0D100297"/>
    <w:rsid w:val="0D202B45"/>
    <w:rsid w:val="0DF51D40"/>
    <w:rsid w:val="0E1E3346"/>
    <w:rsid w:val="0E6F1883"/>
    <w:rsid w:val="0F8D4C87"/>
    <w:rsid w:val="10505FAA"/>
    <w:rsid w:val="105F7E7E"/>
    <w:rsid w:val="10FF60D8"/>
    <w:rsid w:val="11706C4F"/>
    <w:rsid w:val="11E56B5B"/>
    <w:rsid w:val="125C77AB"/>
    <w:rsid w:val="126B1C4D"/>
    <w:rsid w:val="13A256FD"/>
    <w:rsid w:val="140D6969"/>
    <w:rsid w:val="14825A2E"/>
    <w:rsid w:val="14C96EB3"/>
    <w:rsid w:val="14CB726E"/>
    <w:rsid w:val="15767E12"/>
    <w:rsid w:val="164A5948"/>
    <w:rsid w:val="16EF1317"/>
    <w:rsid w:val="173747FE"/>
    <w:rsid w:val="17E92249"/>
    <w:rsid w:val="18891932"/>
    <w:rsid w:val="189C1D14"/>
    <w:rsid w:val="18D304F1"/>
    <w:rsid w:val="198D7564"/>
    <w:rsid w:val="19F32577"/>
    <w:rsid w:val="19F45B80"/>
    <w:rsid w:val="1AD61E1E"/>
    <w:rsid w:val="1ADE7D63"/>
    <w:rsid w:val="1AE43D03"/>
    <w:rsid w:val="1B0C078D"/>
    <w:rsid w:val="1B2B31E2"/>
    <w:rsid w:val="1B4C295A"/>
    <w:rsid w:val="1B636B19"/>
    <w:rsid w:val="1B973C63"/>
    <w:rsid w:val="1BA1001E"/>
    <w:rsid w:val="1BBE6445"/>
    <w:rsid w:val="1C7865F4"/>
    <w:rsid w:val="1CC01D49"/>
    <w:rsid w:val="1D317259"/>
    <w:rsid w:val="1D81060F"/>
    <w:rsid w:val="1E030F35"/>
    <w:rsid w:val="1E032872"/>
    <w:rsid w:val="1E2A2379"/>
    <w:rsid w:val="1E664F5B"/>
    <w:rsid w:val="1EB34BE1"/>
    <w:rsid w:val="1EF76B98"/>
    <w:rsid w:val="20943C19"/>
    <w:rsid w:val="21020B82"/>
    <w:rsid w:val="215E639F"/>
    <w:rsid w:val="21D00F87"/>
    <w:rsid w:val="21EC3183"/>
    <w:rsid w:val="225E72CD"/>
    <w:rsid w:val="22A40742"/>
    <w:rsid w:val="246E2F77"/>
    <w:rsid w:val="248A3FFE"/>
    <w:rsid w:val="24DF4095"/>
    <w:rsid w:val="254304F6"/>
    <w:rsid w:val="254B4E2B"/>
    <w:rsid w:val="27B67E17"/>
    <w:rsid w:val="283D7C94"/>
    <w:rsid w:val="29480E03"/>
    <w:rsid w:val="2983634D"/>
    <w:rsid w:val="2AB04987"/>
    <w:rsid w:val="2BB02055"/>
    <w:rsid w:val="2C575A56"/>
    <w:rsid w:val="2D025E26"/>
    <w:rsid w:val="2D636E4D"/>
    <w:rsid w:val="2E8E1CA7"/>
    <w:rsid w:val="2F257714"/>
    <w:rsid w:val="2F3275E5"/>
    <w:rsid w:val="2F9C2C13"/>
    <w:rsid w:val="30894E1C"/>
    <w:rsid w:val="30AA08EF"/>
    <w:rsid w:val="30D23D1C"/>
    <w:rsid w:val="31221CF5"/>
    <w:rsid w:val="31400178"/>
    <w:rsid w:val="317F3B29"/>
    <w:rsid w:val="321E3342"/>
    <w:rsid w:val="327759C8"/>
    <w:rsid w:val="32AC4DF2"/>
    <w:rsid w:val="33185FE3"/>
    <w:rsid w:val="344572AC"/>
    <w:rsid w:val="34EE2E36"/>
    <w:rsid w:val="353B3A1E"/>
    <w:rsid w:val="36777241"/>
    <w:rsid w:val="371E78D5"/>
    <w:rsid w:val="37F232A7"/>
    <w:rsid w:val="38A951DB"/>
    <w:rsid w:val="38B31605"/>
    <w:rsid w:val="39003F4F"/>
    <w:rsid w:val="390A2872"/>
    <w:rsid w:val="395104A1"/>
    <w:rsid w:val="3A173A5B"/>
    <w:rsid w:val="3A9E3272"/>
    <w:rsid w:val="3B393FA8"/>
    <w:rsid w:val="3B577295"/>
    <w:rsid w:val="3B774EDF"/>
    <w:rsid w:val="3C07002B"/>
    <w:rsid w:val="3D0D152A"/>
    <w:rsid w:val="3DE24C6F"/>
    <w:rsid w:val="3DF62756"/>
    <w:rsid w:val="3E432380"/>
    <w:rsid w:val="3F1B7587"/>
    <w:rsid w:val="3F3B02B9"/>
    <w:rsid w:val="3FAD0D66"/>
    <w:rsid w:val="40AE7F87"/>
    <w:rsid w:val="41E57B4F"/>
    <w:rsid w:val="42663AEB"/>
    <w:rsid w:val="42BC2E2F"/>
    <w:rsid w:val="432F26F6"/>
    <w:rsid w:val="43880F63"/>
    <w:rsid w:val="43E314B5"/>
    <w:rsid w:val="441C5A6F"/>
    <w:rsid w:val="44C44FCC"/>
    <w:rsid w:val="44CC7369"/>
    <w:rsid w:val="457F5108"/>
    <w:rsid w:val="46116FEE"/>
    <w:rsid w:val="4670640B"/>
    <w:rsid w:val="46951B6B"/>
    <w:rsid w:val="483C0C2F"/>
    <w:rsid w:val="49A34401"/>
    <w:rsid w:val="4A18245B"/>
    <w:rsid w:val="4A3E30AB"/>
    <w:rsid w:val="4A500550"/>
    <w:rsid w:val="4AC14DAC"/>
    <w:rsid w:val="4D154C85"/>
    <w:rsid w:val="4EB35ECE"/>
    <w:rsid w:val="4F1B22DD"/>
    <w:rsid w:val="508F4E24"/>
    <w:rsid w:val="50BE124D"/>
    <w:rsid w:val="51461E90"/>
    <w:rsid w:val="51463753"/>
    <w:rsid w:val="515B6B8D"/>
    <w:rsid w:val="52553A93"/>
    <w:rsid w:val="52BC29D7"/>
    <w:rsid w:val="5334431C"/>
    <w:rsid w:val="53521F8B"/>
    <w:rsid w:val="53E22F47"/>
    <w:rsid w:val="53F82707"/>
    <w:rsid w:val="54302C8F"/>
    <w:rsid w:val="54324CFF"/>
    <w:rsid w:val="54522FF8"/>
    <w:rsid w:val="545F7ABE"/>
    <w:rsid w:val="54A650FD"/>
    <w:rsid w:val="552B7D38"/>
    <w:rsid w:val="55450629"/>
    <w:rsid w:val="55B35B15"/>
    <w:rsid w:val="55EB785C"/>
    <w:rsid w:val="563C30EF"/>
    <w:rsid w:val="56680EAC"/>
    <w:rsid w:val="56692963"/>
    <w:rsid w:val="56844666"/>
    <w:rsid w:val="568B0F48"/>
    <w:rsid w:val="5786217B"/>
    <w:rsid w:val="58386D9E"/>
    <w:rsid w:val="591F781C"/>
    <w:rsid w:val="59337A15"/>
    <w:rsid w:val="59810274"/>
    <w:rsid w:val="59994C07"/>
    <w:rsid w:val="5A727E81"/>
    <w:rsid w:val="5A925D47"/>
    <w:rsid w:val="5B8E7853"/>
    <w:rsid w:val="5C773E23"/>
    <w:rsid w:val="5CA96A00"/>
    <w:rsid w:val="5CF52D6E"/>
    <w:rsid w:val="5CF730BC"/>
    <w:rsid w:val="5D903625"/>
    <w:rsid w:val="5E5F0DCE"/>
    <w:rsid w:val="5FA40A7B"/>
    <w:rsid w:val="5FD56D29"/>
    <w:rsid w:val="5FEC7F3F"/>
    <w:rsid w:val="60F74BC3"/>
    <w:rsid w:val="617D3BF8"/>
    <w:rsid w:val="61841F6A"/>
    <w:rsid w:val="618D3A10"/>
    <w:rsid w:val="61946FF9"/>
    <w:rsid w:val="620123E4"/>
    <w:rsid w:val="621872A1"/>
    <w:rsid w:val="623007A9"/>
    <w:rsid w:val="62E03C33"/>
    <w:rsid w:val="63796F15"/>
    <w:rsid w:val="637D7558"/>
    <w:rsid w:val="639C03E7"/>
    <w:rsid w:val="63B63A53"/>
    <w:rsid w:val="63CF69B4"/>
    <w:rsid w:val="644F19AC"/>
    <w:rsid w:val="65AA4920"/>
    <w:rsid w:val="65E31D0B"/>
    <w:rsid w:val="671437D8"/>
    <w:rsid w:val="67694F1E"/>
    <w:rsid w:val="680001BE"/>
    <w:rsid w:val="68413E67"/>
    <w:rsid w:val="69577368"/>
    <w:rsid w:val="69597934"/>
    <w:rsid w:val="6B964DDC"/>
    <w:rsid w:val="6C783074"/>
    <w:rsid w:val="6CA109FA"/>
    <w:rsid w:val="6D5A646E"/>
    <w:rsid w:val="6D9E65C6"/>
    <w:rsid w:val="6DA81947"/>
    <w:rsid w:val="6EB66DE2"/>
    <w:rsid w:val="6ED3075F"/>
    <w:rsid w:val="6EF647E8"/>
    <w:rsid w:val="6F2A2D4B"/>
    <w:rsid w:val="6F8A0C1E"/>
    <w:rsid w:val="703F45D4"/>
    <w:rsid w:val="70C551BD"/>
    <w:rsid w:val="715D6546"/>
    <w:rsid w:val="71BE069E"/>
    <w:rsid w:val="71D452A5"/>
    <w:rsid w:val="71E44F32"/>
    <w:rsid w:val="73953409"/>
    <w:rsid w:val="73E069A3"/>
    <w:rsid w:val="7456013E"/>
    <w:rsid w:val="749E7847"/>
    <w:rsid w:val="76BD6253"/>
    <w:rsid w:val="76CB23C7"/>
    <w:rsid w:val="773A78A3"/>
    <w:rsid w:val="77523AA7"/>
    <w:rsid w:val="78104AA8"/>
    <w:rsid w:val="78D87E54"/>
    <w:rsid w:val="78E257C5"/>
    <w:rsid w:val="794B35BE"/>
    <w:rsid w:val="7AE2097E"/>
    <w:rsid w:val="7B0A3A31"/>
    <w:rsid w:val="7B3360ED"/>
    <w:rsid w:val="7B7862C5"/>
    <w:rsid w:val="7BDF037E"/>
    <w:rsid w:val="7BF50948"/>
    <w:rsid w:val="7CB56187"/>
    <w:rsid w:val="7CE66A78"/>
    <w:rsid w:val="7CF8312F"/>
    <w:rsid w:val="7D23564C"/>
    <w:rsid w:val="7D5E062D"/>
    <w:rsid w:val="7DD55A70"/>
    <w:rsid w:val="7DF76CD8"/>
    <w:rsid w:val="7EB268B9"/>
    <w:rsid w:val="7F695C26"/>
    <w:rsid w:val="7FCF62D3"/>
    <w:rsid w:val="7FD7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36130;&#21153;&#20154;&#21592;&#32852;&#31995;&#20449;&#24687;2023-10-11%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1988.69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12.39</c:v>
                </c:pt>
                <c:pt idx="1">
                  <c:v>1209.44</c:v>
                </c:pt>
                <c:pt idx="2">
                  <c:v>93.62</c:v>
                </c:pt>
                <c:pt idx="3">
                  <c:v>74.96</c:v>
                </c:pt>
                <c:pt idx="4">
                  <c:v>131.95</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15.79</c:v>
                </c:pt>
                <c:pt idx="1">
                  <c:v>1608.09</c:v>
                </c:pt>
                <c:pt idx="2">
                  <c:v>140.68</c:v>
                </c:pt>
                <c:pt idx="3">
                  <c:v>104</c:v>
                </c:pt>
                <c:pt idx="4">
                  <c:v>120.13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15.79</c:v>
                </c:pt>
                <c:pt idx="1">
                  <c:v>15.79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'[财务人员联系信息2023-10-11 - 副本.xls]Sheet1'!$D$10</c:f>
              <c:strCache>
                <c:ptCount val="1"/>
                <c:pt idx="0">
                  <c:v>科目代码</c:v>
                </c:pt>
              </c:strCache>
            </c:strRef>
          </c:tx>
          <c:spPr>
            <a:solidFill>
              <a:schemeClr val="accent1"/>
            </a:solidFill>
            <a:ln>
              <a:noFill/>
            </a:ln>
            <a:effectLst/>
          </c:spPr>
          <c:invertIfNegative val="0"/>
          <c:dLbls>
            <c:delete val="1"/>
          </c:dLbls>
          <c:cat>
            <c:strRef>
              <c:f>'[财务人员联系信息2023-10-11 - 副本.xls]Sheet1'!$C$11:$C$13</c:f>
              <c:strCache>
                <c:ptCount val="3"/>
                <c:pt idx="0">
                  <c:v>2050203</c:v>
                </c:pt>
                <c:pt idx="1">
                  <c:v>2050299</c:v>
                </c:pt>
                <c:pt idx="2">
                  <c:v>205x</c:v>
                </c:pt>
              </c:strCache>
            </c:strRef>
          </c:cat>
          <c:val>
            <c:numRef>
              <c:f>'[财务人员联系信息2023-10-11 - 副本.xls]Sheet1'!$D$11:$D$13</c:f>
              <c:numCache>
                <c:formatCode>General</c:formatCode>
                <c:ptCount val="3"/>
                <c:pt idx="0">
                  <c:v>1590.98</c:v>
                </c:pt>
                <c:pt idx="1">
                  <c:v>17.96</c:v>
                </c:pt>
                <c:pt idx="2">
                  <c:v>1608.94</c:v>
                </c:pt>
              </c:numCache>
            </c:numRef>
          </c:val>
        </c:ser>
        <c:dLbls>
          <c:showLegendKey val="0"/>
          <c:showVal val="0"/>
          <c:showCatName val="0"/>
          <c:showSerName val="0"/>
          <c:showPercent val="0"/>
          <c:showBubbleSize val="0"/>
        </c:dLbls>
        <c:gapWidth val="219"/>
        <c:overlap val="-27"/>
        <c:axId val="190060083"/>
        <c:axId val="34042072"/>
      </c:barChart>
      <c:catAx>
        <c:axId val="19006008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42072"/>
        <c:crosses val="autoZero"/>
        <c:auto val="1"/>
        <c:lblAlgn val="ctr"/>
        <c:lblOffset val="100"/>
        <c:noMultiLvlLbl val="0"/>
      </c:catAx>
      <c:valAx>
        <c:axId val="34042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006008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140.68</c:v>
                </c:pt>
                <c:pt idx="1">
                  <c:v>140.68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104</c:v>
                </c:pt>
                <c:pt idx="1">
                  <c:v>104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120.13</c:v>
                </c:pt>
                <c:pt idx="1">
                  <c:v>120.13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429.96</c:v>
                </c:pt>
                <c:pt idx="1">
                  <c:v>56.11</c:v>
                </c:pt>
                <c:pt idx="2">
                  <c:v>402.82</c:v>
                </c:pt>
                <c:pt idx="3">
                  <c:v>0</c:v>
                </c:pt>
                <c:pt idx="4">
                  <c:v>208.08</c:v>
                </c:pt>
                <c:pt idx="5">
                  <c:v>140.68</c:v>
                </c:pt>
                <c:pt idx="6">
                  <c:v>0</c:v>
                </c:pt>
                <c:pt idx="7">
                  <c:v>56.58</c:v>
                </c:pt>
                <c:pt idx="8">
                  <c:v>0</c:v>
                </c:pt>
                <c:pt idx="9">
                  <c:v>6.97</c:v>
                </c:pt>
                <c:pt idx="10">
                  <c:v>104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15.79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3943</Words>
  <Characters>5634</Characters>
  <Lines>90</Lines>
  <Paragraphs>25</Paragraphs>
  <TotalTime>6</TotalTime>
  <ScaleCrop>false</ScaleCrop>
  <LinksUpToDate>false</LinksUpToDate>
  <CharactersWithSpaces>5814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2023-11-24T08:31:00Z</cp:lastPrinted>
  <dcterms:modified xsi:type="dcterms:W3CDTF">2024-12-30T08:56:24Z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B1133A0541504F4F842116789B38CA7C_13</vt:lpwstr>
  </property>
  <property fmtid="{D5CDD505-2E9C-101B-9397-08002B2CF9AE}" pid="4" name="KSOTemplateDocerSaveRecord">
    <vt:lpwstr>eyJoZGlkIjoiOTY4MjUxOTI2YWM0NzMzODQ1NGY0MmE1NmVmYTYzMzIiLCJ1c2VySWQiOiIzOTY4OTg0NzEifQ==</vt:lpwstr>
  </property>
</Properties>
</file>