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环江毛南族自治县第一小学2023年度部门决算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仿宋" w:hAnsi="仿宋" w:eastAsia="仿宋" w:cs="仿宋"/>
          <w:b/>
          <w:bCs/>
          <w:sz w:val="52"/>
          <w:szCs w:val="52"/>
        </w:rPr>
      </w:pPr>
      <w:r>
        <w:rPr>
          <w:rFonts w:hint="eastAsia" w:ascii="仿宋" w:hAnsi="仿宋" w:eastAsia="仿宋" w:cs="仿宋"/>
          <w:b/>
          <w:bCs/>
          <w:sz w:val="52"/>
          <w:szCs w:val="52"/>
        </w:rPr>
        <w:t>单位负责人：莫华明</w:t>
      </w:r>
    </w:p>
    <w:p>
      <w:pPr>
        <w:jc w:val="center"/>
        <w:rPr>
          <w:rFonts w:ascii="黑体" w:hAnsi="黑体" w:eastAsia="黑体" w:cs="黑体"/>
          <w:b/>
          <w:bCs/>
          <w:sz w:val="36"/>
          <w:szCs w:val="36"/>
        </w:rPr>
      </w:pPr>
      <w:r>
        <w:rPr>
          <w:rFonts w:hint="eastAsia" w:ascii="黑体" w:hAnsi="黑体" w:eastAsia="黑体" w:cs="黑体"/>
          <w:b/>
          <w:bCs/>
          <w:sz w:val="36"/>
          <w:szCs w:val="36"/>
        </w:rPr>
        <w:t>2024年12月28日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hint="eastAsia" w:ascii="黑体" w:hAnsi="黑体" w:eastAsia="黑体" w:cs="黑体"/>
          <w:sz w:val="32"/>
        </w:rPr>
        <w:t>环江毛南族自治县</w:t>
      </w: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小学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二、机构设置情况</w:t>
      </w:r>
    </w:p>
    <w:p>
      <w:pPr>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环江毛南族自治县</w:t>
      </w: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小学</w:t>
      </w:r>
      <w:r>
        <w:rPr>
          <w:rFonts w:hint="eastAsia" w:ascii="黑体" w:hAnsi="黑体" w:eastAsia="黑体" w:cs="黑体"/>
          <w:sz w:val="32"/>
          <w:szCs w:val="32"/>
        </w:rPr>
        <w:t>2023年度部门决算报表</w:t>
      </w:r>
    </w:p>
    <w:p>
      <w:pPr>
        <w:jc w:val="left"/>
        <w:rPr>
          <w:rFonts w:ascii="仿宋_GB2312" w:eastAsia="仿宋_GB2312"/>
          <w:sz w:val="32"/>
          <w:szCs w:val="32"/>
        </w:rPr>
      </w:pPr>
      <w:r>
        <w:rPr>
          <w:rFonts w:hint="eastAsia" w:ascii="仿宋_GB2312" w:eastAsia="仿宋_GB2312"/>
          <w:sz w:val="32"/>
          <w:szCs w:val="32"/>
        </w:rPr>
        <w:t>表一：收入支出决算总表</w:t>
      </w:r>
    </w:p>
    <w:p>
      <w:pPr>
        <w:jc w:val="left"/>
        <w:rPr>
          <w:rFonts w:ascii="仿宋_GB2312" w:eastAsia="仿宋_GB2312"/>
          <w:sz w:val="32"/>
          <w:szCs w:val="32"/>
        </w:rPr>
      </w:pPr>
      <w:r>
        <w:rPr>
          <w:rFonts w:hint="eastAsia" w:ascii="仿宋_GB2312" w:eastAsia="仿宋_GB2312"/>
          <w:sz w:val="32"/>
          <w:szCs w:val="32"/>
        </w:rPr>
        <w:t>表二：收入决算表</w:t>
      </w:r>
    </w:p>
    <w:p>
      <w:pPr>
        <w:jc w:val="left"/>
        <w:rPr>
          <w:rFonts w:ascii="仿宋_GB2312" w:eastAsia="仿宋_GB2312"/>
          <w:sz w:val="32"/>
          <w:szCs w:val="32"/>
        </w:rPr>
      </w:pPr>
      <w:r>
        <w:rPr>
          <w:rFonts w:hint="eastAsia" w:ascii="仿宋_GB2312" w:eastAsia="仿宋_GB2312"/>
          <w:sz w:val="32"/>
          <w:szCs w:val="32"/>
        </w:rPr>
        <w:t>表三：支出决算表</w:t>
      </w:r>
    </w:p>
    <w:p>
      <w:pPr>
        <w:jc w:val="left"/>
        <w:rPr>
          <w:rFonts w:ascii="仿宋_GB2312" w:eastAsia="仿宋_GB2312"/>
          <w:sz w:val="32"/>
          <w:szCs w:val="32"/>
        </w:rPr>
      </w:pPr>
      <w:r>
        <w:rPr>
          <w:rFonts w:hint="eastAsia" w:ascii="仿宋_GB2312" w:eastAsia="仿宋_GB2312"/>
          <w:sz w:val="32"/>
          <w:szCs w:val="32"/>
        </w:rPr>
        <w:t>表四：财政拨款收入支出决算总表</w:t>
      </w:r>
    </w:p>
    <w:p>
      <w:pPr>
        <w:jc w:val="left"/>
        <w:rPr>
          <w:rFonts w:ascii="仿宋_GB2312" w:eastAsia="仿宋_GB2312"/>
          <w:sz w:val="32"/>
          <w:szCs w:val="32"/>
        </w:rPr>
      </w:pPr>
      <w:r>
        <w:rPr>
          <w:rFonts w:hint="eastAsia" w:ascii="仿宋_GB2312" w:eastAsia="仿宋_GB2312"/>
          <w:sz w:val="32"/>
          <w:szCs w:val="32"/>
        </w:rPr>
        <w:t>表五：一般公共预算财政拨款支出决算表</w:t>
      </w:r>
    </w:p>
    <w:p>
      <w:pPr>
        <w:jc w:val="left"/>
        <w:rPr>
          <w:rFonts w:ascii="仿宋_GB2312" w:eastAsia="仿宋_GB2312"/>
          <w:sz w:val="32"/>
          <w:szCs w:val="32"/>
        </w:rPr>
      </w:pPr>
      <w:r>
        <w:rPr>
          <w:rFonts w:hint="eastAsia" w:ascii="仿宋_GB2312" w:eastAsia="仿宋_GB2312"/>
          <w:sz w:val="32"/>
          <w:szCs w:val="32"/>
        </w:rPr>
        <w:t>表六：一般公共预算财政拨款基本支出决算明细表</w:t>
      </w:r>
    </w:p>
    <w:p>
      <w:pPr>
        <w:jc w:val="left"/>
        <w:rPr>
          <w:rFonts w:ascii="仿宋_GB2312" w:eastAsia="仿宋_GB2312"/>
          <w:sz w:val="32"/>
          <w:szCs w:val="32"/>
        </w:rPr>
      </w:pPr>
      <w:r>
        <w:rPr>
          <w:rFonts w:hint="eastAsia" w:ascii="仿宋_GB2312" w:eastAsia="仿宋_GB2312"/>
          <w:sz w:val="32"/>
          <w:szCs w:val="32"/>
        </w:rPr>
        <w:t>表七：政府性基金预算财政拨款收入支出决算表</w:t>
      </w:r>
    </w:p>
    <w:p>
      <w:pPr>
        <w:jc w:val="left"/>
        <w:rPr>
          <w:rFonts w:ascii="仿宋_GB2312" w:eastAsia="仿宋_GB2312"/>
          <w:sz w:val="32"/>
          <w:szCs w:val="32"/>
        </w:rPr>
      </w:pPr>
      <w:r>
        <w:rPr>
          <w:rFonts w:hint="eastAsia" w:ascii="仿宋_GB2312" w:eastAsia="仿宋_GB2312"/>
          <w:sz w:val="32"/>
          <w:szCs w:val="32"/>
        </w:rPr>
        <w:t>表八：国有资本经营预算财政拨款支出决算表</w:t>
      </w:r>
    </w:p>
    <w:p>
      <w:pPr>
        <w:jc w:val="left"/>
        <w:rPr>
          <w:rFonts w:ascii="仿宋_GB2312" w:eastAsia="仿宋_GB2312"/>
          <w:sz w:val="32"/>
          <w:szCs w:val="32"/>
        </w:rPr>
      </w:pPr>
      <w:r>
        <w:rPr>
          <w:rFonts w:hint="eastAsia" w:ascii="仿宋_GB2312" w:eastAsia="仿宋_GB2312"/>
          <w:sz w:val="32"/>
          <w:szCs w:val="32"/>
        </w:rPr>
        <w:t>表九：财政拨款安排的“三公”经费支出决算表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w:t>
      </w: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小学</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b/>
          <w:bCs/>
          <w:sz w:val="32"/>
          <w:szCs w:val="32"/>
        </w:rPr>
        <w:t>第一部分：</w:t>
      </w:r>
      <w:r>
        <w:rPr>
          <w:rFonts w:hint="eastAsia" w:ascii="黑体" w:hAnsi="黑体" w:eastAsia="黑体" w:cs="黑体"/>
          <w:b/>
          <w:sz w:val="32"/>
        </w:rPr>
        <w:t>环江毛南族自治县</w:t>
      </w:r>
      <w:r>
        <w:rPr>
          <w:rFonts w:ascii="黑体" w:hAnsi="黑体" w:eastAsia="黑体" w:cs="黑体"/>
          <w:b/>
          <w:sz w:val="32"/>
        </w:rPr>
        <w:t>第</w:t>
      </w:r>
      <w:r>
        <w:rPr>
          <w:rFonts w:hint="eastAsia" w:ascii="黑体" w:hAnsi="黑体" w:eastAsia="黑体" w:cs="黑体"/>
          <w:b/>
          <w:sz w:val="32"/>
        </w:rPr>
        <w:t>一</w:t>
      </w:r>
      <w:r>
        <w:rPr>
          <w:rFonts w:ascii="黑体" w:hAnsi="黑体" w:eastAsia="黑体" w:cs="黑体"/>
          <w:b/>
          <w:sz w:val="32"/>
        </w:rPr>
        <w:t>小学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为全面贯彻党和国家教育方针，全面实施素质教育，全面提高我校教育教学质量、办学水平和管理水平，率先基本实现现代化，根据《中华人民共和国教育法》、《中华人民共和国义务教育法》、《中华人民共和国残疾人教育条例》和《特殊教育学校暂行规程》等相关法律法规，制定本章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贯彻实施国家教育工作方针、政策和法律法规。制订学校教育改革与发展战略和教育事业发展规划及年度计划；贯彻执行上级教育体制改革的政策，拟定学校教育发展的重点、结构、速度和步骤，并负责进行实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2．实施小学义务教育，促进基础教育发展</w:t>
      </w:r>
      <w:r>
        <w:rPr>
          <w:rFonts w:hint="eastAsia" w:ascii="仿宋" w:hAnsi="仿宋" w:eastAsia="仿宋" w:cs="仿宋"/>
          <w:sz w:val="32"/>
          <w:szCs w:val="32"/>
          <w:lang w:eastAsia="zh-CN"/>
        </w:rPr>
        <w:t>，</w:t>
      </w:r>
      <w:r>
        <w:rPr>
          <w:rFonts w:hint="eastAsia" w:ascii="仿宋" w:hAnsi="仿宋" w:eastAsia="仿宋" w:cs="仿宋"/>
          <w:sz w:val="32"/>
          <w:szCs w:val="32"/>
        </w:rPr>
        <w:t>小学学历教育。</w:t>
      </w:r>
    </w:p>
    <w:p>
      <w:pPr>
        <w:jc w:val="left"/>
        <w:rPr>
          <w:rFonts w:ascii="黑体" w:hAnsi="黑体" w:eastAsia="黑体" w:cs="黑体"/>
          <w:sz w:val="32"/>
          <w:szCs w:val="32"/>
        </w:rPr>
      </w:pPr>
      <w:r>
        <w:rPr>
          <w:rFonts w:hint="eastAsia" w:ascii="黑体" w:hAnsi="黑体" w:eastAsia="黑体" w:cs="黑体"/>
          <w:sz w:val="32"/>
          <w:szCs w:val="32"/>
        </w:rPr>
        <w:t>二、机构设置情况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环江县环江毛南族自治县第一小学是一所义务教育学校，2023年部门决算单位1个，是县直属全额拨款事业单位。</w:t>
      </w:r>
    </w:p>
    <w:p>
      <w:pPr>
        <w:ind w:firstLine="640" w:firstLineChars="200"/>
        <w:jc w:val="left"/>
        <w:rPr>
          <w:rFonts w:ascii="黑体" w:hAnsi="黑体" w:eastAsia="黑体" w:cs="黑体"/>
          <w:sz w:val="32"/>
          <w:szCs w:val="32"/>
        </w:rPr>
        <w:sectPr>
          <w:pgSz w:w="11906" w:h="16838"/>
          <w:pgMar w:top="1440" w:right="1418" w:bottom="1440" w:left="1701" w:header="851" w:footer="992" w:gutter="0"/>
          <w:cols w:space="425" w:num="1"/>
          <w:docGrid w:type="lines" w:linePitch="312" w:charSpace="0"/>
        </w:sectPr>
      </w:pPr>
      <w:r>
        <w:rPr>
          <w:rFonts w:hint="eastAsia" w:ascii="仿宋" w:hAnsi="仿宋" w:eastAsia="仿宋" w:cs="仿宋"/>
          <w:sz w:val="32"/>
          <w:szCs w:val="32"/>
        </w:rPr>
        <w:t>环江县环江毛南族自治县第一小学内设机构:校长室，副校长室，政教处，教导处，总务处，工会党建办，财务室等7个职能室。2023年年初在职在编107人，3月份调入5人，调出3人，年内退休4人，2023年年底在职在编105人。</w:t>
      </w: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环江毛南族自治县</w:t>
      </w: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小学</w:t>
      </w:r>
      <w:r>
        <w:rPr>
          <w:rFonts w:hint="eastAsia" w:ascii="黑体" w:hAnsi="黑体" w:eastAsia="黑体" w:cs="黑体"/>
          <w:sz w:val="32"/>
          <w:szCs w:val="32"/>
        </w:rPr>
        <w:t xml:space="preserve"> 2023年度部门决算报表</w:t>
      </w:r>
    </w:p>
    <w:tbl>
      <w:tblPr>
        <w:tblStyle w:val="6"/>
        <w:tblW w:w="13940" w:type="dxa"/>
        <w:tblInd w:w="96" w:type="dxa"/>
        <w:tblLayout w:type="fixed"/>
        <w:tblCellMar>
          <w:top w:w="0" w:type="dxa"/>
          <w:left w:w="108" w:type="dxa"/>
          <w:bottom w:w="0" w:type="dxa"/>
          <w:right w:w="108" w:type="dxa"/>
        </w:tblCellMar>
      </w:tblPr>
      <w:tblGrid>
        <w:gridCol w:w="3616"/>
        <w:gridCol w:w="825"/>
        <w:gridCol w:w="1446"/>
        <w:gridCol w:w="3408"/>
        <w:gridCol w:w="2743"/>
        <w:gridCol w:w="1902"/>
      </w:tblGrid>
      <w:tr>
        <w:tblPrEx>
          <w:tblCellMar>
            <w:top w:w="0" w:type="dxa"/>
            <w:left w:w="108" w:type="dxa"/>
            <w:bottom w:w="0" w:type="dxa"/>
            <w:right w:w="108" w:type="dxa"/>
          </w:tblCellMar>
        </w:tblPrEx>
        <w:trPr>
          <w:trHeight w:val="1030"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widowControl/>
              <w:ind w:firstLine="5760" w:firstLineChars="1800"/>
              <w:textAlignment w:val="bottom"/>
              <w:rPr>
                <w:rFonts w:ascii="宋体" w:hAnsi="宋体" w:eastAsia="宋体" w:cs="宋体"/>
                <w:sz w:val="30"/>
                <w:szCs w:val="30"/>
              </w:rPr>
            </w:pPr>
            <w:r>
              <w:rPr>
                <w:rFonts w:hint="eastAsia" w:ascii="宋体" w:hAnsi="宋体" w:eastAsia="宋体" w:cs="宋体"/>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3616" w:type="dxa"/>
            <w:tcBorders>
              <w:top w:val="nil"/>
              <w:left w:val="nil"/>
              <w:bottom w:val="nil"/>
              <w:right w:val="nil"/>
            </w:tcBorders>
            <w:shd w:val="clear" w:color="auto" w:fill="auto"/>
            <w:noWrap/>
            <w:vAlign w:val="bottom"/>
          </w:tcPr>
          <w:p>
            <w:pPr>
              <w:rPr>
                <w:rFonts w:ascii="Arial" w:hAnsi="Arial" w:cs="Arial"/>
                <w:sz w:val="20"/>
                <w:szCs w:val="20"/>
              </w:rPr>
            </w:pPr>
          </w:p>
        </w:tc>
        <w:tc>
          <w:tcPr>
            <w:tcW w:w="825" w:type="dxa"/>
            <w:tcBorders>
              <w:top w:val="nil"/>
              <w:left w:val="nil"/>
              <w:bottom w:val="nil"/>
              <w:right w:val="nil"/>
            </w:tcBorders>
            <w:shd w:val="clear" w:color="auto" w:fill="auto"/>
            <w:noWrap/>
            <w:vAlign w:val="bottom"/>
          </w:tcPr>
          <w:p>
            <w:pPr>
              <w:rPr>
                <w:rFonts w:ascii="Arial" w:hAnsi="Arial" w:cs="Arial"/>
                <w:sz w:val="20"/>
                <w:szCs w:val="20"/>
              </w:rPr>
            </w:pPr>
          </w:p>
        </w:tc>
        <w:tc>
          <w:tcPr>
            <w:tcW w:w="1446" w:type="dxa"/>
            <w:tcBorders>
              <w:top w:val="nil"/>
              <w:left w:val="nil"/>
              <w:bottom w:val="nil"/>
              <w:right w:val="nil"/>
            </w:tcBorders>
            <w:shd w:val="clear" w:color="auto" w:fill="auto"/>
            <w:noWrap/>
            <w:vAlign w:val="bottom"/>
          </w:tcPr>
          <w:p>
            <w:pPr>
              <w:rPr>
                <w:rFonts w:ascii="Arial" w:hAnsi="Arial" w:cs="Arial"/>
                <w:sz w:val="20"/>
                <w:szCs w:val="20"/>
              </w:rPr>
            </w:pPr>
          </w:p>
        </w:tc>
        <w:tc>
          <w:tcPr>
            <w:tcW w:w="3408" w:type="dxa"/>
            <w:tcBorders>
              <w:top w:val="nil"/>
              <w:left w:val="nil"/>
              <w:bottom w:val="nil"/>
              <w:right w:val="nil"/>
            </w:tcBorders>
            <w:shd w:val="clear" w:color="auto" w:fill="auto"/>
            <w:noWrap/>
            <w:vAlign w:val="bottom"/>
          </w:tcPr>
          <w:p>
            <w:pPr>
              <w:rPr>
                <w:rFonts w:ascii="Arial" w:hAnsi="Arial" w:cs="Arial"/>
                <w:sz w:val="20"/>
                <w:szCs w:val="20"/>
              </w:rPr>
            </w:pPr>
          </w:p>
        </w:tc>
        <w:tc>
          <w:tcPr>
            <w:tcW w:w="2743" w:type="dxa"/>
            <w:tcBorders>
              <w:top w:val="nil"/>
              <w:left w:val="nil"/>
              <w:bottom w:val="nil"/>
              <w:right w:val="nil"/>
            </w:tcBorders>
            <w:shd w:val="clear" w:color="auto" w:fill="auto"/>
            <w:noWrap/>
            <w:vAlign w:val="bottom"/>
          </w:tcPr>
          <w:p>
            <w:pPr>
              <w:rPr>
                <w:rFonts w:ascii="Arial" w:hAnsi="Arial" w:cs="Arial"/>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公开01表</w:t>
            </w:r>
          </w:p>
        </w:tc>
      </w:tr>
      <w:tr>
        <w:tblPrEx>
          <w:tblCellMar>
            <w:top w:w="0" w:type="dxa"/>
            <w:left w:w="108" w:type="dxa"/>
            <w:bottom w:w="0" w:type="dxa"/>
            <w:right w:w="108" w:type="dxa"/>
          </w:tblCellMar>
        </w:tblPrEx>
        <w:trPr>
          <w:trHeight w:val="301" w:hRule="atLeast"/>
        </w:trPr>
        <w:tc>
          <w:tcPr>
            <w:tcW w:w="5887" w:type="dxa"/>
            <w:gridSpan w:val="3"/>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3408"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74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58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收入</w:t>
            </w:r>
          </w:p>
        </w:tc>
        <w:tc>
          <w:tcPr>
            <w:tcW w:w="8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支出</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行次</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金额</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金额</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栏次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栏次</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1926.70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一、一般公共服务支出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15.40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二、外交支出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三、国防支出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4</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四、公共安全支出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5</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五、教育支出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1491.92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6</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六、科学技术支出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7</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七、文化旅游体育与传媒支出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八、社会保障和就业支出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167.30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9</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九、卫生健康支出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十、节能环保支出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十一、城乡社区支出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十二、农林水支出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十三、交通运输支出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14</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十四、资源勘探工业信息等支出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15</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十五、商业服务业等支出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16</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十六、金融支出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17</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十七、援助其他地区支出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十八、自然资源海洋气象等支出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19</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十九、住房保障支出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125.47</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二十、粮油物资储备支出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二十一、国有资本经营预算支出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二十二、灾害防治及应急管理支出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二十三、其他支出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126.60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24</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二十四、债务还本支出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25</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二十五、债务付息支出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26</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二十六、抗疫特别国债安排的支出</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27</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color w:val="0000FF"/>
                <w:kern w:val="0"/>
                <w:sz w:val="22"/>
                <w:szCs w:val="22"/>
                <w:lang w:bidi="ar"/>
              </w:rPr>
              <w:t>1926.69</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本年支出合计</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1926.69</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结余分配</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29</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年末结转和结余</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30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ascii="宋体" w:hAnsi="宋体" w:eastAsia="宋体" w:cs="宋体"/>
                <w:kern w:val="0"/>
                <w:sz w:val="22"/>
                <w:szCs w:val="22"/>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31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color w:val="0000FF"/>
                <w:kern w:val="0"/>
                <w:sz w:val="22"/>
                <w:szCs w:val="22"/>
                <w:lang w:bidi="ar"/>
              </w:rPr>
              <w:t>1926.69</w:t>
            </w:r>
          </w:p>
        </w:tc>
        <w:tc>
          <w:tcPr>
            <w:tcW w:w="34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总计</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lang w:bidi="ar"/>
              </w:rPr>
            </w:pPr>
            <w:r>
              <w:rPr>
                <w:rFonts w:ascii="宋体" w:hAnsi="宋体" w:eastAsia="宋体" w:cs="宋体"/>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1926.69</w:t>
            </w:r>
          </w:p>
        </w:tc>
      </w:tr>
    </w:tbl>
    <w:p>
      <w:pPr>
        <w:rPr>
          <w:rFonts w:ascii="宋体" w:hAnsi="宋体" w:eastAsia="宋体" w:cs="宋体"/>
          <w:kern w:val="0"/>
          <w:sz w:val="30"/>
          <w:szCs w:val="30"/>
          <w:lang w:bidi="ar"/>
        </w:rPr>
      </w:pPr>
      <w:r>
        <w:rPr>
          <w:rFonts w:hint="eastAsia" w:ascii="宋体" w:hAnsi="宋体" w:eastAsia="宋体" w:cs="宋体"/>
          <w:color w:val="000000"/>
          <w:kern w:val="0"/>
          <w:sz w:val="24"/>
          <w:lang w:bidi="ar"/>
        </w:rPr>
        <w:t>注：本表反映部门本年度收入支出决算收入情况。</w:t>
      </w:r>
      <w:r>
        <w:rPr>
          <w:rFonts w:hint="eastAsia" w:ascii="宋体" w:hAnsi="宋体" w:eastAsia="宋体" w:cs="宋体"/>
          <w:kern w:val="0"/>
          <w:sz w:val="30"/>
          <w:szCs w:val="30"/>
          <w:lang w:bidi="ar"/>
        </w:rPr>
        <w:br w:type="page"/>
      </w:r>
    </w:p>
    <w:tbl>
      <w:tblPr>
        <w:tblStyle w:val="6"/>
        <w:tblW w:w="13900" w:type="dxa"/>
        <w:tblInd w:w="96" w:type="dxa"/>
        <w:tblLayout w:type="fixed"/>
        <w:tblCellMar>
          <w:top w:w="0" w:type="dxa"/>
          <w:left w:w="108" w:type="dxa"/>
          <w:bottom w:w="0" w:type="dxa"/>
          <w:right w:w="108" w:type="dxa"/>
        </w:tblCellMar>
      </w:tblPr>
      <w:tblGrid>
        <w:gridCol w:w="2930"/>
        <w:gridCol w:w="257"/>
        <w:gridCol w:w="257"/>
        <w:gridCol w:w="1082"/>
        <w:gridCol w:w="1498"/>
        <w:gridCol w:w="1325"/>
        <w:gridCol w:w="1313"/>
        <w:gridCol w:w="1102"/>
        <w:gridCol w:w="1102"/>
        <w:gridCol w:w="3034"/>
      </w:tblGrid>
      <w:tr>
        <w:tblPrEx>
          <w:tblCellMar>
            <w:top w:w="0" w:type="dxa"/>
            <w:left w:w="108" w:type="dxa"/>
            <w:bottom w:w="0" w:type="dxa"/>
            <w:right w:w="108" w:type="dxa"/>
          </w:tblCellMar>
        </w:tblPrEx>
        <w:trPr>
          <w:trHeight w:val="1071" w:hRule="atLeast"/>
        </w:trPr>
        <w:tc>
          <w:tcPr>
            <w:tcW w:w="13900" w:type="dxa"/>
            <w:gridSpan w:val="10"/>
            <w:tcBorders>
              <w:top w:val="nil"/>
              <w:left w:val="nil"/>
              <w:bottom w:val="nil"/>
              <w:right w:val="nil"/>
            </w:tcBorders>
            <w:shd w:val="clear" w:color="auto" w:fill="auto"/>
            <w:noWrap/>
            <w:vAlign w:val="bottom"/>
          </w:tcPr>
          <w:p>
            <w:pPr>
              <w:jc w:val="left"/>
              <w:rPr>
                <w:rFonts w:ascii="仿宋" w:hAnsi="仿宋" w:eastAsia="仿宋" w:cs="仿宋"/>
                <w:sz w:val="22"/>
                <w:szCs w:val="22"/>
              </w:rPr>
            </w:pPr>
            <w:r>
              <w:rPr>
                <w:rFonts w:hint="eastAsia" w:ascii="仿宋" w:hAnsi="仿宋" w:eastAsia="仿宋" w:cs="仿宋"/>
                <w:sz w:val="22"/>
                <w:szCs w:val="22"/>
              </w:rPr>
              <w:t>表二：收入决算表</w:t>
            </w:r>
          </w:p>
          <w:p>
            <w:pPr>
              <w:widowControl/>
              <w:jc w:val="center"/>
              <w:textAlignment w:val="bottom"/>
              <w:rPr>
                <w:rFonts w:ascii="宋体" w:hAnsi="宋体" w:eastAsia="宋体" w:cs="宋体"/>
                <w:sz w:val="28"/>
                <w:szCs w:val="28"/>
              </w:rPr>
            </w:pPr>
            <w:r>
              <w:rPr>
                <w:rFonts w:hint="eastAsia" w:ascii="宋体" w:hAnsi="宋体" w:eastAsia="宋体" w:cs="宋体"/>
                <w:kern w:val="0"/>
                <w:sz w:val="36"/>
                <w:szCs w:val="36"/>
                <w:lang w:bidi="ar"/>
              </w:rPr>
              <w:t>收入决算表</w:t>
            </w:r>
          </w:p>
        </w:tc>
      </w:tr>
      <w:tr>
        <w:tblPrEx>
          <w:tblCellMar>
            <w:top w:w="0" w:type="dxa"/>
            <w:left w:w="108" w:type="dxa"/>
            <w:bottom w:w="0" w:type="dxa"/>
            <w:right w:w="108" w:type="dxa"/>
          </w:tblCellMar>
        </w:tblPrEx>
        <w:trPr>
          <w:trHeight w:val="500" w:hRule="atLeast"/>
        </w:trPr>
        <w:tc>
          <w:tcPr>
            <w:tcW w:w="2930" w:type="dxa"/>
            <w:tcBorders>
              <w:top w:val="nil"/>
              <w:left w:val="nil"/>
              <w:bottom w:val="nil"/>
              <w:right w:val="nil"/>
            </w:tcBorders>
            <w:shd w:val="clear" w:color="auto" w:fill="auto"/>
            <w:noWrap/>
            <w:vAlign w:val="bottom"/>
          </w:tcPr>
          <w:p>
            <w:pPr>
              <w:rPr>
                <w:rFonts w:ascii="Arial" w:hAnsi="Arial" w:cs="Arial"/>
                <w:sz w:val="18"/>
                <w:szCs w:val="18"/>
              </w:rPr>
            </w:pPr>
          </w:p>
        </w:tc>
        <w:tc>
          <w:tcPr>
            <w:tcW w:w="257" w:type="dxa"/>
            <w:tcBorders>
              <w:top w:val="nil"/>
              <w:left w:val="nil"/>
              <w:bottom w:val="nil"/>
              <w:right w:val="nil"/>
            </w:tcBorders>
            <w:shd w:val="clear" w:color="auto" w:fill="auto"/>
            <w:noWrap/>
            <w:vAlign w:val="bottom"/>
          </w:tcPr>
          <w:p>
            <w:pPr>
              <w:rPr>
                <w:rFonts w:ascii="Arial" w:hAnsi="Arial" w:cs="Arial"/>
                <w:sz w:val="18"/>
                <w:szCs w:val="18"/>
              </w:rPr>
            </w:pPr>
          </w:p>
        </w:tc>
        <w:tc>
          <w:tcPr>
            <w:tcW w:w="257" w:type="dxa"/>
            <w:tcBorders>
              <w:top w:val="nil"/>
              <w:left w:val="nil"/>
              <w:bottom w:val="nil"/>
              <w:right w:val="nil"/>
            </w:tcBorders>
            <w:shd w:val="clear" w:color="auto" w:fill="auto"/>
            <w:noWrap/>
            <w:vAlign w:val="bottom"/>
          </w:tcPr>
          <w:p>
            <w:pPr>
              <w:rPr>
                <w:rFonts w:ascii="Arial" w:hAnsi="Arial" w:cs="Arial"/>
                <w:sz w:val="18"/>
                <w:szCs w:val="18"/>
              </w:rPr>
            </w:pPr>
          </w:p>
        </w:tc>
        <w:tc>
          <w:tcPr>
            <w:tcW w:w="1082" w:type="dxa"/>
            <w:tcBorders>
              <w:top w:val="nil"/>
              <w:left w:val="nil"/>
              <w:bottom w:val="nil"/>
              <w:right w:val="nil"/>
            </w:tcBorders>
            <w:shd w:val="clear" w:color="auto" w:fill="auto"/>
            <w:noWrap/>
            <w:vAlign w:val="bottom"/>
          </w:tcPr>
          <w:p>
            <w:pPr>
              <w:rPr>
                <w:rFonts w:ascii="Arial" w:hAnsi="Arial" w:cs="Arial"/>
                <w:sz w:val="18"/>
                <w:szCs w:val="18"/>
              </w:rPr>
            </w:pPr>
          </w:p>
        </w:tc>
        <w:tc>
          <w:tcPr>
            <w:tcW w:w="1498" w:type="dxa"/>
            <w:tcBorders>
              <w:top w:val="nil"/>
              <w:left w:val="nil"/>
              <w:bottom w:val="nil"/>
              <w:right w:val="nil"/>
            </w:tcBorders>
            <w:shd w:val="clear" w:color="auto" w:fill="auto"/>
            <w:noWrap/>
            <w:vAlign w:val="bottom"/>
          </w:tcPr>
          <w:p>
            <w:pPr>
              <w:rPr>
                <w:rFonts w:ascii="Arial" w:hAnsi="Arial" w:cs="Arial"/>
                <w:sz w:val="18"/>
                <w:szCs w:val="18"/>
              </w:rPr>
            </w:pPr>
          </w:p>
        </w:tc>
        <w:tc>
          <w:tcPr>
            <w:tcW w:w="1325" w:type="dxa"/>
            <w:tcBorders>
              <w:top w:val="nil"/>
              <w:left w:val="nil"/>
              <w:bottom w:val="nil"/>
              <w:right w:val="nil"/>
            </w:tcBorders>
            <w:shd w:val="clear" w:color="auto" w:fill="auto"/>
            <w:noWrap/>
            <w:vAlign w:val="bottom"/>
          </w:tcPr>
          <w:p>
            <w:pPr>
              <w:rPr>
                <w:rFonts w:ascii="Arial" w:hAnsi="Arial" w:cs="Arial"/>
                <w:sz w:val="18"/>
                <w:szCs w:val="18"/>
              </w:rPr>
            </w:pPr>
          </w:p>
        </w:tc>
        <w:tc>
          <w:tcPr>
            <w:tcW w:w="1313" w:type="dxa"/>
            <w:tcBorders>
              <w:top w:val="nil"/>
              <w:left w:val="nil"/>
              <w:bottom w:val="nil"/>
              <w:right w:val="nil"/>
            </w:tcBorders>
            <w:shd w:val="clear" w:color="auto" w:fill="auto"/>
            <w:noWrap/>
            <w:vAlign w:val="bottom"/>
          </w:tcPr>
          <w:p>
            <w:pPr>
              <w:rPr>
                <w:rFonts w:ascii="Arial" w:hAnsi="Arial" w:cs="Arial"/>
                <w:sz w:val="18"/>
                <w:szCs w:val="18"/>
              </w:rPr>
            </w:pPr>
          </w:p>
        </w:tc>
        <w:tc>
          <w:tcPr>
            <w:tcW w:w="1102" w:type="dxa"/>
            <w:tcBorders>
              <w:top w:val="nil"/>
              <w:left w:val="nil"/>
              <w:bottom w:val="nil"/>
              <w:right w:val="nil"/>
            </w:tcBorders>
            <w:shd w:val="clear" w:color="auto" w:fill="auto"/>
            <w:noWrap/>
            <w:vAlign w:val="bottom"/>
          </w:tcPr>
          <w:p>
            <w:pPr>
              <w:rPr>
                <w:rFonts w:ascii="Arial" w:hAnsi="Arial" w:cs="Arial"/>
                <w:sz w:val="18"/>
                <w:szCs w:val="18"/>
              </w:rPr>
            </w:pPr>
          </w:p>
        </w:tc>
        <w:tc>
          <w:tcPr>
            <w:tcW w:w="1102" w:type="dxa"/>
            <w:tcBorders>
              <w:top w:val="nil"/>
              <w:left w:val="nil"/>
              <w:bottom w:val="nil"/>
              <w:right w:val="nil"/>
            </w:tcBorders>
            <w:shd w:val="clear" w:color="auto" w:fill="auto"/>
            <w:noWrap/>
            <w:vAlign w:val="bottom"/>
          </w:tcPr>
          <w:p>
            <w:pPr>
              <w:rPr>
                <w:rFonts w:ascii="Arial" w:hAnsi="Arial" w:cs="Arial"/>
                <w:sz w:val="18"/>
                <w:szCs w:val="18"/>
              </w:rPr>
            </w:pPr>
          </w:p>
        </w:tc>
        <w:tc>
          <w:tcPr>
            <w:tcW w:w="3034"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18"/>
                <w:szCs w:val="18"/>
              </w:rPr>
            </w:pPr>
            <w:r>
              <w:rPr>
                <w:rFonts w:hint="eastAsia" w:ascii="宋体" w:hAnsi="宋体" w:eastAsia="宋体" w:cs="宋体"/>
                <w:kern w:val="0"/>
                <w:sz w:val="18"/>
                <w:szCs w:val="18"/>
                <w:lang w:bidi="ar"/>
              </w:rPr>
              <w:t>公开02表</w:t>
            </w:r>
          </w:p>
        </w:tc>
      </w:tr>
      <w:tr>
        <w:tblPrEx>
          <w:tblCellMar>
            <w:top w:w="0" w:type="dxa"/>
            <w:left w:w="108" w:type="dxa"/>
            <w:bottom w:w="0" w:type="dxa"/>
            <w:right w:w="108" w:type="dxa"/>
          </w:tblCellMar>
        </w:tblPrEx>
        <w:trPr>
          <w:trHeight w:val="500" w:hRule="atLeast"/>
        </w:trPr>
        <w:tc>
          <w:tcPr>
            <w:tcW w:w="7349" w:type="dxa"/>
            <w:gridSpan w:val="6"/>
            <w:tcBorders>
              <w:top w:val="nil"/>
              <w:left w:val="nil"/>
              <w:bottom w:val="single" w:color="auto" w:sz="4" w:space="0"/>
              <w:right w:val="nil"/>
            </w:tcBorders>
            <w:shd w:val="clear" w:color="auto" w:fill="auto"/>
            <w:noWrap/>
            <w:vAlign w:val="bottom"/>
          </w:tcPr>
          <w:p>
            <w:pPr>
              <w:rPr>
                <w:rFonts w:ascii="Arial" w:hAnsi="Arial" w:cs="Arial"/>
                <w:sz w:val="18"/>
                <w:szCs w:val="18"/>
              </w:rPr>
            </w:pPr>
            <w:r>
              <w:rPr>
                <w:rFonts w:hint="eastAsia" w:ascii="宋体" w:hAnsi="宋体" w:eastAsia="宋体" w:cs="宋体"/>
                <w:kern w:val="0"/>
                <w:sz w:val="18"/>
                <w:szCs w:val="18"/>
                <w:lang w:bidi="ar"/>
              </w:rPr>
              <w:t>部门：</w:t>
            </w:r>
            <w:r>
              <w:rPr>
                <w:rFonts w:hint="eastAsia" w:ascii="宋体" w:hAnsi="宋体" w:eastAsia="宋体" w:cs="宋体"/>
                <w:sz w:val="18"/>
                <w:szCs w:val="22"/>
              </w:rPr>
              <w:t>环江毛南族自治县</w:t>
            </w:r>
            <w:r>
              <w:rPr>
                <w:rFonts w:ascii="宋体" w:hAnsi="宋体" w:eastAsia="宋体" w:cs="宋体"/>
                <w:sz w:val="18"/>
                <w:szCs w:val="22"/>
              </w:rPr>
              <w:t>第</w:t>
            </w:r>
            <w:r>
              <w:rPr>
                <w:rFonts w:hint="eastAsia" w:ascii="宋体" w:hAnsi="宋体" w:eastAsia="宋体" w:cs="宋体"/>
                <w:sz w:val="18"/>
                <w:szCs w:val="22"/>
              </w:rPr>
              <w:t>一</w:t>
            </w:r>
            <w:r>
              <w:rPr>
                <w:rFonts w:ascii="宋体" w:hAnsi="宋体" w:eastAsia="宋体" w:cs="宋体"/>
                <w:sz w:val="18"/>
                <w:szCs w:val="22"/>
              </w:rPr>
              <w:t>小学</w:t>
            </w:r>
          </w:p>
        </w:tc>
        <w:tc>
          <w:tcPr>
            <w:tcW w:w="1313" w:type="dxa"/>
            <w:tcBorders>
              <w:top w:val="nil"/>
              <w:left w:val="nil"/>
              <w:bottom w:val="single" w:color="auto" w:sz="4" w:space="0"/>
              <w:right w:val="nil"/>
            </w:tcBorders>
            <w:shd w:val="clear" w:color="auto" w:fill="auto"/>
            <w:noWrap/>
            <w:vAlign w:val="bottom"/>
          </w:tcPr>
          <w:p>
            <w:pPr>
              <w:rPr>
                <w:rFonts w:ascii="Arial" w:hAnsi="Arial" w:cs="Arial"/>
                <w:sz w:val="18"/>
                <w:szCs w:val="18"/>
              </w:rPr>
            </w:pPr>
          </w:p>
        </w:tc>
        <w:tc>
          <w:tcPr>
            <w:tcW w:w="1102" w:type="dxa"/>
            <w:tcBorders>
              <w:top w:val="nil"/>
              <w:left w:val="nil"/>
              <w:bottom w:val="single" w:color="auto" w:sz="4" w:space="0"/>
              <w:right w:val="nil"/>
            </w:tcBorders>
            <w:shd w:val="clear" w:color="auto" w:fill="auto"/>
            <w:noWrap/>
            <w:vAlign w:val="bottom"/>
          </w:tcPr>
          <w:p>
            <w:pPr>
              <w:rPr>
                <w:rFonts w:ascii="Arial" w:hAnsi="Arial" w:cs="Arial"/>
                <w:sz w:val="18"/>
                <w:szCs w:val="18"/>
              </w:rPr>
            </w:pPr>
          </w:p>
        </w:tc>
        <w:tc>
          <w:tcPr>
            <w:tcW w:w="1102" w:type="dxa"/>
            <w:tcBorders>
              <w:top w:val="nil"/>
              <w:left w:val="nil"/>
              <w:bottom w:val="single" w:color="auto" w:sz="4" w:space="0"/>
              <w:right w:val="nil"/>
            </w:tcBorders>
            <w:shd w:val="clear" w:color="auto" w:fill="auto"/>
            <w:noWrap/>
            <w:vAlign w:val="bottom"/>
          </w:tcPr>
          <w:p>
            <w:pPr>
              <w:rPr>
                <w:rFonts w:ascii="Arial" w:hAnsi="Arial" w:cs="Arial"/>
                <w:sz w:val="18"/>
                <w:szCs w:val="18"/>
              </w:rPr>
            </w:pPr>
          </w:p>
        </w:tc>
        <w:tc>
          <w:tcPr>
            <w:tcW w:w="3034" w:type="dxa"/>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18"/>
                <w:szCs w:val="18"/>
              </w:rPr>
            </w:pPr>
            <w:r>
              <w:rPr>
                <w:rFonts w:hint="eastAsia" w:ascii="宋体" w:hAnsi="宋体" w:eastAsia="宋体" w:cs="宋体"/>
                <w:kern w:val="0"/>
                <w:sz w:val="18"/>
                <w:szCs w:val="18"/>
                <w:lang w:bidi="ar"/>
              </w:rPr>
              <w:t>金额单位：万元</w:t>
            </w:r>
          </w:p>
        </w:tc>
      </w:tr>
      <w:tr>
        <w:tblPrEx>
          <w:tblCellMar>
            <w:top w:w="0" w:type="dxa"/>
            <w:left w:w="108" w:type="dxa"/>
            <w:bottom w:w="0" w:type="dxa"/>
            <w:right w:w="108" w:type="dxa"/>
          </w:tblCellMar>
        </w:tblPrEx>
        <w:trPr>
          <w:trHeight w:val="527" w:hRule="atLeast"/>
        </w:trPr>
        <w:tc>
          <w:tcPr>
            <w:tcW w:w="13900" w:type="dxa"/>
            <w:gridSpan w:val="10"/>
            <w:tcBorders>
              <w:top w:val="single" w:color="auto" w:sz="4" w:space="0"/>
              <w:left w:val="nil"/>
              <w:bottom w:val="nil"/>
              <w:right w:val="nil"/>
            </w:tcBorders>
            <w:shd w:val="clear" w:color="auto" w:fill="auto"/>
            <w:noWrap/>
            <w:vAlign w:val="center"/>
          </w:tcPr>
          <w:tbl>
            <w:tblPr>
              <w:tblStyle w:val="6"/>
              <w:tblW w:w="13591" w:type="dxa"/>
              <w:tblInd w:w="0" w:type="dxa"/>
              <w:tblLayout w:type="fixed"/>
              <w:tblCellMar>
                <w:top w:w="0" w:type="dxa"/>
                <w:left w:w="108" w:type="dxa"/>
                <w:bottom w:w="0" w:type="dxa"/>
                <w:right w:w="108" w:type="dxa"/>
              </w:tblCellMar>
            </w:tblPr>
            <w:tblGrid>
              <w:gridCol w:w="237"/>
              <w:gridCol w:w="236"/>
              <w:gridCol w:w="846"/>
              <w:gridCol w:w="3997"/>
              <w:gridCol w:w="1550"/>
              <w:gridCol w:w="1537"/>
              <w:gridCol w:w="1075"/>
              <w:gridCol w:w="1089"/>
              <w:gridCol w:w="814"/>
              <w:gridCol w:w="1236"/>
              <w:gridCol w:w="974"/>
            </w:tblGrid>
            <w:tr>
              <w:tblPrEx>
                <w:tblCellMar>
                  <w:top w:w="0" w:type="dxa"/>
                  <w:left w:w="108" w:type="dxa"/>
                  <w:bottom w:w="0" w:type="dxa"/>
                  <w:right w:w="108" w:type="dxa"/>
                </w:tblCellMar>
              </w:tblPrEx>
              <w:trPr>
                <w:trHeight w:val="312" w:hRule="atLeast"/>
              </w:trPr>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科目代码</w:t>
                  </w:r>
                </w:p>
              </w:tc>
              <w:tc>
                <w:tcPr>
                  <w:tcW w:w="4007"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科目名称</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本年收入合计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财政拨款收入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上级补助收入</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事业收入</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经营收入</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附属单位</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上缴收入</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其他收入</w:t>
                  </w:r>
                </w:p>
              </w:tc>
            </w:tr>
            <w:tr>
              <w:tblPrEx>
                <w:tblCellMar>
                  <w:top w:w="0" w:type="dxa"/>
                  <w:left w:w="108" w:type="dxa"/>
                  <w:bottom w:w="0" w:type="dxa"/>
                  <w:right w:w="108" w:type="dxa"/>
                </w:tblCellMar>
              </w:tblPrEx>
              <w:trPr>
                <w:trHeight w:val="312"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类</w:t>
                  </w:r>
                </w:p>
              </w:tc>
              <w:tc>
                <w:tcPr>
                  <w:tcW w:w="22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款</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w:t>
                  </w: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栏次</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7</w:t>
                  </w:r>
                </w:p>
              </w:tc>
            </w:tr>
            <w:tr>
              <w:tblPrEx>
                <w:tblCellMar>
                  <w:top w:w="0" w:type="dxa"/>
                  <w:left w:w="108" w:type="dxa"/>
                  <w:bottom w:w="0" w:type="dxa"/>
                  <w:right w:w="108" w:type="dxa"/>
                </w:tblCellMar>
              </w:tblPrEx>
              <w:trPr>
                <w:trHeight w:val="300" w:hRule="atLeast"/>
              </w:trPr>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22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sz w:val="22"/>
                      <w:szCs w:val="22"/>
                    </w:rPr>
                  </w:pPr>
                </w:p>
              </w:tc>
              <w:tc>
                <w:tcPr>
                  <w:tcW w:w="400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color w:val="0000FF"/>
                      <w:kern w:val="0"/>
                      <w:sz w:val="22"/>
                      <w:szCs w:val="22"/>
                      <w:lang w:bidi="ar"/>
                    </w:rPr>
                    <w:t>1926.69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color w:val="0000FF"/>
                      <w:kern w:val="0"/>
                      <w:sz w:val="22"/>
                      <w:szCs w:val="22"/>
                      <w:lang w:bidi="ar"/>
                    </w:rPr>
                    <w:t>1926.69</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2012999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其他群众团体事务支出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15.40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15.40</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2050201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学前教育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2.53</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2.53</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2050202</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小学教育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1463.79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1463.79</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2050299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其他普通教育支出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24.74</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24.74</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2050701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特殊学校教育</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0.860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0.860</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2080505</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机关事业单位基本养老保险缴费支出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167.30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167.30</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2210201</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住房公积金</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125.47</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125.47</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2299999</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其他支出</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126.60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sz w:val="22"/>
                      <w:szCs w:val="22"/>
                    </w:rPr>
                  </w:pPr>
                  <w:r>
                    <w:rPr>
                      <w:rFonts w:hint="eastAsia" w:ascii="宋体" w:hAnsi="宋体" w:eastAsia="宋体" w:cs="宋体"/>
                      <w:kern w:val="0"/>
                      <w:sz w:val="22"/>
                      <w:szCs w:val="22"/>
                      <w:lang w:bidi="ar"/>
                    </w:rPr>
                    <w:t>126.60</w:t>
                  </w: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kern w:val="0"/>
                      <w:sz w:val="22"/>
                      <w:szCs w:val="22"/>
                      <w:lang w:bidi="ar"/>
                    </w:rPr>
                  </w:pP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kern w:val="0"/>
                      <w:sz w:val="22"/>
                      <w:szCs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kern w:val="0"/>
                      <w:sz w:val="22"/>
                      <w:szCs w:val="22"/>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kern w:val="0"/>
                      <w:sz w:val="22"/>
                      <w:szCs w:val="22"/>
                      <w:lang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sz w:val="22"/>
                      <w:szCs w:val="22"/>
                    </w:rPr>
                  </w:pPr>
                </w:p>
              </w:tc>
            </w:tr>
          </w:tbl>
          <w:p>
            <w:pPr>
              <w:widowControl/>
              <w:jc w:val="left"/>
              <w:textAlignment w:val="center"/>
              <w:rPr>
                <w:rFonts w:ascii="宋体" w:hAnsi="宋体" w:eastAsia="宋体" w:cs="宋体"/>
                <w:sz w:val="24"/>
              </w:rPr>
            </w:pPr>
          </w:p>
        </w:tc>
      </w:tr>
    </w:tbl>
    <w:p>
      <w:pPr>
        <w:rPr>
          <w:rFonts w:ascii="仿宋" w:hAnsi="仿宋" w:eastAsia="仿宋" w:cs="仿宋"/>
          <w:sz w:val="24"/>
        </w:rPr>
      </w:pPr>
      <w:r>
        <w:rPr>
          <w:rFonts w:hint="eastAsia" w:ascii="宋体" w:hAnsi="宋体" w:eastAsia="宋体" w:cs="宋体"/>
          <w:color w:val="000000"/>
          <w:kern w:val="0"/>
          <w:sz w:val="24"/>
          <w:lang w:bidi="ar"/>
        </w:rPr>
        <w:t>注：本表反映部门本年度取得的各项收入情况。</w:t>
      </w: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4731" w:type="dxa"/>
        <w:tblInd w:w="187" w:type="dxa"/>
        <w:tblLayout w:type="fixed"/>
        <w:tblCellMar>
          <w:top w:w="0" w:type="dxa"/>
          <w:left w:w="108" w:type="dxa"/>
          <w:bottom w:w="0" w:type="dxa"/>
          <w:right w:w="108" w:type="dxa"/>
        </w:tblCellMar>
      </w:tblPr>
      <w:tblGrid>
        <w:gridCol w:w="385"/>
        <w:gridCol w:w="479"/>
        <w:gridCol w:w="297"/>
        <w:gridCol w:w="260"/>
        <w:gridCol w:w="132"/>
        <w:gridCol w:w="201"/>
        <w:gridCol w:w="2516"/>
        <w:gridCol w:w="1898"/>
        <w:gridCol w:w="350"/>
        <w:gridCol w:w="1442"/>
        <w:gridCol w:w="240"/>
        <w:gridCol w:w="1797"/>
        <w:gridCol w:w="1144"/>
        <w:gridCol w:w="536"/>
        <w:gridCol w:w="1016"/>
        <w:gridCol w:w="402"/>
        <w:gridCol w:w="1582"/>
        <w:gridCol w:w="54"/>
      </w:tblGrid>
      <w:tr>
        <w:tblPrEx>
          <w:tblCellMar>
            <w:top w:w="0" w:type="dxa"/>
            <w:left w:w="108" w:type="dxa"/>
            <w:bottom w:w="0" w:type="dxa"/>
            <w:right w:w="108" w:type="dxa"/>
          </w:tblCellMar>
        </w:tblPrEx>
        <w:trPr>
          <w:trHeight w:val="623" w:hRule="atLeast"/>
        </w:trPr>
        <w:tc>
          <w:tcPr>
            <w:tcW w:w="14731" w:type="dxa"/>
            <w:gridSpan w:val="18"/>
            <w:tcBorders>
              <w:top w:val="nil"/>
              <w:left w:val="nil"/>
              <w:bottom w:val="nil"/>
              <w:right w:val="nil"/>
            </w:tcBorders>
            <w:shd w:val="clear" w:color="auto" w:fill="auto"/>
            <w:noWrap/>
            <w:vAlign w:val="center"/>
          </w:tcPr>
          <w:p>
            <w:pPr>
              <w:widowControl/>
              <w:jc w:val="center"/>
              <w:textAlignment w:val="center"/>
              <w:rPr>
                <w:rFonts w:ascii="宋体" w:hAnsi="宋体" w:eastAsia="宋体" w:cs="宋体"/>
                <w:sz w:val="30"/>
                <w:szCs w:val="30"/>
              </w:rPr>
            </w:pPr>
            <w:r>
              <w:rPr>
                <w:rFonts w:hint="eastAsia" w:ascii="宋体" w:hAnsi="宋体" w:eastAsia="宋体" w:cs="宋体"/>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61" w:type="dxa"/>
            <w:gridSpan w:val="3"/>
            <w:tcBorders>
              <w:top w:val="nil"/>
              <w:left w:val="nil"/>
              <w:bottom w:val="nil"/>
              <w:right w:val="nil"/>
            </w:tcBorders>
            <w:shd w:val="clear" w:color="auto" w:fill="auto"/>
            <w:noWrap/>
            <w:vAlign w:val="center"/>
          </w:tcPr>
          <w:p>
            <w:pPr>
              <w:rPr>
                <w:rFonts w:ascii="Arial" w:hAnsi="Arial" w:cs="Arial"/>
                <w:sz w:val="20"/>
                <w:szCs w:val="20"/>
              </w:rPr>
            </w:pPr>
          </w:p>
        </w:tc>
        <w:tc>
          <w:tcPr>
            <w:tcW w:w="260" w:type="dxa"/>
            <w:tcBorders>
              <w:top w:val="nil"/>
              <w:left w:val="nil"/>
              <w:bottom w:val="nil"/>
              <w:right w:val="nil"/>
            </w:tcBorders>
            <w:shd w:val="clear" w:color="auto" w:fill="auto"/>
            <w:noWrap/>
            <w:vAlign w:val="center"/>
          </w:tcPr>
          <w:p>
            <w:pPr>
              <w:rPr>
                <w:rFonts w:ascii="Arial" w:hAnsi="Arial" w:cs="Arial"/>
                <w:sz w:val="20"/>
                <w:szCs w:val="20"/>
              </w:rPr>
            </w:pPr>
          </w:p>
        </w:tc>
        <w:tc>
          <w:tcPr>
            <w:tcW w:w="333"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2516" w:type="dxa"/>
            <w:tcBorders>
              <w:top w:val="nil"/>
              <w:left w:val="nil"/>
              <w:bottom w:val="nil"/>
              <w:right w:val="nil"/>
            </w:tcBorders>
            <w:shd w:val="clear" w:color="auto" w:fill="auto"/>
            <w:noWrap/>
            <w:vAlign w:val="center"/>
          </w:tcPr>
          <w:p>
            <w:pPr>
              <w:rPr>
                <w:rFonts w:ascii="Arial" w:hAnsi="Arial" w:cs="Arial"/>
                <w:sz w:val="20"/>
                <w:szCs w:val="20"/>
              </w:rPr>
            </w:pPr>
          </w:p>
        </w:tc>
        <w:tc>
          <w:tcPr>
            <w:tcW w:w="2248"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1442" w:type="dxa"/>
            <w:tcBorders>
              <w:top w:val="nil"/>
              <w:left w:val="nil"/>
              <w:bottom w:val="nil"/>
              <w:right w:val="nil"/>
            </w:tcBorders>
            <w:shd w:val="clear" w:color="auto" w:fill="auto"/>
            <w:noWrap/>
            <w:vAlign w:val="center"/>
          </w:tcPr>
          <w:p>
            <w:pPr>
              <w:rPr>
                <w:rFonts w:ascii="Arial" w:hAnsi="Arial" w:cs="Arial"/>
                <w:sz w:val="20"/>
                <w:szCs w:val="20"/>
              </w:rPr>
            </w:pPr>
          </w:p>
        </w:tc>
        <w:tc>
          <w:tcPr>
            <w:tcW w:w="240" w:type="dxa"/>
            <w:tcBorders>
              <w:top w:val="nil"/>
              <w:left w:val="nil"/>
              <w:bottom w:val="nil"/>
              <w:right w:val="nil"/>
            </w:tcBorders>
            <w:shd w:val="clear" w:color="auto" w:fill="auto"/>
            <w:noWrap/>
            <w:vAlign w:val="center"/>
          </w:tcPr>
          <w:p>
            <w:pPr>
              <w:rPr>
                <w:rFonts w:ascii="Arial" w:hAnsi="Arial" w:cs="Arial"/>
                <w:sz w:val="20"/>
                <w:szCs w:val="20"/>
              </w:rPr>
            </w:pPr>
          </w:p>
        </w:tc>
        <w:tc>
          <w:tcPr>
            <w:tcW w:w="2941"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1552"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2038" w:type="dxa"/>
            <w:gridSpan w:val="3"/>
            <w:tcBorders>
              <w:top w:val="nil"/>
              <w:left w:val="nil"/>
              <w:bottom w:val="nil"/>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bidi="ar"/>
              </w:rPr>
              <w:t>公开03表</w:t>
            </w:r>
          </w:p>
        </w:tc>
      </w:tr>
      <w:tr>
        <w:tblPrEx>
          <w:tblCellMar>
            <w:top w:w="0" w:type="dxa"/>
            <w:left w:w="108" w:type="dxa"/>
            <w:bottom w:w="0" w:type="dxa"/>
            <w:right w:w="108" w:type="dxa"/>
          </w:tblCellMar>
        </w:tblPrEx>
        <w:trPr>
          <w:trHeight w:val="312" w:hRule="atLeast"/>
        </w:trPr>
        <w:tc>
          <w:tcPr>
            <w:tcW w:w="8200" w:type="dxa"/>
            <w:gridSpan w:val="11"/>
            <w:tcBorders>
              <w:top w:val="nil"/>
              <w:left w:val="nil"/>
              <w:bottom w:val="single" w:color="auto" w:sz="4" w:space="0"/>
              <w:right w:val="nil"/>
            </w:tcBorders>
            <w:shd w:val="clear" w:color="auto" w:fill="auto"/>
            <w:noWrap/>
            <w:vAlign w:val="center"/>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2941" w:type="dxa"/>
            <w:gridSpan w:val="2"/>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1552" w:type="dxa"/>
            <w:gridSpan w:val="2"/>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2038" w:type="dxa"/>
            <w:gridSpan w:val="3"/>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gridAfter w:val="1"/>
          <w:wAfter w:w="54" w:type="dxa"/>
          <w:trHeight w:val="312" w:hRule="atLeast"/>
        </w:trPr>
        <w:tc>
          <w:tcPr>
            <w:tcW w:w="1553"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271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203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gridAfter w:val="1"/>
          <w:wAfter w:w="54" w:type="dxa"/>
          <w:trHeight w:val="312" w:hRule="atLeast"/>
        </w:trPr>
        <w:tc>
          <w:tcPr>
            <w:tcW w:w="155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27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12" w:hRule="atLeast"/>
        </w:trPr>
        <w:tc>
          <w:tcPr>
            <w:tcW w:w="155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27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12" w:hRule="atLeast"/>
        </w:trPr>
        <w:tc>
          <w:tcPr>
            <w:tcW w:w="155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27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203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款</w:t>
            </w:r>
          </w:p>
        </w:tc>
        <w:tc>
          <w:tcPr>
            <w:tcW w:w="68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898"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F1F1F1"/>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gridAfter w:val="1"/>
          <w:wAfter w:w="54" w:type="dxa"/>
          <w:trHeight w:val="30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ascii="宋体" w:hAnsi="宋体" w:eastAsia="宋体" w:cs="宋体"/>
                <w:color w:val="000000"/>
                <w:sz w:val="22"/>
                <w:szCs w:val="22"/>
              </w:rPr>
            </w:pP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color w:val="0000FF"/>
                <w:kern w:val="0"/>
                <w:sz w:val="22"/>
                <w:szCs w:val="22"/>
                <w:lang w:bidi="ar"/>
              </w:rPr>
              <w:t>1926.69</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1705.00</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221.69</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2012999</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其他群众团体事务支出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15.40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15.40</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2050201</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学前教育</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2.53</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2.53</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2050202</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小学教育</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1463.79</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1269.60</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194.19</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2050299</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其他普通教育支出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24.74</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0.63</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24.11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2050701</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特殊学校教育</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0.86</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0.86</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2080505</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机关事业单位基本养老保险缴费支出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167.30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167.30</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2210201</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住房公积金</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125.47</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125.47</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2299999</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其他支出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kern w:val="0"/>
                <w:sz w:val="22"/>
                <w:szCs w:val="22"/>
                <w:lang w:bidi="ar"/>
              </w:rPr>
              <w:t>126.60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126.60</w:t>
            </w: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54" w:type="dxa"/>
          <w:trHeight w:val="300" w:hRule="atLeast"/>
        </w:trPr>
        <w:tc>
          <w:tcPr>
            <w:tcW w:w="15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p>
        </w:tc>
        <w:tc>
          <w:tcPr>
            <w:tcW w:w="1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2"/>
                <w:szCs w:val="22"/>
              </w:rPr>
            </w:pPr>
          </w:p>
        </w:tc>
      </w:tr>
    </w:tbl>
    <w:p>
      <w:pPr>
        <w:rPr>
          <w:rFonts w:ascii="仿宋" w:hAnsi="仿宋" w:eastAsia="仿宋" w:cs="仿宋"/>
          <w:sz w:val="24"/>
        </w:rPr>
      </w:pPr>
      <w:r>
        <w:rPr>
          <w:rFonts w:hint="eastAsia" w:ascii="宋体" w:hAnsi="宋体" w:eastAsia="宋体" w:cs="宋体"/>
          <w:color w:val="000000"/>
          <w:kern w:val="0"/>
          <w:sz w:val="22"/>
          <w:szCs w:val="22"/>
          <w:lang w:bidi="ar"/>
        </w:rPr>
        <w:t>注：本表反映部门本年度各项支出情况。</w:t>
      </w: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02" w:type="pct"/>
        <w:tblInd w:w="0" w:type="dxa"/>
        <w:tblLayout w:type="fixed"/>
        <w:tblCellMar>
          <w:top w:w="0" w:type="dxa"/>
          <w:left w:w="108" w:type="dxa"/>
          <w:bottom w:w="0" w:type="dxa"/>
          <w:right w:w="108" w:type="dxa"/>
        </w:tblCellMar>
      </w:tblPr>
      <w:tblGrid>
        <w:gridCol w:w="3059"/>
        <w:gridCol w:w="778"/>
        <w:gridCol w:w="1122"/>
        <w:gridCol w:w="3041"/>
        <w:gridCol w:w="859"/>
        <w:gridCol w:w="1167"/>
        <w:gridCol w:w="1348"/>
        <w:gridCol w:w="1697"/>
        <w:gridCol w:w="166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1038" w:type="pct"/>
            <w:tcBorders>
              <w:top w:val="nil"/>
              <w:left w:val="nil"/>
              <w:bottom w:val="nil"/>
              <w:right w:val="nil"/>
            </w:tcBorders>
            <w:shd w:val="clear" w:color="auto" w:fill="auto"/>
            <w:noWrap/>
            <w:vAlign w:val="bottom"/>
          </w:tcPr>
          <w:p>
            <w:pPr>
              <w:rPr>
                <w:rFonts w:ascii="Arial" w:hAnsi="Arial" w:cs="Arial"/>
                <w:sz w:val="20"/>
                <w:szCs w:val="20"/>
              </w:rPr>
            </w:pPr>
          </w:p>
        </w:tc>
        <w:tc>
          <w:tcPr>
            <w:tcW w:w="264" w:type="pct"/>
            <w:tcBorders>
              <w:top w:val="nil"/>
              <w:left w:val="nil"/>
              <w:bottom w:val="nil"/>
              <w:right w:val="nil"/>
            </w:tcBorders>
            <w:shd w:val="clear" w:color="auto" w:fill="auto"/>
            <w:noWrap/>
            <w:vAlign w:val="bottom"/>
          </w:tcPr>
          <w:p>
            <w:pPr>
              <w:rPr>
                <w:rFonts w:ascii="Arial" w:hAnsi="Arial" w:cs="Arial"/>
                <w:sz w:val="20"/>
                <w:szCs w:val="20"/>
              </w:rPr>
            </w:pPr>
          </w:p>
        </w:tc>
        <w:tc>
          <w:tcPr>
            <w:tcW w:w="380" w:type="pct"/>
            <w:tcBorders>
              <w:top w:val="nil"/>
              <w:left w:val="nil"/>
              <w:bottom w:val="nil"/>
              <w:right w:val="nil"/>
            </w:tcBorders>
            <w:shd w:val="clear" w:color="auto" w:fill="auto"/>
            <w:noWrap/>
            <w:vAlign w:val="bottom"/>
          </w:tcPr>
          <w:p>
            <w:pPr>
              <w:rPr>
                <w:rFonts w:ascii="Arial" w:hAnsi="Arial" w:cs="Arial"/>
                <w:sz w:val="20"/>
                <w:szCs w:val="20"/>
              </w:rPr>
            </w:pPr>
          </w:p>
        </w:tc>
        <w:tc>
          <w:tcPr>
            <w:tcW w:w="1032" w:type="pct"/>
            <w:tcBorders>
              <w:top w:val="nil"/>
              <w:left w:val="nil"/>
              <w:bottom w:val="nil"/>
              <w:right w:val="nil"/>
            </w:tcBorders>
            <w:shd w:val="clear" w:color="auto" w:fill="auto"/>
            <w:noWrap/>
            <w:vAlign w:val="bottom"/>
          </w:tcPr>
          <w:p>
            <w:pPr>
              <w:rPr>
                <w:rFonts w:ascii="Arial" w:hAnsi="Arial" w:cs="Arial"/>
                <w:sz w:val="20"/>
                <w:szCs w:val="20"/>
              </w:rPr>
            </w:pPr>
          </w:p>
        </w:tc>
        <w:tc>
          <w:tcPr>
            <w:tcW w:w="291" w:type="pct"/>
            <w:tcBorders>
              <w:top w:val="nil"/>
              <w:left w:val="nil"/>
              <w:bottom w:val="nil"/>
              <w:right w:val="nil"/>
            </w:tcBorders>
            <w:shd w:val="clear" w:color="auto" w:fill="auto"/>
            <w:noWrap/>
            <w:vAlign w:val="bottom"/>
          </w:tcPr>
          <w:p>
            <w:pPr>
              <w:rPr>
                <w:rFonts w:ascii="Arial" w:hAnsi="Arial" w:cs="Arial"/>
                <w:sz w:val="20"/>
                <w:szCs w:val="20"/>
              </w:rPr>
            </w:pPr>
          </w:p>
        </w:tc>
        <w:tc>
          <w:tcPr>
            <w:tcW w:w="396" w:type="pct"/>
            <w:tcBorders>
              <w:top w:val="nil"/>
              <w:left w:val="nil"/>
              <w:bottom w:val="nil"/>
              <w:right w:val="nil"/>
            </w:tcBorders>
            <w:shd w:val="clear" w:color="auto" w:fill="auto"/>
            <w:noWrap/>
            <w:vAlign w:val="bottom"/>
          </w:tcPr>
          <w:p>
            <w:pPr>
              <w:rPr>
                <w:rFonts w:ascii="Arial" w:hAnsi="Arial" w:cs="Arial"/>
                <w:sz w:val="20"/>
                <w:szCs w:val="20"/>
              </w:rPr>
            </w:pPr>
          </w:p>
        </w:tc>
        <w:tc>
          <w:tcPr>
            <w:tcW w:w="457" w:type="pct"/>
            <w:tcBorders>
              <w:top w:val="nil"/>
              <w:left w:val="nil"/>
              <w:bottom w:val="nil"/>
              <w:right w:val="nil"/>
            </w:tcBorders>
            <w:shd w:val="clear" w:color="auto" w:fill="auto"/>
            <w:noWrap/>
            <w:vAlign w:val="bottom"/>
          </w:tcPr>
          <w:p>
            <w:pPr>
              <w:rPr>
                <w:rFonts w:ascii="Arial" w:hAnsi="Arial" w:cs="Arial"/>
                <w:sz w:val="20"/>
                <w:szCs w:val="20"/>
              </w:rPr>
            </w:pPr>
          </w:p>
        </w:tc>
        <w:tc>
          <w:tcPr>
            <w:tcW w:w="575" w:type="pct"/>
            <w:tcBorders>
              <w:top w:val="nil"/>
              <w:left w:val="nil"/>
              <w:bottom w:val="nil"/>
              <w:right w:val="nil"/>
            </w:tcBorders>
            <w:shd w:val="clear" w:color="auto" w:fill="auto"/>
            <w:noWrap/>
            <w:vAlign w:val="bottom"/>
          </w:tcPr>
          <w:p>
            <w:pPr>
              <w:rPr>
                <w:rFonts w:ascii="Arial" w:hAnsi="Arial" w:cs="Arial"/>
                <w:sz w:val="20"/>
                <w:szCs w:val="20"/>
              </w:rPr>
            </w:pPr>
          </w:p>
        </w:tc>
        <w:tc>
          <w:tcPr>
            <w:tcW w:w="564"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公开04表</w:t>
            </w:r>
          </w:p>
        </w:tc>
      </w:tr>
      <w:tr>
        <w:tblPrEx>
          <w:tblCellMar>
            <w:top w:w="0" w:type="dxa"/>
            <w:left w:w="108" w:type="dxa"/>
            <w:bottom w:w="0" w:type="dxa"/>
            <w:right w:w="108" w:type="dxa"/>
          </w:tblCellMar>
        </w:tblPrEx>
        <w:trPr>
          <w:trHeight w:val="260" w:hRule="atLeast"/>
        </w:trPr>
        <w:tc>
          <w:tcPr>
            <w:tcW w:w="3402" w:type="pct"/>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457"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575"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564"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68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收     入</w:t>
            </w:r>
          </w:p>
        </w:tc>
        <w:tc>
          <w:tcPr>
            <w:tcW w:w="331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支     出</w:t>
            </w:r>
          </w:p>
        </w:tc>
      </w:tr>
      <w:tr>
        <w:tblPrEx>
          <w:tblCellMar>
            <w:top w:w="0" w:type="dxa"/>
            <w:left w:w="108" w:type="dxa"/>
            <w:bottom w:w="0" w:type="dxa"/>
            <w:right w:w="108" w:type="dxa"/>
          </w:tblCellMar>
        </w:tblPrEx>
        <w:trPr>
          <w:trHeight w:val="312" w:hRule="atLeast"/>
        </w:trPr>
        <w:tc>
          <w:tcPr>
            <w:tcW w:w="10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项目</w:t>
            </w:r>
          </w:p>
        </w:tc>
        <w:tc>
          <w:tcPr>
            <w:tcW w:w="2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行次</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金额</w:t>
            </w:r>
          </w:p>
        </w:tc>
        <w:tc>
          <w:tcPr>
            <w:tcW w:w="10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项目</w:t>
            </w:r>
          </w:p>
        </w:tc>
        <w:tc>
          <w:tcPr>
            <w:tcW w:w="2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行次</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合计</w:t>
            </w:r>
          </w:p>
        </w:tc>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一般公共预算财政拨款</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政府性基金预算财政拨款</w:t>
            </w:r>
          </w:p>
        </w:tc>
        <w:tc>
          <w:tcPr>
            <w:tcW w:w="5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国有资本经营预算财政拨款</w:t>
            </w:r>
          </w:p>
        </w:tc>
      </w:tr>
      <w:tr>
        <w:tblPrEx>
          <w:tblCellMar>
            <w:top w:w="0" w:type="dxa"/>
            <w:left w:w="108" w:type="dxa"/>
            <w:bottom w:w="0" w:type="dxa"/>
            <w:right w:w="108" w:type="dxa"/>
          </w:tblCellMar>
        </w:tblPrEx>
        <w:trPr>
          <w:trHeight w:val="536" w:hRule="atLeast"/>
        </w:trPr>
        <w:tc>
          <w:tcPr>
            <w:tcW w:w="10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2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10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2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4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5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5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栏次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栏次</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w:t>
            </w:r>
          </w:p>
        </w:tc>
      </w:tr>
      <w:tr>
        <w:tblPrEx>
          <w:tblCellMar>
            <w:top w:w="0" w:type="dxa"/>
            <w:left w:w="108" w:type="dxa"/>
            <w:bottom w:w="0" w:type="dxa"/>
            <w:right w:w="108" w:type="dxa"/>
          </w:tblCellMar>
        </w:tblPrEx>
        <w:trPr>
          <w:trHeight w:val="464"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一、一般公共预算财政拨款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w:t>
            </w:r>
          </w:p>
        </w:tc>
        <w:tc>
          <w:tcPr>
            <w:tcW w:w="380" w:type="pc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textAlignment w:val="center"/>
              <w:rPr>
                <w:rFonts w:ascii="宋体" w:hAnsi="宋体" w:eastAsia="宋体" w:cs="宋体"/>
                <w:szCs w:val="21"/>
              </w:rPr>
            </w:pPr>
            <w:r>
              <w:rPr>
                <w:rFonts w:hint="eastAsia" w:ascii="宋体" w:hAnsi="宋体" w:eastAsia="宋体" w:cs="宋体"/>
                <w:kern w:val="0"/>
                <w:szCs w:val="21"/>
                <w:lang w:bidi="ar"/>
              </w:rPr>
              <w:t>1926.69</w:t>
            </w: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一、一般公共服务支出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15.40</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15.40</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 w:val="20"/>
                <w:szCs w:val="20"/>
                <w:lang w:bidi="ar"/>
              </w:rPr>
              <w:t>二、政府性基金预算财政拨款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二、外交支出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三、</w:t>
            </w:r>
            <w:r>
              <w:rPr>
                <w:rFonts w:hint="eastAsia" w:ascii="宋体" w:hAnsi="宋体" w:eastAsia="宋体" w:cs="宋体"/>
                <w:kern w:val="0"/>
                <w:sz w:val="16"/>
                <w:szCs w:val="16"/>
                <w:lang w:bidi="ar"/>
              </w:rPr>
              <w:t>国有资本经营预算财政拨款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3</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三、国防支出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4</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ascii="宋体" w:hAnsi="宋体" w:eastAsia="宋体" w:cs="宋体"/>
                <w:kern w:val="0"/>
                <w:szCs w:val="21"/>
                <w:lang w:bidi="ar"/>
              </w:rPr>
              <w:t>0</w:t>
            </w: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四、公共安全支出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5</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五、教育支出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1491.92</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1491.92</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6</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六、科学技术支出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7</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七、文化旅游体育与传媒支出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39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8</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八、社会保障和就业支出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167.30</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167.30</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9</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九、卫生健康支出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十、节能环保支出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11</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十一、城乡社区支出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12</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十二、农林水支出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13</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十三、交通运输支出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14</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十四、</w:t>
            </w:r>
            <w:r>
              <w:rPr>
                <w:rFonts w:ascii="宋体" w:hAnsi="宋体" w:eastAsia="宋体" w:cs="宋体"/>
                <w:kern w:val="0"/>
                <w:sz w:val="18"/>
                <w:szCs w:val="18"/>
                <w:lang w:bidi="ar"/>
              </w:rPr>
              <w:t>资源勘探工业信息等支出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15</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十五、商业服务业等支出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16</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十六、金融支出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17</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十七、援助其他地区支出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49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18</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十八、</w:t>
            </w:r>
            <w:r>
              <w:rPr>
                <w:rFonts w:ascii="宋体" w:hAnsi="宋体" w:eastAsia="宋体" w:cs="宋体"/>
                <w:kern w:val="0"/>
                <w:sz w:val="18"/>
                <w:szCs w:val="18"/>
                <w:lang w:bidi="ar"/>
              </w:rPr>
              <w:t>自然资源海洋气象等支出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19</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十九、住房保障支出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125.47</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125.47</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二十、粮油物资储备支出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21</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 w:val="20"/>
                <w:szCs w:val="20"/>
                <w:lang w:bidi="ar"/>
              </w:rPr>
              <w:t>二</w:t>
            </w:r>
            <w:r>
              <w:rPr>
                <w:rFonts w:ascii="宋体" w:hAnsi="宋体" w:eastAsia="宋体" w:cs="宋体"/>
                <w:kern w:val="0"/>
                <w:sz w:val="18"/>
                <w:szCs w:val="18"/>
                <w:lang w:bidi="ar"/>
              </w:rPr>
              <w:t>十一、国有资本经营预算支出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22</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w:t>
            </w:r>
            <w:r>
              <w:rPr>
                <w:rFonts w:ascii="宋体" w:hAnsi="宋体" w:eastAsia="宋体" w:cs="宋体"/>
                <w:kern w:val="0"/>
                <w:sz w:val="16"/>
                <w:szCs w:val="16"/>
                <w:lang w:bidi="ar"/>
              </w:rPr>
              <w:t>十二、灾害防治及应急管理支出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23</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二十三、其他支出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126.60</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 w:val="22"/>
                <w:szCs w:val="22"/>
                <w:lang w:bidi="ar"/>
              </w:rPr>
              <w:t>126.60</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24</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二十四、债务还本支出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25</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二十五、债务付息支出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26</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 w:val="16"/>
                <w:szCs w:val="16"/>
                <w:lang w:bidi="ar"/>
              </w:rPr>
              <w:t>二十六、抗疫特别国债安排的支出</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本年收入合计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27</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本年支出合计</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59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年初财政拨款结转和结余</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28</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年末财政拨款结转和结余</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60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 xml:space="preserve">  一般公共预算财政拨款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29</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61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 xml:space="preserve">  政府性基金预算财政拨款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30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62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国有资本经营预算财政拨款</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31</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63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总计</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32</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10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lang w:bidi="ar"/>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ascii="宋体" w:hAnsi="宋体" w:eastAsia="宋体" w:cs="宋体"/>
                <w:szCs w:val="21"/>
              </w:rPr>
              <w:t>64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lang w:bidi="ar"/>
              </w:rPr>
            </w:pPr>
            <w:r>
              <w:rPr>
                <w:rFonts w:hint="eastAsia" w:ascii="宋体" w:hAnsi="宋体" w:eastAsia="宋体" w:cs="宋体"/>
                <w:kern w:val="0"/>
                <w:szCs w:val="21"/>
                <w:lang w:bidi="ar"/>
              </w:rPr>
              <w:t>1926.69</w:t>
            </w:r>
          </w:p>
        </w:tc>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kern w:val="0"/>
                <w:szCs w:val="21"/>
                <w:lang w:bidi="ar"/>
              </w:rPr>
            </w:pPr>
          </w:p>
        </w:tc>
      </w:tr>
      <w:tr>
        <w:tblPrEx>
          <w:tblCellMar>
            <w:top w:w="0" w:type="dxa"/>
            <w:left w:w="108" w:type="dxa"/>
            <w:bottom w:w="0" w:type="dxa"/>
            <w:right w:w="108" w:type="dxa"/>
          </w:tblCellMar>
        </w:tblPrEx>
        <w:trPr>
          <w:trHeight w:val="268" w:hRule="atLeast"/>
        </w:trPr>
        <w:tc>
          <w:tcPr>
            <w:tcW w:w="4435"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kern w:val="0"/>
                <w:sz w:val="22"/>
                <w:szCs w:val="22"/>
                <w:lang w:bidi="ar"/>
              </w:rPr>
            </w:pPr>
          </w:p>
        </w:tc>
        <w:tc>
          <w:tcPr>
            <w:tcW w:w="564" w:type="pct"/>
            <w:tcBorders>
              <w:top w:val="single" w:color="auto" w:sz="4" w:space="0"/>
              <w:left w:val="nil"/>
              <w:bottom w:val="nil"/>
              <w:right w:val="nil"/>
            </w:tcBorders>
            <w:shd w:val="clear" w:color="auto" w:fill="auto"/>
            <w:noWrap/>
            <w:vAlign w:val="center"/>
          </w:tcPr>
          <w:p>
            <w:pPr>
              <w:jc w:val="left"/>
              <w:rPr>
                <w:rFonts w:ascii="宋体" w:hAnsi="宋体" w:eastAsia="宋体" w:cs="宋体"/>
                <w:sz w:val="20"/>
                <w:szCs w:val="20"/>
              </w:rPr>
            </w:pP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841" w:type="dxa"/>
        <w:tblInd w:w="96" w:type="dxa"/>
        <w:tblLayout w:type="fixed"/>
        <w:tblCellMar>
          <w:top w:w="0" w:type="dxa"/>
          <w:left w:w="108" w:type="dxa"/>
          <w:bottom w:w="0" w:type="dxa"/>
          <w:right w:w="108" w:type="dxa"/>
        </w:tblCellMar>
      </w:tblPr>
      <w:tblGrid>
        <w:gridCol w:w="2283"/>
        <w:gridCol w:w="238"/>
        <w:gridCol w:w="238"/>
        <w:gridCol w:w="284"/>
        <w:gridCol w:w="4110"/>
        <w:gridCol w:w="2215"/>
        <w:gridCol w:w="1953"/>
        <w:gridCol w:w="2520"/>
      </w:tblGrid>
      <w:tr>
        <w:tblPrEx>
          <w:tblCellMar>
            <w:top w:w="0" w:type="dxa"/>
            <w:left w:w="108" w:type="dxa"/>
            <w:bottom w:w="0" w:type="dxa"/>
            <w:right w:w="108" w:type="dxa"/>
          </w:tblCellMar>
        </w:tblPrEx>
        <w:trPr>
          <w:trHeight w:val="693" w:hRule="atLeast"/>
        </w:trPr>
        <w:tc>
          <w:tcPr>
            <w:tcW w:w="13841"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28"/>
                <w:szCs w:val="28"/>
              </w:rPr>
            </w:pPr>
            <w:r>
              <w:rPr>
                <w:rFonts w:hint="eastAsia" w:ascii="宋体" w:hAnsi="宋体" w:eastAsia="宋体" w:cs="宋体"/>
                <w:kern w:val="0"/>
                <w:sz w:val="28"/>
                <w:szCs w:val="28"/>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rPr>
                <w:rFonts w:ascii="Arial" w:hAnsi="Arial" w:cs="Arial"/>
                <w:sz w:val="18"/>
                <w:szCs w:val="18"/>
              </w:rPr>
            </w:pPr>
          </w:p>
        </w:tc>
        <w:tc>
          <w:tcPr>
            <w:tcW w:w="238" w:type="dxa"/>
            <w:tcBorders>
              <w:top w:val="nil"/>
              <w:left w:val="nil"/>
              <w:bottom w:val="nil"/>
              <w:right w:val="nil"/>
            </w:tcBorders>
            <w:shd w:val="clear" w:color="auto" w:fill="auto"/>
            <w:noWrap/>
            <w:vAlign w:val="bottom"/>
          </w:tcPr>
          <w:p>
            <w:pPr>
              <w:rPr>
                <w:rFonts w:ascii="Arial" w:hAnsi="Arial" w:cs="Arial"/>
                <w:sz w:val="18"/>
                <w:szCs w:val="18"/>
              </w:rPr>
            </w:pPr>
          </w:p>
        </w:tc>
        <w:tc>
          <w:tcPr>
            <w:tcW w:w="238" w:type="dxa"/>
            <w:tcBorders>
              <w:top w:val="nil"/>
              <w:left w:val="nil"/>
              <w:bottom w:val="nil"/>
              <w:right w:val="nil"/>
            </w:tcBorders>
            <w:shd w:val="clear" w:color="auto" w:fill="auto"/>
            <w:noWrap/>
            <w:vAlign w:val="bottom"/>
          </w:tcPr>
          <w:p>
            <w:pPr>
              <w:rPr>
                <w:rFonts w:ascii="Arial" w:hAnsi="Arial" w:cs="Arial"/>
                <w:sz w:val="18"/>
                <w:szCs w:val="18"/>
              </w:rPr>
            </w:pPr>
          </w:p>
        </w:tc>
        <w:tc>
          <w:tcPr>
            <w:tcW w:w="4394" w:type="dxa"/>
            <w:gridSpan w:val="2"/>
            <w:tcBorders>
              <w:top w:val="nil"/>
              <w:left w:val="nil"/>
              <w:bottom w:val="nil"/>
              <w:right w:val="nil"/>
            </w:tcBorders>
            <w:shd w:val="clear" w:color="auto" w:fill="auto"/>
            <w:noWrap/>
            <w:vAlign w:val="bottom"/>
          </w:tcPr>
          <w:p>
            <w:pPr>
              <w:rPr>
                <w:rFonts w:ascii="Arial" w:hAnsi="Arial" w:cs="Arial"/>
                <w:sz w:val="18"/>
                <w:szCs w:val="18"/>
              </w:rPr>
            </w:pPr>
          </w:p>
        </w:tc>
        <w:tc>
          <w:tcPr>
            <w:tcW w:w="2215" w:type="dxa"/>
            <w:tcBorders>
              <w:top w:val="nil"/>
              <w:left w:val="nil"/>
              <w:bottom w:val="nil"/>
              <w:right w:val="nil"/>
            </w:tcBorders>
            <w:shd w:val="clear" w:color="auto" w:fill="auto"/>
            <w:noWrap/>
            <w:vAlign w:val="bottom"/>
          </w:tcPr>
          <w:p>
            <w:pPr>
              <w:rPr>
                <w:rFonts w:ascii="Arial" w:hAnsi="Arial" w:cs="Arial"/>
                <w:sz w:val="18"/>
                <w:szCs w:val="18"/>
              </w:rPr>
            </w:pPr>
          </w:p>
        </w:tc>
        <w:tc>
          <w:tcPr>
            <w:tcW w:w="1953" w:type="dxa"/>
            <w:tcBorders>
              <w:top w:val="nil"/>
              <w:left w:val="nil"/>
              <w:bottom w:val="nil"/>
              <w:right w:val="nil"/>
            </w:tcBorders>
            <w:shd w:val="clear" w:color="auto" w:fill="auto"/>
            <w:noWrap/>
            <w:vAlign w:val="bottom"/>
          </w:tcPr>
          <w:p>
            <w:pPr>
              <w:rPr>
                <w:rFonts w:ascii="Arial" w:hAnsi="Arial" w:cs="Arial"/>
                <w:sz w:val="18"/>
                <w:szCs w:val="18"/>
              </w:rPr>
            </w:pPr>
          </w:p>
        </w:tc>
        <w:tc>
          <w:tcPr>
            <w:tcW w:w="2520"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18"/>
                <w:szCs w:val="18"/>
              </w:rPr>
            </w:pPr>
            <w:r>
              <w:rPr>
                <w:rFonts w:hint="eastAsia" w:ascii="宋体" w:hAnsi="宋体" w:eastAsia="宋体" w:cs="宋体"/>
                <w:kern w:val="0"/>
                <w:sz w:val="18"/>
                <w:szCs w:val="18"/>
                <w:lang w:bidi="ar"/>
              </w:rPr>
              <w:t>公开05表</w:t>
            </w:r>
          </w:p>
        </w:tc>
      </w:tr>
      <w:tr>
        <w:tblPrEx>
          <w:tblCellMar>
            <w:top w:w="0" w:type="dxa"/>
            <w:left w:w="108" w:type="dxa"/>
            <w:bottom w:w="0" w:type="dxa"/>
            <w:right w:w="108" w:type="dxa"/>
          </w:tblCellMar>
        </w:tblPrEx>
        <w:trPr>
          <w:trHeight w:val="346" w:hRule="atLeast"/>
        </w:trPr>
        <w:tc>
          <w:tcPr>
            <w:tcW w:w="9368" w:type="dxa"/>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195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520"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715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项目</w:t>
            </w:r>
          </w:p>
        </w:tc>
        <w:tc>
          <w:tcPr>
            <w:tcW w:w="66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本年支出</w:t>
            </w:r>
          </w:p>
        </w:tc>
      </w:tr>
      <w:tr>
        <w:tblPrEx>
          <w:tblCellMar>
            <w:top w:w="0" w:type="dxa"/>
            <w:left w:w="108" w:type="dxa"/>
            <w:bottom w:w="0" w:type="dxa"/>
            <w:right w:w="108" w:type="dxa"/>
          </w:tblCellMar>
        </w:tblPrEx>
        <w:trPr>
          <w:trHeight w:val="353" w:hRule="atLeast"/>
        </w:trPr>
        <w:tc>
          <w:tcPr>
            <w:tcW w:w="304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eastAsia="宋体" w:cs="宋体"/>
                <w:szCs w:val="21"/>
              </w:rPr>
            </w:pPr>
            <w:r>
              <w:rPr>
                <w:rFonts w:hint="eastAsia" w:ascii="宋体" w:hAnsi="宋体" w:eastAsia="宋体" w:cs="宋体"/>
                <w:kern w:val="0"/>
                <w:szCs w:val="21"/>
                <w:lang w:bidi="ar"/>
              </w:rPr>
              <w:t>功能分类科目编码</w:t>
            </w:r>
          </w:p>
        </w:tc>
        <w:tc>
          <w:tcPr>
            <w:tcW w:w="4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rFonts w:ascii="宋体" w:hAnsi="宋体" w:eastAsia="宋体" w:cs="宋体"/>
                <w:szCs w:val="21"/>
              </w:rPr>
            </w:pPr>
            <w:r>
              <w:rPr>
                <w:rFonts w:hint="eastAsia" w:ascii="宋体" w:hAnsi="宋体" w:eastAsia="宋体" w:cs="宋体"/>
                <w:kern w:val="0"/>
                <w:szCs w:val="21"/>
                <w:lang w:bidi="ar"/>
              </w:rPr>
              <w:t>科目名称</w:t>
            </w:r>
          </w:p>
        </w:tc>
        <w:tc>
          <w:tcPr>
            <w:tcW w:w="2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eastAsia="宋体" w:cs="宋体"/>
                <w:szCs w:val="21"/>
              </w:rPr>
            </w:pPr>
            <w:r>
              <w:rPr>
                <w:rFonts w:hint="eastAsia" w:ascii="宋体" w:hAnsi="宋体" w:eastAsia="宋体" w:cs="宋体"/>
                <w:kern w:val="0"/>
                <w:szCs w:val="21"/>
                <w:lang w:bidi="ar"/>
              </w:rPr>
              <w:t>小计</w:t>
            </w:r>
          </w:p>
        </w:tc>
        <w:tc>
          <w:tcPr>
            <w:tcW w:w="1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eastAsia="宋体" w:cs="宋体"/>
                <w:szCs w:val="21"/>
              </w:rPr>
            </w:pPr>
            <w:r>
              <w:rPr>
                <w:rFonts w:hint="eastAsia" w:ascii="宋体" w:hAnsi="宋体" w:eastAsia="宋体" w:cs="宋体"/>
                <w:kern w:val="0"/>
                <w:szCs w:val="21"/>
                <w:lang w:bidi="ar"/>
              </w:rPr>
              <w:t>基本支出</w:t>
            </w:r>
          </w:p>
        </w:tc>
        <w:tc>
          <w:tcPr>
            <w:tcW w:w="2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eastAsia="宋体" w:cs="宋体"/>
                <w:szCs w:val="21"/>
              </w:rPr>
            </w:pPr>
            <w:r>
              <w:rPr>
                <w:rFonts w:hint="eastAsia" w:ascii="宋体" w:hAnsi="宋体" w:eastAsia="宋体" w:cs="宋体"/>
                <w:kern w:val="0"/>
                <w:szCs w:val="21"/>
                <w:lang w:bidi="ar"/>
              </w:rPr>
              <w:t>项目支出</w:t>
            </w:r>
          </w:p>
        </w:tc>
      </w:tr>
      <w:tr>
        <w:tblPrEx>
          <w:tblCellMar>
            <w:top w:w="0" w:type="dxa"/>
            <w:left w:w="108" w:type="dxa"/>
            <w:bottom w:w="0" w:type="dxa"/>
            <w:right w:w="108" w:type="dxa"/>
          </w:tblCellMar>
        </w:tblPrEx>
        <w:trPr>
          <w:trHeight w:val="319"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4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2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2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312"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4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2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2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358" w:hRule="atLeast"/>
        </w:trPr>
        <w:tc>
          <w:tcPr>
            <w:tcW w:w="715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栏次</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r>
      <w:tr>
        <w:tblPrEx>
          <w:tblCellMar>
            <w:top w:w="0" w:type="dxa"/>
            <w:left w:w="108" w:type="dxa"/>
            <w:bottom w:w="0" w:type="dxa"/>
            <w:right w:w="108" w:type="dxa"/>
          </w:tblCellMar>
        </w:tblPrEx>
        <w:trPr>
          <w:trHeight w:val="358" w:hRule="atLeast"/>
        </w:trPr>
        <w:tc>
          <w:tcPr>
            <w:tcW w:w="715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合计</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 w:val="22"/>
                <w:szCs w:val="22"/>
                <w:lang w:bidi="ar"/>
              </w:rPr>
              <w:t>1926.69</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 w:val="22"/>
                <w:szCs w:val="22"/>
                <w:lang w:bidi="ar"/>
              </w:rPr>
              <w:t>1705.00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szCs w:val="21"/>
              </w:rPr>
              <w:t>221.70</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2012999</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其他群众团体事务支出</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15.40</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15.40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2050201</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学前教育</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2.53</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2.53</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2050202</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小学教育</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1463.79</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1269.60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194.19</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2050299</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其他普通教育支出</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24.74</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0.63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24.11</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2050701</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lang w:bidi="ar"/>
              </w:rPr>
              <w:t>特殊学校教育</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0.86</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 w:val="22"/>
                <w:szCs w:val="22"/>
                <w:lang w:bidi="ar"/>
              </w:rPr>
              <w:t>0.86</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2080505</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机关事业单位基本养老保险缴费支出</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167.30</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167.30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2210201</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住房公积金</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125.47</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125.47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2299999</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其他支出</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126.60</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126.60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r>
    </w:tbl>
    <w:p>
      <w:pPr>
        <w:jc w:val="left"/>
        <w:rPr>
          <w:rFonts w:ascii="仿宋" w:hAnsi="仿宋" w:eastAsia="仿宋" w:cs="仿宋"/>
          <w:sz w:val="24"/>
        </w:rPr>
      </w:pPr>
      <w:r>
        <w:rPr>
          <w:rFonts w:hint="eastAsia" w:ascii="宋体" w:hAnsi="宋体" w:eastAsia="宋体" w:cs="宋体"/>
          <w:color w:val="000000"/>
          <w:kern w:val="0"/>
          <w:sz w:val="22"/>
          <w:szCs w:val="22"/>
          <w:lang w:bidi="ar"/>
        </w:rPr>
        <w:t>注：本表反映部门本年度一般公共预算财政拨款支出情况</w:t>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3" w:type="dxa"/>
        <w:tblInd w:w="93" w:type="dxa"/>
        <w:tblLayout w:type="fixed"/>
        <w:tblCellMar>
          <w:top w:w="0" w:type="dxa"/>
          <w:left w:w="108" w:type="dxa"/>
          <w:bottom w:w="0" w:type="dxa"/>
          <w:right w:w="108" w:type="dxa"/>
        </w:tblCellMar>
      </w:tblPr>
      <w:tblGrid>
        <w:gridCol w:w="766"/>
        <w:gridCol w:w="341"/>
        <w:gridCol w:w="2371"/>
        <w:gridCol w:w="516"/>
        <w:gridCol w:w="590"/>
        <w:gridCol w:w="694"/>
        <w:gridCol w:w="586"/>
        <w:gridCol w:w="60"/>
        <w:gridCol w:w="2287"/>
        <w:gridCol w:w="129"/>
        <w:gridCol w:w="814"/>
        <w:gridCol w:w="217"/>
        <w:gridCol w:w="391"/>
        <w:gridCol w:w="782"/>
        <w:gridCol w:w="1685"/>
        <w:gridCol w:w="1774"/>
      </w:tblGrid>
      <w:tr>
        <w:tblPrEx>
          <w:tblCellMar>
            <w:top w:w="0" w:type="dxa"/>
            <w:left w:w="108" w:type="dxa"/>
            <w:bottom w:w="0" w:type="dxa"/>
            <w:right w:w="108" w:type="dxa"/>
          </w:tblCellMar>
        </w:tblPrEx>
        <w:trPr>
          <w:trHeight w:val="614" w:hRule="atLeast"/>
        </w:trPr>
        <w:tc>
          <w:tcPr>
            <w:tcW w:w="14003" w:type="dxa"/>
            <w:gridSpan w:val="16"/>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kern w:val="0"/>
                <w:sz w:val="32"/>
                <w:szCs w:val="32"/>
                <w:lang w:bidi="ar"/>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71" w:type="dxa"/>
            <w:tcBorders>
              <w:top w:val="nil"/>
              <w:left w:val="nil"/>
              <w:bottom w:val="nil"/>
              <w:right w:val="nil"/>
            </w:tcBorders>
            <w:shd w:val="clear" w:color="auto" w:fill="auto"/>
            <w:noWrap/>
            <w:vAlign w:val="bottom"/>
          </w:tcPr>
          <w:p>
            <w:pPr>
              <w:rPr>
                <w:rFonts w:ascii="Arial" w:hAnsi="Arial" w:cs="Arial"/>
                <w:sz w:val="20"/>
                <w:szCs w:val="20"/>
              </w:rPr>
            </w:pPr>
          </w:p>
        </w:tc>
        <w:tc>
          <w:tcPr>
            <w:tcW w:w="1106"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280"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47"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160" w:type="dxa"/>
            <w:gridSpan w:val="3"/>
            <w:tcBorders>
              <w:top w:val="nil"/>
              <w:left w:val="nil"/>
              <w:bottom w:val="nil"/>
              <w:right w:val="nil"/>
            </w:tcBorders>
            <w:shd w:val="clear" w:color="auto" w:fill="auto"/>
            <w:noWrap/>
            <w:vAlign w:val="bottom"/>
          </w:tcPr>
          <w:p>
            <w:pPr>
              <w:rPr>
                <w:rFonts w:ascii="Arial" w:hAnsi="Arial" w:cs="Arial"/>
                <w:sz w:val="20"/>
                <w:szCs w:val="20"/>
              </w:rPr>
            </w:pPr>
          </w:p>
        </w:tc>
        <w:tc>
          <w:tcPr>
            <w:tcW w:w="1173"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685" w:type="dxa"/>
            <w:tcBorders>
              <w:top w:val="nil"/>
              <w:left w:val="nil"/>
              <w:bottom w:val="nil"/>
              <w:right w:val="nil"/>
            </w:tcBorders>
            <w:shd w:val="clear" w:color="auto" w:fill="auto"/>
            <w:noWrap/>
            <w:vAlign w:val="bottom"/>
          </w:tcPr>
          <w:p>
            <w:pPr>
              <w:rPr>
                <w:rFonts w:ascii="Arial" w:hAnsi="Arial" w:cs="Arial"/>
                <w:sz w:val="20"/>
                <w:szCs w:val="20"/>
              </w:rPr>
            </w:pPr>
          </w:p>
        </w:tc>
        <w:tc>
          <w:tcPr>
            <w:tcW w:w="1774"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9"/>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1160" w:type="dxa"/>
            <w:gridSpan w:val="3"/>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173" w:type="dxa"/>
            <w:gridSpan w:val="2"/>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345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trHeight w:val="313" w:hRule="atLeast"/>
        </w:trPr>
        <w:tc>
          <w:tcPr>
            <w:tcW w:w="527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人员经费</w:t>
            </w:r>
          </w:p>
        </w:tc>
        <w:tc>
          <w:tcPr>
            <w:tcW w:w="872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公用经费</w:t>
            </w:r>
          </w:p>
        </w:tc>
      </w:tr>
      <w:tr>
        <w:tblPrEx>
          <w:tblCellMar>
            <w:top w:w="0" w:type="dxa"/>
            <w:left w:w="108" w:type="dxa"/>
            <w:bottom w:w="0" w:type="dxa"/>
            <w:right w:w="108" w:type="dxa"/>
          </w:tblCellMar>
        </w:tblPrEx>
        <w:trPr>
          <w:trHeight w:val="313" w:hRule="atLeast"/>
        </w:trPr>
        <w:tc>
          <w:tcPr>
            <w:tcW w:w="76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科目编码</w:t>
            </w:r>
          </w:p>
        </w:tc>
        <w:tc>
          <w:tcPr>
            <w:tcW w:w="3228"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科目名称</w:t>
            </w:r>
          </w:p>
        </w:tc>
        <w:tc>
          <w:tcPr>
            <w:tcW w:w="1284"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决算数</w:t>
            </w:r>
          </w:p>
        </w:tc>
        <w:tc>
          <w:tcPr>
            <w:tcW w:w="64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科目编码</w:t>
            </w:r>
          </w:p>
        </w:tc>
        <w:tc>
          <w:tcPr>
            <w:tcW w:w="241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科目名称</w:t>
            </w:r>
          </w:p>
        </w:tc>
        <w:tc>
          <w:tcPr>
            <w:tcW w:w="81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决算数</w:t>
            </w:r>
          </w:p>
        </w:tc>
        <w:tc>
          <w:tcPr>
            <w:tcW w:w="608"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科目编码</w:t>
            </w:r>
          </w:p>
        </w:tc>
        <w:tc>
          <w:tcPr>
            <w:tcW w:w="2467"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科目名称</w:t>
            </w:r>
          </w:p>
        </w:tc>
        <w:tc>
          <w:tcPr>
            <w:tcW w:w="177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决算数</w:t>
            </w:r>
          </w:p>
        </w:tc>
      </w:tr>
      <w:tr>
        <w:tblPrEx>
          <w:tblCellMar>
            <w:top w:w="0" w:type="dxa"/>
            <w:left w:w="108" w:type="dxa"/>
            <w:bottom w:w="0" w:type="dxa"/>
            <w:right w:w="108" w:type="dxa"/>
          </w:tblCellMar>
        </w:tblPrEx>
        <w:trPr>
          <w:trHeight w:val="313" w:hRule="atLeast"/>
        </w:trPr>
        <w:tc>
          <w:tcPr>
            <w:tcW w:w="76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322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1284"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64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241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81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608"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2467"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c>
          <w:tcPr>
            <w:tcW w:w="177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工资福利支出</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1613.74</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商品和服务支出</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15.40</w:t>
            </w: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307</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债务利息及费用支出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30101</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基本工资</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512.68</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办公费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30701</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国内债务付息</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30102</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津贴补贴</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54.25</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印刷费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30702</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国外债务付息</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30103</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奖金</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434.67</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咨询费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资本性支出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30106</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伙食补助费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手续费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31001</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房屋建筑物购建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30107</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绩效工资</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243.78</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水费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31002</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办公设备购置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30108</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机关事业单位基本养老保险缴费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167.30</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电费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31003</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专用设备购置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30109</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职业年金缴费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邮电费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31005</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基础设施建设</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30110</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职工基本医疗保险缴费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67.36</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取暖费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31006</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大型修缮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30111</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公务员医疗补助缴费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30209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物业管理费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31007</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信息网络及软件购置更新</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30112</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其他社会保障缴费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8.24</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差旅费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31008</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物资储备</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30113</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住房公积金</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125.47</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因公出国（境）费用</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31009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土地补偿</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30114</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医疗费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维修（护）费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31010</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安置补助</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30199</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其他工资福利支出</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租赁费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31011</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地上附着物和青苗补偿</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对个人和家庭的补助</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75.86</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会议费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31012</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拆迁补偿</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30301</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离休费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培训费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31013</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公务用车购置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30302</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退休费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公务接待费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31019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其他交通工具购置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30303</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退职（役）费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30218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专用材料费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31021</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文物和陈列品购置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30304</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抚恤金</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被装购置费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31022</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无形资产购置</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30305</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生活补助</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r>
              <w:rPr>
                <w:rFonts w:hint="eastAsia" w:ascii="宋体" w:hAnsi="宋体" w:cs="宋体"/>
                <w:sz w:val="22"/>
                <w:szCs w:val="22"/>
              </w:rPr>
              <w:t>75.79</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专用燃料费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31099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其他资本性支出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30306</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救济费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劳务费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其他支出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30307</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医疗费补助</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委托业务费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39907</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国家赔偿费用支出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30308</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助学金</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工会经费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15.40</w:t>
            </w: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39908</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对民间非营利组织和群众性自治组织补贴</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30309</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奖励金</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30229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福利费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39909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经常性赠与</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30310</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个人农业生产补贴</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30231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公务用车运行维护费</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39910</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资本性赠与</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30311</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代缴社会保险费</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30239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其他交通费用</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39999</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其他支出</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30399</w:t>
            </w: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其他对个人和家庭的补助</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r>
              <w:rPr>
                <w:rFonts w:hint="eastAsia" w:ascii="宋体" w:hAnsi="宋体" w:cs="宋体"/>
                <w:sz w:val="22"/>
                <w:szCs w:val="22"/>
              </w:rPr>
              <w:t>0.07</w:t>
            </w: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30240</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税金及附加费用</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766" w:type="dxa"/>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32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30299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 xml:space="preserve">  其他商品和服务支出</w:t>
            </w:r>
          </w:p>
        </w:tc>
        <w:tc>
          <w:tcPr>
            <w:tcW w:w="81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c>
          <w:tcPr>
            <w:tcW w:w="60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jc w:val="left"/>
              <w:rPr>
                <w:rFonts w:ascii="宋体" w:hAnsi="宋体" w:cs="宋体"/>
                <w:sz w:val="22"/>
                <w:szCs w:val="22"/>
              </w:rPr>
            </w:pP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13" w:hRule="atLeast"/>
        </w:trPr>
        <w:tc>
          <w:tcPr>
            <w:tcW w:w="399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人员经费合计</w:t>
            </w:r>
          </w:p>
        </w:tc>
        <w:tc>
          <w:tcPr>
            <w:tcW w:w="128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1689.60</w:t>
            </w:r>
          </w:p>
        </w:tc>
        <w:tc>
          <w:tcPr>
            <w:tcW w:w="695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公用经费合计</w:t>
            </w:r>
          </w:p>
        </w:tc>
        <w:tc>
          <w:tcPr>
            <w:tcW w:w="177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15.40</w:t>
            </w:r>
          </w:p>
        </w:tc>
      </w:tr>
      <w:tr>
        <w:tblPrEx>
          <w:tblCellMar>
            <w:top w:w="0" w:type="dxa"/>
            <w:left w:w="108" w:type="dxa"/>
            <w:bottom w:w="0" w:type="dxa"/>
            <w:right w:w="108" w:type="dxa"/>
          </w:tblCellMar>
        </w:tblPrEx>
        <w:trPr>
          <w:trHeight w:val="313" w:hRule="atLeast"/>
        </w:trPr>
        <w:tc>
          <w:tcPr>
            <w:tcW w:w="14003" w:type="dxa"/>
            <w:gridSpan w:val="16"/>
            <w:tcBorders>
              <w:top w:val="single" w:color="000000" w:sz="4" w:space="0"/>
              <w:left w:val="nil"/>
              <w:bottom w:val="nil"/>
              <w:right w:val="nil"/>
              <w:tl2br w:val="nil"/>
              <w:tr2bl w:val="nil"/>
            </w:tcBorders>
            <w:shd w:val="clear" w:color="auto" w:fill="FFFFFF"/>
            <w:noWrap/>
            <w:vAlign w:val="center"/>
          </w:tcPr>
          <w:p>
            <w:pPr>
              <w:widowControl/>
              <w:jc w:val="left"/>
              <w:textAlignment w:val="center"/>
              <w:rPr>
                <w:rFonts w:ascii="宋体" w:hAnsi="宋体" w:cs="宋体"/>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r>
        <w:tblPrEx>
          <w:tblCellMar>
            <w:top w:w="0" w:type="dxa"/>
            <w:left w:w="108" w:type="dxa"/>
            <w:bottom w:w="0" w:type="dxa"/>
            <w:right w:w="108" w:type="dxa"/>
          </w:tblCellMar>
        </w:tblPrEx>
        <w:trPr>
          <w:trHeight w:val="303" w:hRule="atLeast"/>
        </w:trPr>
        <w:tc>
          <w:tcPr>
            <w:tcW w:w="14003" w:type="dxa"/>
            <w:gridSpan w:val="16"/>
            <w:tcBorders>
              <w:top w:val="nil"/>
              <w:left w:val="nil"/>
              <w:bottom w:val="nil"/>
              <w:right w:val="nil"/>
              <w:tl2br w:val="nil"/>
              <w:tr2bl w:val="nil"/>
            </w:tcBorders>
            <w:shd w:val="clear" w:color="auto" w:fill="FFFFFF"/>
            <w:noWrap/>
            <w:vAlign w:val="center"/>
          </w:tcPr>
          <w:p>
            <w:pPr>
              <w:widowControl/>
              <w:jc w:val="left"/>
              <w:textAlignment w:val="center"/>
              <w:rPr>
                <w:rFonts w:ascii="宋体" w:hAnsi="宋体" w:cs="宋体"/>
                <w:sz w:val="22"/>
                <w:szCs w:val="22"/>
              </w:rPr>
            </w:pPr>
          </w:p>
        </w:tc>
      </w:tr>
    </w:tbl>
    <w:p>
      <w:pPr>
        <w:jc w:val="center"/>
        <w:rPr>
          <w:rFonts w:ascii="仿宋" w:hAnsi="仿宋" w:eastAsia="仿宋" w:cs="仿宋"/>
          <w:sz w:val="32"/>
          <w:szCs w:val="32"/>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4548" w:type="dxa"/>
        <w:tblInd w:w="96" w:type="dxa"/>
        <w:tblLayout w:type="fixed"/>
        <w:tblCellMar>
          <w:top w:w="0" w:type="dxa"/>
          <w:left w:w="108" w:type="dxa"/>
          <w:bottom w:w="0" w:type="dxa"/>
          <w:right w:w="108" w:type="dxa"/>
        </w:tblCellMar>
      </w:tblPr>
      <w:tblGrid>
        <w:gridCol w:w="1297"/>
        <w:gridCol w:w="806"/>
        <w:gridCol w:w="236"/>
        <w:gridCol w:w="2277"/>
        <w:gridCol w:w="566"/>
        <w:gridCol w:w="2034"/>
        <w:gridCol w:w="566"/>
        <w:gridCol w:w="796"/>
        <w:gridCol w:w="566"/>
        <w:gridCol w:w="684"/>
        <w:gridCol w:w="566"/>
        <w:gridCol w:w="672"/>
        <w:gridCol w:w="566"/>
        <w:gridCol w:w="546"/>
        <w:gridCol w:w="566"/>
        <w:gridCol w:w="1236"/>
        <w:gridCol w:w="568"/>
      </w:tblGrid>
      <w:tr>
        <w:trPr>
          <w:gridAfter w:val="1"/>
          <w:wAfter w:w="568" w:type="dxa"/>
          <w:trHeight w:val="536" w:hRule="atLeast"/>
        </w:trPr>
        <w:tc>
          <w:tcPr>
            <w:tcW w:w="13980" w:type="dxa"/>
            <w:gridSpan w:val="16"/>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sz w:val="20"/>
                <w:szCs w:val="20"/>
              </w:rPr>
            </w:pPr>
          </w:p>
        </w:tc>
        <w:tc>
          <w:tcPr>
            <w:tcW w:w="806" w:type="dxa"/>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2843"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600"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362"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250"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238"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112"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804" w:type="dxa"/>
            <w:gridSpan w:val="2"/>
            <w:tcBorders>
              <w:top w:val="nil"/>
              <w:left w:val="nil"/>
              <w:bottom w:val="nil"/>
              <w:right w:val="nil"/>
            </w:tcBorders>
            <w:shd w:val="clear" w:color="auto" w:fill="auto"/>
            <w:noWrap/>
            <w:vAlign w:val="bottom"/>
          </w:tcPr>
          <w:p>
            <w:pPr>
              <w:widowControl/>
              <w:textAlignment w:val="bottom"/>
              <w:rPr>
                <w:rFonts w:ascii="宋体" w:hAnsi="宋体" w:eastAsia="宋体" w:cs="宋体"/>
                <w:sz w:val="20"/>
                <w:szCs w:val="20"/>
              </w:rPr>
            </w:pPr>
            <w:r>
              <w:rPr>
                <w:rFonts w:hint="eastAsia" w:ascii="宋体" w:hAnsi="宋体" w:eastAsia="宋体" w:cs="宋体"/>
                <w:kern w:val="0"/>
                <w:sz w:val="20"/>
                <w:szCs w:val="20"/>
                <w:lang w:bidi="ar"/>
              </w:rPr>
              <w:t>公开07表</w:t>
            </w:r>
          </w:p>
        </w:tc>
      </w:tr>
      <w:tr>
        <w:tblPrEx>
          <w:tblCellMar>
            <w:top w:w="0" w:type="dxa"/>
            <w:left w:w="108" w:type="dxa"/>
            <w:bottom w:w="0" w:type="dxa"/>
            <w:right w:w="108" w:type="dxa"/>
          </w:tblCellMar>
        </w:tblPrEx>
        <w:trPr>
          <w:gridAfter w:val="1"/>
          <w:wAfter w:w="568" w:type="dxa"/>
          <w:trHeight w:val="268" w:hRule="atLeast"/>
        </w:trPr>
        <w:tc>
          <w:tcPr>
            <w:tcW w:w="9828" w:type="dxa"/>
            <w:gridSpan w:val="10"/>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1238" w:type="dxa"/>
            <w:gridSpan w:val="2"/>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112" w:type="dxa"/>
            <w:gridSpan w:val="2"/>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802"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w:t>
            </w:r>
          </w:p>
        </w:tc>
        <w:tc>
          <w:tcPr>
            <w:tcW w:w="2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年初结转和结余</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本年收入</w:t>
            </w:r>
          </w:p>
        </w:tc>
        <w:tc>
          <w:tcPr>
            <w:tcW w:w="3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本年支出</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年末结转和结余</w:t>
            </w: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功能分类科目编码</w:t>
            </w:r>
          </w:p>
        </w:tc>
        <w:tc>
          <w:tcPr>
            <w:tcW w:w="25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科目名称</w:t>
            </w: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小计</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基本支出</w:t>
            </w: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项目支出</w:t>
            </w: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栏次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gridAfter w:val="1"/>
          <w:wAfter w:w="568" w:type="dxa"/>
          <w:trHeight w:val="277" w:hRule="atLeast"/>
        </w:trPr>
        <w:tc>
          <w:tcPr>
            <w:tcW w:w="13980" w:type="dxa"/>
            <w:gridSpan w:val="1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w:t>
            </w:r>
            <w:r>
              <w:rPr>
                <w:rFonts w:hint="eastAsia" w:ascii="宋体" w:hAnsi="宋体" w:eastAsia="宋体" w:cs="宋体"/>
                <w:szCs w:val="21"/>
                <w:lang w:bidi="ar"/>
              </w:rPr>
              <w:t>本部门</w:t>
            </w:r>
            <w:r>
              <w:rPr>
                <w:rFonts w:ascii="Times New Roman" w:hAnsi="Times New Roman" w:eastAsia="宋体" w:cs="Times New Roman"/>
                <w:szCs w:val="21"/>
                <w:lang w:bidi="ar"/>
              </w:rPr>
              <w:t>202</w:t>
            </w:r>
            <w:r>
              <w:rPr>
                <w:rFonts w:hint="eastAsia" w:ascii="Times New Roman" w:hAnsi="Times New Roman" w:eastAsia="宋体" w:cs="Times New Roman"/>
                <w:szCs w:val="21"/>
                <w:lang w:bidi="ar"/>
              </w:rPr>
              <w:t>3</w:t>
            </w:r>
            <w:r>
              <w:rPr>
                <w:rFonts w:hint="eastAsia" w:ascii="宋体" w:hAnsi="宋体" w:eastAsia="宋体" w:cs="宋体"/>
                <w:szCs w:val="21"/>
                <w:lang w:bidi="ar"/>
              </w:rPr>
              <w:t>年度没有政府性基金预算财政拨款收入，也没有政府性基金预算财政拨款安排的支出，故本表无数据。</w:t>
            </w:r>
          </w:p>
          <w:p>
            <w:pPr>
              <w:widowControl/>
              <w:jc w:val="left"/>
              <w:textAlignment w:val="center"/>
              <w:rPr>
                <w:rFonts w:ascii="宋体" w:hAnsi="宋体" w:eastAsia="宋体" w:cs="宋体"/>
                <w:kern w:val="0"/>
                <w:sz w:val="22"/>
                <w:szCs w:val="22"/>
                <w:lang w:bidi="ar"/>
              </w:rPr>
            </w:pPr>
          </w:p>
        </w:tc>
      </w:tr>
    </w:tbl>
    <w:p>
      <w:pPr>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85" w:type="dxa"/>
            <w:tcBorders>
              <w:top w:val="nil"/>
              <w:left w:val="nil"/>
              <w:bottom w:val="nil"/>
              <w:right w:val="nil"/>
            </w:tcBorders>
            <w:shd w:val="clear" w:color="auto" w:fill="auto"/>
            <w:noWrap/>
            <w:vAlign w:val="bottom"/>
          </w:tcPr>
          <w:p>
            <w:pPr>
              <w:rPr>
                <w:rFonts w:ascii="Arial" w:hAnsi="Arial" w:cs="Arial"/>
                <w:sz w:val="20"/>
                <w:szCs w:val="20"/>
              </w:rPr>
            </w:pPr>
          </w:p>
        </w:tc>
        <w:tc>
          <w:tcPr>
            <w:tcW w:w="363" w:type="dxa"/>
            <w:tcBorders>
              <w:top w:val="nil"/>
              <w:left w:val="nil"/>
              <w:bottom w:val="nil"/>
              <w:right w:val="nil"/>
            </w:tcBorders>
            <w:shd w:val="clear" w:color="auto" w:fill="auto"/>
            <w:noWrap/>
            <w:vAlign w:val="bottom"/>
          </w:tcPr>
          <w:p>
            <w:pPr>
              <w:rPr>
                <w:rFonts w:ascii="Arial" w:hAnsi="Arial" w:cs="Arial"/>
                <w:sz w:val="20"/>
                <w:szCs w:val="20"/>
              </w:rPr>
            </w:pPr>
          </w:p>
        </w:tc>
        <w:tc>
          <w:tcPr>
            <w:tcW w:w="1960" w:type="dxa"/>
            <w:tcBorders>
              <w:top w:val="nil"/>
              <w:left w:val="nil"/>
              <w:bottom w:val="nil"/>
              <w:right w:val="nil"/>
            </w:tcBorders>
            <w:shd w:val="clear" w:color="auto" w:fill="auto"/>
            <w:noWrap/>
            <w:vAlign w:val="bottom"/>
          </w:tcPr>
          <w:p>
            <w:pPr>
              <w:rPr>
                <w:rFonts w:ascii="Arial" w:hAnsi="Arial" w:cs="Arial"/>
                <w:sz w:val="20"/>
                <w:szCs w:val="20"/>
              </w:rPr>
            </w:pPr>
          </w:p>
        </w:tc>
        <w:tc>
          <w:tcPr>
            <w:tcW w:w="2993" w:type="dxa"/>
            <w:tcBorders>
              <w:top w:val="nil"/>
              <w:left w:val="nil"/>
              <w:bottom w:val="nil"/>
              <w:right w:val="nil"/>
            </w:tcBorders>
            <w:shd w:val="clear" w:color="auto" w:fill="auto"/>
            <w:noWrap/>
            <w:vAlign w:val="bottom"/>
          </w:tcPr>
          <w:p>
            <w:pPr>
              <w:rPr>
                <w:rFonts w:ascii="Arial" w:hAnsi="Arial" w:cs="Arial"/>
                <w:sz w:val="20"/>
                <w:szCs w:val="20"/>
              </w:rPr>
            </w:pP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lang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kern w:val="0"/>
                <w:sz w:val="30"/>
                <w:szCs w:val="30"/>
                <w:lang w:bidi="ar"/>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425" w:type="dxa"/>
            <w:tcBorders>
              <w:top w:val="nil"/>
              <w:left w:val="nil"/>
              <w:bottom w:val="nil"/>
              <w:right w:val="nil"/>
            </w:tcBorders>
            <w:shd w:val="clear" w:color="auto" w:fill="auto"/>
            <w:noWrap/>
            <w:vAlign w:val="bottom"/>
          </w:tcPr>
          <w:p>
            <w:pPr>
              <w:rPr>
                <w:rFonts w:ascii="Arial" w:hAnsi="Arial" w:cs="Arial"/>
                <w:sz w:val="20"/>
                <w:szCs w:val="20"/>
              </w:rPr>
            </w:pPr>
          </w:p>
        </w:tc>
        <w:tc>
          <w:tcPr>
            <w:tcW w:w="1094" w:type="dxa"/>
            <w:tcBorders>
              <w:top w:val="nil"/>
              <w:left w:val="nil"/>
              <w:bottom w:val="nil"/>
              <w:right w:val="nil"/>
            </w:tcBorders>
            <w:shd w:val="clear" w:color="auto" w:fill="auto"/>
            <w:noWrap/>
            <w:vAlign w:val="bottom"/>
          </w:tcPr>
          <w:p>
            <w:pPr>
              <w:rPr>
                <w:rFonts w:ascii="Arial" w:hAnsi="Arial" w:cs="Arial"/>
                <w:sz w:val="20"/>
                <w:szCs w:val="20"/>
              </w:rPr>
            </w:pPr>
          </w:p>
        </w:tc>
        <w:tc>
          <w:tcPr>
            <w:tcW w:w="1159"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40" w:type="dxa"/>
            <w:tcBorders>
              <w:top w:val="nil"/>
              <w:left w:val="nil"/>
              <w:bottom w:val="nil"/>
              <w:right w:val="nil"/>
            </w:tcBorders>
            <w:shd w:val="clear" w:color="auto" w:fill="auto"/>
            <w:noWrap/>
            <w:vAlign w:val="bottom"/>
          </w:tcPr>
          <w:p>
            <w:pPr>
              <w:rPr>
                <w:rFonts w:ascii="Arial" w:hAnsi="Arial" w:cs="Arial"/>
                <w:sz w:val="20"/>
                <w:szCs w:val="20"/>
              </w:rPr>
            </w:pP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lang w:bidi="ar"/>
              </w:rPr>
              <w:t>部门：</w:t>
            </w:r>
            <w:r>
              <w:rPr>
                <w:rFonts w:hint="eastAsia" w:ascii="宋体" w:hAnsi="宋体" w:eastAsia="宋体" w:cs="宋体"/>
                <w:sz w:val="20"/>
              </w:rPr>
              <w:t>环江毛南族自治县</w:t>
            </w:r>
            <w:r>
              <w:rPr>
                <w:rFonts w:ascii="宋体" w:hAnsi="宋体" w:eastAsia="宋体" w:cs="宋体"/>
                <w:sz w:val="20"/>
              </w:rPr>
              <w:t>第</w:t>
            </w:r>
            <w:r>
              <w:rPr>
                <w:rFonts w:hint="eastAsia" w:ascii="宋体" w:hAnsi="宋体" w:eastAsia="宋体" w:cs="宋体"/>
                <w:sz w:val="20"/>
              </w:rPr>
              <w:t>一</w:t>
            </w:r>
            <w:r>
              <w:rPr>
                <w:rFonts w:ascii="宋体" w:hAnsi="宋体" w:eastAsia="宋体" w:cs="宋体"/>
                <w:sz w:val="20"/>
              </w:rPr>
              <w:t>小学</w:t>
            </w: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p>
          <w:p>
            <w:pPr>
              <w:widowControl/>
              <w:jc w:val="center"/>
              <w:textAlignment w:val="center"/>
              <w:rPr>
                <w:rFonts w:ascii="宋体" w:hAnsi="宋体" w:eastAsia="宋体" w:cs="宋体"/>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lang w:bidi="ar"/>
              </w:rPr>
            </w:pP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1133" w:type="dxa"/>
            <w:tcBorders>
              <w:top w:val="nil"/>
              <w:left w:val="nil"/>
              <w:bottom w:val="single" w:color="000000" w:sz="4" w:space="0"/>
              <w:right w:val="single" w:color="000000" w:sz="4" w:space="0"/>
            </w:tcBorders>
            <w:shd w:val="clear" w:color="auto" w:fill="auto"/>
            <w:noWrap/>
          </w:tcPr>
          <w:p>
            <w:pPr>
              <w:jc w:val="right"/>
            </w:pPr>
          </w:p>
        </w:tc>
        <w:tc>
          <w:tcPr>
            <w:tcW w:w="1073" w:type="dxa"/>
            <w:tcBorders>
              <w:top w:val="nil"/>
              <w:left w:val="nil"/>
              <w:bottom w:val="single" w:color="000000" w:sz="4" w:space="0"/>
              <w:right w:val="single" w:color="000000" w:sz="4" w:space="0"/>
            </w:tcBorders>
            <w:shd w:val="clear" w:color="auto" w:fill="auto"/>
            <w:noWrap/>
          </w:tcPr>
          <w:p>
            <w:pPr>
              <w:jc w:val="right"/>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bookmarkStart w:id="4" w:name="_GoBack"/>
            <w:bookmarkEnd w:id="4"/>
          </w:p>
        </w:tc>
      </w:tr>
    </w:tbl>
    <w:p>
      <w:pPr>
        <w:ind w:firstLine="420"/>
        <w:jc w:val="left"/>
        <w:rPr>
          <w:rFonts w:ascii="仿宋" w:hAnsi="仿宋" w:eastAsia="仿宋" w:cs="仿宋"/>
          <w:sz w:val="24"/>
        </w:rPr>
        <w:sectPr>
          <w:pgSz w:w="16838" w:h="11906" w:orient="landscape"/>
          <w:pgMar w:top="1803" w:right="986" w:bottom="1803" w:left="1043" w:header="851" w:footer="992" w:gutter="0"/>
          <w:cols w:space="0" w:num="1"/>
          <w:rtlGutter w:val="0"/>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w:t>
      </w: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小学</w:t>
      </w:r>
      <w:r>
        <w:rPr>
          <w:rFonts w:hint="eastAsia" w:ascii="黑体" w:hAnsi="黑体" w:eastAsia="黑体" w:cs="黑体"/>
          <w:sz w:val="32"/>
          <w:szCs w:val="32"/>
        </w:rPr>
        <w:t>2023年度部门决算情况说明</w:t>
      </w:r>
    </w:p>
    <w:p>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w:t>
      </w:r>
      <w:r>
        <w:rPr>
          <w:rFonts w:hint="eastAsia" w:ascii="仿宋" w:hAnsi="仿宋" w:eastAsia="仿宋" w:cs="仿宋"/>
          <w:sz w:val="32"/>
        </w:rPr>
        <w:t>1926.69</w:t>
      </w:r>
      <w:r>
        <w:rPr>
          <w:rFonts w:hint="eastAsia" w:ascii="仿宋" w:hAnsi="仿宋" w:eastAsia="仿宋" w:cs="仿宋"/>
          <w:sz w:val="32"/>
          <w:szCs w:val="32"/>
        </w:rPr>
        <w:t>万元，其中本年收入</w:t>
      </w:r>
      <w:r>
        <w:rPr>
          <w:rFonts w:hint="eastAsia" w:ascii="仿宋" w:hAnsi="仿宋" w:eastAsia="仿宋" w:cs="仿宋"/>
          <w:sz w:val="32"/>
        </w:rPr>
        <w:t>1926.69</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583.95</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43.49</w:t>
      </w:r>
      <w:r>
        <w:rPr>
          <w:rFonts w:ascii="仿宋" w:hAnsi="仿宋" w:eastAsia="仿宋" w:cs="仿宋"/>
          <w:sz w:val="32"/>
        </w:rPr>
        <w:t>%</w:t>
      </w:r>
      <w:r>
        <w:rPr>
          <w:rFonts w:hint="eastAsia" w:ascii="仿宋" w:hAnsi="仿宋" w:eastAsia="仿宋" w:cs="仿宋"/>
          <w:sz w:val="32"/>
          <w:szCs w:val="32"/>
        </w:rPr>
        <w:t>，收入具体情况如下。</w:t>
      </w:r>
    </w:p>
    <w:p>
      <w:pPr>
        <w:ind w:firstLine="640" w:firstLineChars="200"/>
        <w:jc w:val="left"/>
        <w:rPr>
          <w:rFonts w:ascii="仿宋" w:hAnsi="仿宋" w:eastAsia="仿宋" w:cs="仿宋"/>
          <w:sz w:val="32"/>
          <w:szCs w:val="32"/>
          <w:highlight w:val="yellow"/>
          <w:lang w:bidi="ar"/>
        </w:rPr>
      </w:pPr>
      <w:r>
        <w:rPr>
          <w:rFonts w:hint="eastAsia" w:ascii="仿宋" w:hAnsi="仿宋" w:eastAsia="仿宋" w:cs="仿宋"/>
          <w:sz w:val="32"/>
          <w:szCs w:val="32"/>
          <w:lang w:bidi="ar"/>
        </w:rPr>
        <w:t>1.一般公共预算财政拨款收入</w:t>
      </w:r>
      <w:r>
        <w:rPr>
          <w:rFonts w:hint="eastAsia" w:ascii="仿宋" w:hAnsi="仿宋" w:eastAsia="仿宋" w:cs="仿宋"/>
          <w:sz w:val="32"/>
        </w:rPr>
        <w:t>1926.69</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w:t>
      </w:r>
      <w:r>
        <w:rPr>
          <w:rFonts w:hint="eastAsia" w:ascii="仿宋" w:hAnsi="仿宋" w:eastAsia="仿宋" w:cs="仿宋"/>
          <w:sz w:val="32"/>
        </w:rPr>
        <w:t>583.95</w:t>
      </w:r>
      <w:r>
        <w:rPr>
          <w:rFonts w:hint="eastAsia" w:ascii="仿宋" w:hAnsi="仿宋" w:eastAsia="仿宋" w:cs="仿宋"/>
          <w:sz w:val="32"/>
          <w:szCs w:val="32"/>
          <w:lang w:bidi="ar"/>
        </w:rPr>
        <w:t>万元，</w:t>
      </w:r>
      <w:r>
        <w:rPr>
          <w:rFonts w:ascii="仿宋" w:hAnsi="仿宋" w:eastAsia="仿宋" w:cs="仿宋"/>
          <w:sz w:val="32"/>
        </w:rPr>
        <w:t>增长</w:t>
      </w:r>
      <w:r>
        <w:rPr>
          <w:rFonts w:hint="eastAsia" w:ascii="仿宋" w:hAnsi="仿宋" w:eastAsia="仿宋" w:cs="仿宋"/>
          <w:sz w:val="32"/>
        </w:rPr>
        <w:t>43.49</w:t>
      </w:r>
      <w:r>
        <w:rPr>
          <w:rFonts w:ascii="仿宋" w:hAnsi="仿宋" w:eastAsia="仿宋" w:cs="仿宋"/>
          <w:sz w:val="32"/>
        </w:rPr>
        <w:t>%</w:t>
      </w:r>
      <w:r>
        <w:rPr>
          <w:rFonts w:hint="eastAsia" w:ascii="仿宋" w:hAnsi="仿宋" w:eastAsia="仿宋" w:cs="仿宋"/>
          <w:sz w:val="32"/>
          <w:szCs w:val="32"/>
          <w:lang w:bidi="ar"/>
        </w:rPr>
        <w:t>，</w:t>
      </w:r>
      <w:r>
        <w:rPr>
          <w:rFonts w:hint="eastAsia" w:ascii="仿宋" w:hAnsi="仿宋" w:eastAsia="仿宋" w:cs="仿宋"/>
          <w:sz w:val="32"/>
          <w:szCs w:val="32"/>
          <w:highlight w:val="none"/>
          <w:lang w:bidi="ar"/>
        </w:rPr>
        <w:t>主要原因：学生人数增加，上级拨款增加；教职工工资福利也比2</w:t>
      </w:r>
      <w:r>
        <w:rPr>
          <w:rFonts w:ascii="仿宋" w:hAnsi="仿宋" w:eastAsia="仿宋" w:cs="仿宋"/>
          <w:sz w:val="32"/>
          <w:szCs w:val="32"/>
          <w:highlight w:val="none"/>
          <w:lang w:bidi="ar"/>
        </w:rPr>
        <w:t>022年</w:t>
      </w:r>
      <w:r>
        <w:rPr>
          <w:rFonts w:hint="eastAsia" w:ascii="仿宋" w:hAnsi="仿宋" w:eastAsia="仿宋" w:cs="仿宋"/>
          <w:sz w:val="32"/>
          <w:szCs w:val="32"/>
          <w:highlight w:val="none"/>
          <w:lang w:bidi="ar"/>
        </w:rPr>
        <w:t>有所提高。</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，主要原因：本单位没有政府性基金预算财政拨款收入。</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万元，为事业单位开展业务活动取得的收入。较2023年度决算数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5.</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6.其他收入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，主要原因是：本单位没有非财政拨款结余。</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8.上年结转和结余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，主要原因：部分项目已在本年执行完毕，不需要结转至下年继续执行。</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drawing>
          <wp:inline distT="0" distB="0" distL="114300" distR="114300">
            <wp:extent cx="5080000" cy="26771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both"/>
        <w:rPr>
          <w:rFonts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（二）本部门2023年度总支出</w:t>
      </w:r>
      <w:r>
        <w:rPr>
          <w:rFonts w:hint="eastAsia" w:ascii="仿宋" w:hAnsi="仿宋" w:eastAsia="仿宋" w:cs="仿宋"/>
          <w:sz w:val="32"/>
        </w:rPr>
        <w:t>1926.69</w:t>
      </w:r>
      <w:r>
        <w:rPr>
          <w:rFonts w:hint="eastAsia" w:ascii="仿宋" w:hAnsi="仿宋" w:eastAsia="仿宋" w:cs="仿宋"/>
          <w:sz w:val="32"/>
          <w:szCs w:val="32"/>
        </w:rPr>
        <w:t>万元，其中本年支出</w:t>
      </w:r>
      <w:r>
        <w:rPr>
          <w:rFonts w:hint="eastAsia" w:ascii="仿宋" w:hAnsi="仿宋" w:eastAsia="仿宋" w:cs="仿宋"/>
          <w:sz w:val="32"/>
        </w:rPr>
        <w:t>1926.69</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583.95</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43.49</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一般公共服务支出（201类）</w:t>
      </w:r>
      <w:r>
        <w:rPr>
          <w:rFonts w:hint="eastAsia" w:ascii="仿宋" w:hAnsi="仿宋" w:eastAsia="仿宋" w:cs="仿宋"/>
          <w:sz w:val="32"/>
          <w:szCs w:val="32"/>
        </w:rPr>
        <w:t>15.40万元：主要用于：教职工工会活动支出。较2022年度决算数</w:t>
      </w:r>
      <w:r>
        <w:rPr>
          <w:rFonts w:hint="eastAsia" w:ascii="仿宋" w:hAnsi="仿宋" w:eastAsia="仿宋" w:cs="仿宋"/>
          <w:sz w:val="32"/>
          <w:szCs w:val="32"/>
          <w:lang w:bidi="ar"/>
        </w:rPr>
        <w:t>增加1.37</w:t>
      </w:r>
      <w:r>
        <w:rPr>
          <w:rFonts w:hint="eastAsia" w:ascii="仿宋" w:hAnsi="仿宋" w:eastAsia="仿宋" w:cs="仿宋"/>
          <w:sz w:val="32"/>
          <w:szCs w:val="32"/>
        </w:rPr>
        <w:t>万元，</w:t>
      </w:r>
      <w:r>
        <w:rPr>
          <w:rFonts w:hint="eastAsia" w:ascii="仿宋" w:hAnsi="仿宋" w:eastAsia="仿宋" w:cs="仿宋"/>
          <w:sz w:val="32"/>
          <w:szCs w:val="32"/>
          <w:lang w:bidi="ar"/>
        </w:rPr>
        <w:t>增长9.8%</w:t>
      </w:r>
      <w:r>
        <w:rPr>
          <w:rFonts w:hint="eastAsia" w:ascii="仿宋" w:hAnsi="仿宋" w:eastAsia="仿宋" w:cs="仿宋"/>
          <w:sz w:val="32"/>
          <w:szCs w:val="32"/>
        </w:rPr>
        <w:t>，</w:t>
      </w:r>
      <w:r>
        <w:rPr>
          <w:rFonts w:hint="eastAsia" w:ascii="仿宋" w:hAnsi="仿宋" w:eastAsia="仿宋" w:cs="仿宋"/>
          <w:sz w:val="32"/>
          <w:szCs w:val="32"/>
          <w:lang w:bidi="ar"/>
        </w:rPr>
        <w:t>主要原因是：教职工</w:t>
      </w:r>
      <w:r>
        <w:rPr>
          <w:rFonts w:hint="eastAsia" w:ascii="仿宋" w:hAnsi="仿宋" w:eastAsia="仿宋" w:cs="仿宋"/>
          <w:sz w:val="32"/>
          <w:szCs w:val="32"/>
        </w:rPr>
        <w:t>增加</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1491.92</w:t>
      </w:r>
      <w:r>
        <w:rPr>
          <w:rFonts w:hint="eastAsia" w:ascii="仿宋" w:hAnsi="仿宋" w:eastAsia="仿宋" w:cs="仿宋"/>
          <w:sz w:val="32"/>
          <w:szCs w:val="32"/>
        </w:rPr>
        <w:t>万元：主要用于：主要用于主要用于人员基本工资，商品服务支出。较2022年度决算数</w:t>
      </w:r>
      <w:r>
        <w:rPr>
          <w:rFonts w:hint="eastAsia" w:ascii="仿宋" w:hAnsi="仿宋" w:eastAsia="仿宋" w:cs="仿宋"/>
          <w:sz w:val="32"/>
          <w:szCs w:val="32"/>
          <w:lang w:bidi="ar"/>
        </w:rPr>
        <w:t>增加524.23</w:t>
      </w:r>
      <w:r>
        <w:rPr>
          <w:rFonts w:hint="eastAsia" w:ascii="仿宋" w:hAnsi="仿宋" w:eastAsia="仿宋" w:cs="仿宋"/>
          <w:sz w:val="32"/>
          <w:szCs w:val="32"/>
        </w:rPr>
        <w:t>万元，</w:t>
      </w:r>
      <w:r>
        <w:rPr>
          <w:rFonts w:hint="eastAsia" w:ascii="仿宋" w:hAnsi="仿宋" w:eastAsia="仿宋" w:cs="仿宋"/>
          <w:sz w:val="32"/>
          <w:szCs w:val="32"/>
          <w:lang w:bidi="ar"/>
        </w:rPr>
        <w:t>增长54.17%</w:t>
      </w:r>
      <w:r>
        <w:rPr>
          <w:rFonts w:hint="eastAsia" w:ascii="仿宋" w:hAnsi="仿宋" w:eastAsia="仿宋" w:cs="仿宋"/>
          <w:sz w:val="32"/>
          <w:szCs w:val="32"/>
        </w:rPr>
        <w:t>，</w:t>
      </w:r>
      <w:r>
        <w:rPr>
          <w:rFonts w:hint="eastAsia" w:ascii="仿宋" w:hAnsi="仿宋" w:eastAsia="仿宋" w:cs="仿宋"/>
          <w:sz w:val="32"/>
          <w:szCs w:val="32"/>
          <w:lang w:bidi="ar"/>
        </w:rPr>
        <w:t>主要原因是：学生和教师数增加。</w:t>
      </w:r>
    </w:p>
    <w:p>
      <w:pPr>
        <w:ind w:firstLine="640" w:firstLineChars="200"/>
        <w:jc w:val="left"/>
        <w:rPr>
          <w:rFonts w:ascii="仿宋" w:hAnsi="仿宋" w:eastAsia="仿宋" w:cs="仿宋"/>
          <w:sz w:val="32"/>
          <w:szCs w:val="32"/>
          <w:highlight w:val="none"/>
          <w:lang w:bidi="ar"/>
        </w:rPr>
      </w:pPr>
      <w:r>
        <w:rPr>
          <w:rFonts w:hint="eastAsia" w:ascii="仿宋" w:hAnsi="仿宋" w:eastAsia="仿宋" w:cs="仿宋"/>
          <w:sz w:val="32"/>
          <w:szCs w:val="32"/>
          <w:lang w:bidi="ar"/>
        </w:rPr>
        <w:t>3.社会保障和就业支出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167.30</w:t>
      </w:r>
      <w:r>
        <w:rPr>
          <w:rFonts w:hint="eastAsia" w:ascii="仿宋" w:hAnsi="仿宋" w:eastAsia="仿宋" w:cs="仿宋"/>
          <w:sz w:val="32"/>
          <w:szCs w:val="32"/>
        </w:rPr>
        <w:t>万元：主要用于：单位基本养老缴费。较2022年度决算数</w:t>
      </w:r>
      <w:r>
        <w:rPr>
          <w:rFonts w:hint="eastAsia" w:ascii="仿宋" w:hAnsi="仿宋" w:eastAsia="仿宋" w:cs="仿宋"/>
          <w:sz w:val="32"/>
          <w:szCs w:val="32"/>
          <w:lang w:bidi="ar"/>
        </w:rPr>
        <w:t>增加60.55</w:t>
      </w:r>
      <w:r>
        <w:rPr>
          <w:rFonts w:hint="eastAsia" w:ascii="仿宋" w:hAnsi="仿宋" w:eastAsia="仿宋" w:cs="仿宋"/>
          <w:sz w:val="32"/>
          <w:szCs w:val="32"/>
        </w:rPr>
        <w:t>万元，</w:t>
      </w:r>
      <w:r>
        <w:rPr>
          <w:rFonts w:hint="eastAsia" w:ascii="仿宋" w:hAnsi="仿宋" w:eastAsia="仿宋" w:cs="仿宋"/>
          <w:sz w:val="32"/>
          <w:szCs w:val="32"/>
          <w:lang w:bidi="ar"/>
        </w:rPr>
        <w:t>增长56.72%</w:t>
      </w:r>
      <w:r>
        <w:rPr>
          <w:rFonts w:hint="eastAsia" w:ascii="仿宋" w:hAnsi="仿宋" w:eastAsia="仿宋" w:cs="仿宋"/>
          <w:sz w:val="32"/>
          <w:szCs w:val="32"/>
        </w:rPr>
        <w:t>，</w:t>
      </w:r>
      <w:r>
        <w:rPr>
          <w:rFonts w:hint="eastAsia" w:ascii="仿宋" w:hAnsi="仿宋" w:eastAsia="仿宋" w:cs="仿宋"/>
          <w:sz w:val="32"/>
          <w:szCs w:val="32"/>
          <w:lang w:bidi="ar"/>
        </w:rPr>
        <w:t>主要原因是：</w:t>
      </w:r>
      <w:r>
        <w:rPr>
          <w:rFonts w:hint="eastAsia" w:ascii="仿宋" w:hAnsi="仿宋" w:eastAsia="仿宋" w:cs="仿宋"/>
          <w:sz w:val="32"/>
          <w:szCs w:val="32"/>
          <w:highlight w:val="none"/>
          <w:lang w:bidi="ar"/>
        </w:rPr>
        <w:t>人员增加，缴费基数提高。</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125.47</w:t>
      </w:r>
      <w:r>
        <w:rPr>
          <w:rFonts w:hint="eastAsia" w:ascii="仿宋" w:hAnsi="仿宋" w:eastAsia="仿宋" w:cs="仿宋"/>
          <w:sz w:val="32"/>
          <w:szCs w:val="32"/>
        </w:rPr>
        <w:t>万元：主要用于：住房公积金缴费。较2022年度决算数</w:t>
      </w:r>
      <w:r>
        <w:rPr>
          <w:rFonts w:hint="eastAsia" w:ascii="仿宋" w:hAnsi="仿宋" w:eastAsia="仿宋" w:cs="仿宋"/>
          <w:sz w:val="32"/>
          <w:szCs w:val="32"/>
          <w:lang w:bidi="ar"/>
        </w:rPr>
        <w:t>增加45.47</w:t>
      </w:r>
      <w:r>
        <w:rPr>
          <w:rFonts w:hint="eastAsia" w:ascii="仿宋" w:hAnsi="仿宋" w:eastAsia="仿宋" w:cs="仿宋"/>
          <w:sz w:val="32"/>
          <w:szCs w:val="32"/>
        </w:rPr>
        <w:t>万元，</w:t>
      </w:r>
      <w:r>
        <w:rPr>
          <w:rFonts w:hint="eastAsia" w:ascii="仿宋" w:hAnsi="仿宋" w:eastAsia="仿宋" w:cs="仿宋"/>
          <w:sz w:val="32"/>
          <w:szCs w:val="32"/>
          <w:lang w:bidi="ar"/>
        </w:rPr>
        <w:t>增长56.84%</w:t>
      </w:r>
      <w:r>
        <w:rPr>
          <w:rFonts w:hint="eastAsia" w:ascii="仿宋" w:hAnsi="仿宋" w:eastAsia="仿宋" w:cs="仿宋"/>
          <w:sz w:val="32"/>
          <w:szCs w:val="32"/>
        </w:rPr>
        <w:t>，</w:t>
      </w:r>
      <w:r>
        <w:rPr>
          <w:rFonts w:hint="eastAsia" w:ascii="仿宋" w:hAnsi="仿宋" w:eastAsia="仿宋" w:cs="仿宋"/>
          <w:sz w:val="32"/>
          <w:szCs w:val="32"/>
          <w:lang w:bidi="ar"/>
        </w:rPr>
        <w:t>主要原因是：</w:t>
      </w:r>
      <w:r>
        <w:rPr>
          <w:rFonts w:hint="eastAsia" w:ascii="仿宋" w:hAnsi="仿宋" w:eastAsia="仿宋" w:cs="仿宋"/>
          <w:sz w:val="32"/>
          <w:szCs w:val="32"/>
          <w:highlight w:val="none"/>
          <w:lang w:bidi="ar"/>
        </w:rPr>
        <w:t>人员增加，缴费基数提高。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126.60</w:t>
      </w:r>
      <w:r>
        <w:rPr>
          <w:rFonts w:hint="eastAsia" w:ascii="仿宋" w:hAnsi="仿宋" w:eastAsia="仿宋" w:cs="仿宋"/>
          <w:sz w:val="32"/>
          <w:szCs w:val="32"/>
        </w:rPr>
        <w:t>万元：主要用于：奖励性补贴发放。较2022年度决算数</w:t>
      </w:r>
      <w:r>
        <w:rPr>
          <w:rFonts w:hint="eastAsia" w:ascii="仿宋" w:hAnsi="仿宋" w:eastAsia="仿宋" w:cs="仿宋"/>
          <w:sz w:val="32"/>
          <w:szCs w:val="32"/>
          <w:lang w:bidi="ar"/>
        </w:rPr>
        <w:t>减少47.66</w:t>
      </w:r>
      <w:r>
        <w:rPr>
          <w:rFonts w:hint="eastAsia" w:ascii="仿宋" w:hAnsi="仿宋" w:eastAsia="仿宋" w:cs="仿宋"/>
          <w:sz w:val="32"/>
          <w:szCs w:val="32"/>
        </w:rPr>
        <w:t>万元，</w:t>
      </w:r>
      <w:r>
        <w:rPr>
          <w:rFonts w:hint="eastAsia" w:ascii="仿宋" w:hAnsi="仿宋" w:eastAsia="仿宋" w:cs="仿宋"/>
          <w:sz w:val="32"/>
          <w:szCs w:val="32"/>
          <w:lang w:bidi="ar"/>
        </w:rPr>
        <w:t>下降27.35%</w:t>
      </w:r>
      <w:r>
        <w:rPr>
          <w:rFonts w:hint="eastAsia" w:ascii="仿宋" w:hAnsi="仿宋" w:eastAsia="仿宋" w:cs="仿宋"/>
          <w:sz w:val="32"/>
          <w:szCs w:val="32"/>
        </w:rPr>
        <w:t>，</w:t>
      </w:r>
      <w:r>
        <w:rPr>
          <w:rFonts w:hint="eastAsia" w:ascii="仿宋" w:hAnsi="仿宋" w:eastAsia="仿宋" w:cs="仿宋"/>
          <w:sz w:val="32"/>
          <w:szCs w:val="32"/>
          <w:lang w:bidi="ar"/>
        </w:rPr>
        <w:t>主要原因是：2</w:t>
      </w:r>
      <w:r>
        <w:rPr>
          <w:rFonts w:ascii="仿宋" w:hAnsi="仿宋" w:eastAsia="仿宋" w:cs="仿宋"/>
          <w:sz w:val="32"/>
          <w:szCs w:val="32"/>
          <w:lang w:bidi="ar"/>
        </w:rPr>
        <w:t>023</w:t>
      </w:r>
      <w:r>
        <w:rPr>
          <w:rFonts w:ascii="仿宋" w:hAnsi="仿宋" w:eastAsia="仿宋" w:cs="仿宋"/>
          <w:sz w:val="32"/>
          <w:szCs w:val="32"/>
          <w:highlight w:val="none"/>
          <w:lang w:bidi="ar"/>
        </w:rPr>
        <w:t>年发放的奖励性补贴减少</w:t>
      </w:r>
      <w:r>
        <w:rPr>
          <w:rFonts w:hint="eastAsia" w:ascii="仿宋" w:hAnsi="仿宋" w:eastAsia="仿宋" w:cs="仿宋"/>
          <w:sz w:val="32"/>
          <w:szCs w:val="32"/>
          <w:highlight w:val="none"/>
          <w:lang w:bidi="ar"/>
        </w:rPr>
        <w:t>。</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2</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lang w:bidi="ar"/>
        </w:rPr>
        <w:t>：没有为事业单位按规定提取的专用结余、缴纳所得税和转入非财政拨款结余款项。</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sz w:val="32"/>
          <w:szCs w:val="32"/>
          <w:lang w:bidi="ar"/>
        </w:rPr>
        <w:t>主要原因是：没有结转和结余资金。</w:t>
      </w:r>
    </w:p>
    <w:p>
      <w:pPr>
        <w:jc w:val="left"/>
        <w:rPr>
          <w:rFonts w:ascii="仿宋" w:hAnsi="仿宋" w:eastAsia="仿宋" w:cs="仿宋"/>
          <w:sz w:val="32"/>
          <w:szCs w:val="32"/>
          <w:lang w:bidi="ar"/>
        </w:rPr>
      </w:pPr>
      <w:r>
        <w:rPr>
          <w:rFonts w:hint="eastAsia" w:ascii="仿宋" w:hAnsi="仿宋" w:eastAsia="仿宋" w:cs="仿宋"/>
          <w:sz w:val="32"/>
          <w:szCs w:val="32"/>
        </w:rPr>
        <w:drawing>
          <wp:inline distT="0" distB="0" distL="114300" distR="114300">
            <wp:extent cx="5080000" cy="26790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二、2023年度</w:t>
      </w:r>
      <w:bookmarkStart w:id="0" w:name="OLE_LINK1"/>
      <w:r>
        <w:rPr>
          <w:rFonts w:hint="eastAsia" w:ascii="黑体" w:hAnsi="黑体" w:eastAsia="黑体" w:cs="黑体"/>
          <w:sz w:val="32"/>
          <w:szCs w:val="32"/>
        </w:rPr>
        <w:t>一般公共预算财政拨款支出决算情况</w:t>
      </w:r>
      <w:bookmarkEnd w:id="0"/>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环江毛南族自治县第一小学2023年度一般公共预算财政拨款支出</w:t>
      </w:r>
      <w:r>
        <w:rPr>
          <w:rFonts w:hint="eastAsia" w:ascii="仿宋" w:hAnsi="仿宋" w:eastAsia="仿宋" w:cs="仿宋"/>
          <w:sz w:val="32"/>
        </w:rPr>
        <w:t>1926.69</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583.95</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43.49</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rPr>
        <w:t>1705</w:t>
      </w:r>
      <w:r>
        <w:rPr>
          <w:rFonts w:hint="eastAsia" w:ascii="仿宋" w:hAnsi="仿宋" w:eastAsia="仿宋" w:cs="仿宋"/>
          <w:sz w:val="32"/>
          <w:szCs w:val="32"/>
        </w:rPr>
        <w:t>万元，项目支出</w:t>
      </w:r>
      <w:r>
        <w:rPr>
          <w:rFonts w:hint="eastAsia" w:ascii="仿宋" w:hAnsi="仿宋" w:eastAsia="仿宋" w:cs="仿宋"/>
          <w:sz w:val="32"/>
        </w:rPr>
        <w:t>221.69</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环江毛南族自治县第一小学2023年度一般公共预算财政拨款支出年初预算为</w:t>
      </w:r>
      <w:r>
        <w:rPr>
          <w:rFonts w:hint="eastAsia" w:ascii="仿宋" w:hAnsi="仿宋" w:eastAsia="仿宋" w:cs="仿宋"/>
          <w:sz w:val="32"/>
        </w:rPr>
        <w:t>1021.66</w:t>
      </w:r>
      <w:r>
        <w:rPr>
          <w:rFonts w:hint="eastAsia" w:ascii="仿宋" w:hAnsi="仿宋" w:eastAsia="仿宋" w:cs="仿宋"/>
          <w:sz w:val="32"/>
          <w:szCs w:val="32"/>
        </w:rPr>
        <w:t>万元，支出决算为</w:t>
      </w:r>
      <w:r>
        <w:rPr>
          <w:rFonts w:hint="eastAsia" w:ascii="仿宋" w:hAnsi="仿宋" w:eastAsia="仿宋" w:cs="仿宋"/>
          <w:sz w:val="32"/>
        </w:rPr>
        <w:t>1926.69</w:t>
      </w:r>
      <w:r>
        <w:rPr>
          <w:rFonts w:hint="eastAsia" w:ascii="仿宋" w:hAnsi="仿宋" w:eastAsia="仿宋" w:cs="仿宋"/>
          <w:sz w:val="32"/>
          <w:szCs w:val="32"/>
        </w:rPr>
        <w:t>万元，完成年初预算的</w:t>
      </w:r>
      <w:r>
        <w:rPr>
          <w:rFonts w:hint="eastAsia" w:ascii="仿宋" w:hAnsi="仿宋" w:eastAsia="仿宋" w:cs="仿宋"/>
          <w:sz w:val="32"/>
        </w:rPr>
        <w:t>188.58</w:t>
      </w:r>
      <w:r>
        <w:rPr>
          <w:rFonts w:ascii="仿宋" w:hAnsi="仿宋" w:eastAsia="仿宋" w:cs="仿宋"/>
          <w:sz w:val="32"/>
        </w:rPr>
        <w:t>%</w:t>
      </w:r>
      <w:r>
        <w:rPr>
          <w:rFonts w:hint="eastAsia" w:ascii="仿宋" w:hAnsi="仿宋" w:eastAsia="仿宋" w:cs="仿宋"/>
          <w:sz w:val="32"/>
          <w:szCs w:val="32"/>
        </w:rPr>
        <w:t>。</w:t>
      </w:r>
      <w:bookmarkStart w:id="1" w:name="OLE_LINK2"/>
      <w:bookmarkEnd w:id="1"/>
    </w:p>
    <w:p>
      <w:pPr>
        <w:ind w:firstLine="420"/>
        <w:jc w:val="left"/>
        <w:rPr>
          <w:rFonts w:ascii="仿宋" w:hAnsi="仿宋" w:eastAsia="仿宋"/>
          <w:sz w:val="32"/>
          <w:szCs w:val="32"/>
        </w:rPr>
      </w:pPr>
      <w:r>
        <w:rPr>
          <w:rFonts w:hint="eastAsia" w:eastAsia="仿宋"/>
          <w:sz w:val="32"/>
          <w:szCs w:val="32"/>
        </w:rPr>
        <w:t>（一）</w:t>
      </w: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类）年初预算为15.40万元，支出决算为15.40万元，收入支出持平。</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15.40</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15.40</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教职工工会活动</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15.40</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15.40</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353050" cy="2305050"/>
            <wp:effectExtent l="0" t="0" r="0" b="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20"/>
        <w:jc w:val="left"/>
        <w:rPr>
          <w:rFonts w:eastAsia="仿宋"/>
        </w:rPr>
      </w:pPr>
      <w:r>
        <w:rPr>
          <w:rFonts w:hint="eastAsia" w:ascii="仿宋" w:hAnsi="仿宋" w:eastAsia="仿宋"/>
          <w:sz w:val="32"/>
          <w:szCs w:val="32"/>
        </w:rPr>
        <w:t>（二）教育支出</w:t>
      </w:r>
      <w:r>
        <w:rPr>
          <w:rFonts w:ascii="仿宋" w:hAnsi="仿宋" w:eastAsia="仿宋"/>
          <w:sz w:val="32"/>
        </w:rPr>
        <w:t>（205</w:t>
      </w:r>
      <w:r>
        <w:rPr>
          <w:rFonts w:hint="eastAsia" w:ascii="仿宋" w:hAnsi="仿宋" w:eastAsia="仿宋"/>
          <w:sz w:val="32"/>
          <w:szCs w:val="32"/>
        </w:rPr>
        <w:t>类）年初预算为835.37万元，支出决算为1491.92万元，完成年初预算的178.59</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部分资金每年上级部门已做预算直接下达，本部门无需做预算、</w:t>
      </w:r>
      <w:r>
        <w:rPr>
          <w:rFonts w:hint="eastAsia" w:ascii="仿宋" w:hAnsi="仿宋" w:eastAsia="仿宋"/>
          <w:sz w:val="32"/>
          <w:szCs w:val="32"/>
        </w:rPr>
        <w:t>教师学生人数都有增加。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976" w:type="dxa"/>
        <w:tblInd w:w="96" w:type="dxa"/>
        <w:tblLayout w:type="fixed"/>
        <w:tblCellMar>
          <w:top w:w="0" w:type="dxa"/>
          <w:left w:w="108" w:type="dxa"/>
          <w:bottom w:w="0" w:type="dxa"/>
          <w:right w:w="108" w:type="dxa"/>
        </w:tblCellMar>
      </w:tblPr>
      <w:tblGrid>
        <w:gridCol w:w="955"/>
        <w:gridCol w:w="1217"/>
        <w:gridCol w:w="993"/>
        <w:gridCol w:w="987"/>
        <w:gridCol w:w="1142"/>
        <w:gridCol w:w="1556"/>
        <w:gridCol w:w="2126"/>
      </w:tblGrid>
      <w:tr>
        <w:tblPrEx>
          <w:tblCellMar>
            <w:top w:w="0" w:type="dxa"/>
            <w:left w:w="108" w:type="dxa"/>
            <w:bottom w:w="0" w:type="dxa"/>
            <w:right w:w="108" w:type="dxa"/>
          </w:tblCellMar>
        </w:tblPrEx>
        <w:trPr>
          <w:trHeight w:val="68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2.53</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r>
              <w:rPr>
                <w:rFonts w:hint="eastAsia" w:ascii="宋体" w:hAnsi="宋体" w:eastAsia="宋体" w:cs="宋体"/>
                <w:sz w:val="18"/>
                <w:szCs w:val="18"/>
              </w:rPr>
              <w:t>学校日常办公经费</w:t>
            </w: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r>
              <w:rPr>
                <w:rFonts w:hint="eastAsia" w:ascii="宋体" w:hAnsi="宋体" w:eastAsia="宋体" w:cs="宋体"/>
                <w:sz w:val="18"/>
                <w:szCs w:val="18"/>
              </w:rPr>
              <w:t>此</w:t>
            </w:r>
            <w:r>
              <w:rPr>
                <w:rFonts w:hint="eastAsia" w:ascii="仿宋" w:hAnsi="仿宋" w:eastAsia="仿宋" w:cs="宋体"/>
                <w:sz w:val="18"/>
                <w:szCs w:val="18"/>
              </w:rPr>
              <w:t>项</w:t>
            </w:r>
            <w:r>
              <w:rPr>
                <w:rFonts w:hint="eastAsia" w:ascii="宋体" w:hAnsi="宋体" w:eastAsia="宋体" w:cs="宋体"/>
                <w:sz w:val="18"/>
                <w:szCs w:val="18"/>
              </w:rPr>
              <w:t>资金每年上级部门已做预算直接下达，本部门无需做预算</w:t>
            </w:r>
            <w:r>
              <w:rPr>
                <w:rFonts w:hint="eastAsia" w:ascii="宋体" w:hAnsi="宋体" w:eastAsia="宋体" w:cs="宋体"/>
                <w:sz w:val="18"/>
                <w:szCs w:val="18"/>
                <w:highlight w:val="none"/>
              </w:rPr>
              <w:t>。</w:t>
            </w:r>
          </w:p>
        </w:tc>
      </w:tr>
      <w:tr>
        <w:tblPrEx>
          <w:tblCellMar>
            <w:top w:w="0" w:type="dxa"/>
            <w:left w:w="108" w:type="dxa"/>
            <w:bottom w:w="0" w:type="dxa"/>
            <w:right w:w="108" w:type="dxa"/>
          </w:tblCellMar>
        </w:tblPrEx>
        <w:trPr>
          <w:trHeight w:val="142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2050202</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小学教育</w:t>
            </w: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782.09</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1463.79</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187.16%</w:t>
            </w: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主要用于人员基本工资，商品服务支出</w:t>
            </w: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left"/>
              <w:rPr>
                <w:rFonts w:eastAsia="仿宋"/>
                <w:sz w:val="18"/>
                <w:szCs w:val="18"/>
              </w:rPr>
            </w:pPr>
            <w:r>
              <w:rPr>
                <w:rFonts w:hint="eastAsia" w:ascii="仿宋" w:hAnsi="仿宋" w:eastAsia="仿宋" w:cs="仿宋"/>
                <w:sz w:val="18"/>
                <w:szCs w:val="18"/>
              </w:rPr>
              <w:t>部分资金每年上级部门已做预算直接下达，本部门无需做预算、</w:t>
            </w:r>
            <w:r>
              <w:rPr>
                <w:rFonts w:hint="eastAsia" w:ascii="仿宋" w:hAnsi="仿宋" w:eastAsia="仿宋"/>
                <w:sz w:val="18"/>
                <w:szCs w:val="18"/>
              </w:rPr>
              <w:t>教师学生人数都有增加。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2050299</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其他普通教育支出</w:t>
            </w: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24.74</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学校日常办公、水电费、网络费、日常维修、教师培训出差等</w:t>
            </w: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年中经费结算调整预算科目金额。</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2050701</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特殊学校教育</w:t>
            </w: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0.86</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ascii="宋体" w:hAnsi="宋体" w:eastAsia="宋体" w:cs="宋体"/>
                <w:sz w:val="18"/>
                <w:szCs w:val="18"/>
                <w:highlight w:val="none"/>
              </w:rPr>
            </w:pPr>
            <w:r>
              <w:rPr>
                <w:rFonts w:hint="eastAsia" w:ascii="宋体" w:hAnsi="宋体" w:eastAsia="宋体" w:cs="宋体"/>
                <w:sz w:val="18"/>
                <w:szCs w:val="18"/>
                <w:highlight w:val="none"/>
              </w:rPr>
              <w:t>学校日常办公、水电费、网络费、日常维修、教师培训出差等</w:t>
            </w: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none"/>
              </w:rPr>
            </w:pPr>
            <w:r>
              <w:rPr>
                <w:rFonts w:hint="eastAsia" w:ascii="宋体" w:hAnsi="宋体" w:eastAsia="宋体" w:cs="宋体"/>
                <w:sz w:val="18"/>
                <w:szCs w:val="18"/>
                <w:highlight w:val="none"/>
              </w:rPr>
              <w:t>此</w:t>
            </w:r>
            <w:r>
              <w:rPr>
                <w:rFonts w:hint="eastAsia" w:ascii="仿宋" w:hAnsi="仿宋" w:eastAsia="仿宋" w:cs="宋体"/>
                <w:sz w:val="18"/>
                <w:szCs w:val="18"/>
                <w:highlight w:val="none"/>
              </w:rPr>
              <w:t>项</w:t>
            </w:r>
            <w:r>
              <w:rPr>
                <w:rFonts w:hint="eastAsia" w:ascii="宋体" w:hAnsi="宋体" w:eastAsia="宋体" w:cs="宋体"/>
                <w:sz w:val="18"/>
                <w:szCs w:val="18"/>
                <w:highlight w:val="none"/>
              </w:rPr>
              <w:t>资金每年上级部门已做预算直接下达，本部门无需做预算。</w:t>
            </w:r>
          </w:p>
        </w:tc>
      </w:tr>
      <w:tr>
        <w:tblPrEx>
          <w:tblCellMar>
            <w:top w:w="0" w:type="dxa"/>
            <w:left w:w="108" w:type="dxa"/>
            <w:bottom w:w="0" w:type="dxa"/>
            <w:right w:w="108" w:type="dxa"/>
          </w:tblCellMar>
        </w:tblPrEx>
        <w:trPr>
          <w:trHeight w:val="726"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2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835.37</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1491.92</w:t>
            </w:r>
          </w:p>
        </w:tc>
        <w:tc>
          <w:tcPr>
            <w:tcW w:w="11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178.59%</w:t>
            </w: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212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636260" cy="2646680"/>
            <wp:effectExtent l="4445" t="4445" r="13335" b="1587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420"/>
        <w:jc w:val="left"/>
        <w:rPr>
          <w:rFonts w:eastAsia="仿宋"/>
        </w:rPr>
      </w:pPr>
      <w:r>
        <w:rPr>
          <w:rFonts w:hint="eastAsia" w:eastAsia="仿宋"/>
          <w:sz w:val="32"/>
          <w:szCs w:val="32"/>
        </w:rPr>
        <w:t>（三）</w:t>
      </w: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类）年初预算为128.27万元，支出决算为167.30万元，完成年初预算的130.43</w:t>
      </w:r>
      <w:r>
        <w:rPr>
          <w:rFonts w:ascii="仿宋" w:hAnsi="仿宋" w:eastAsia="仿宋"/>
          <w:sz w:val="32"/>
          <w:szCs w:val="32"/>
        </w:rPr>
        <w:t>%</w:t>
      </w:r>
      <w:r>
        <w:rPr>
          <w:rFonts w:hint="eastAsia" w:ascii="仿宋" w:hAnsi="仿宋" w:eastAsia="仿宋"/>
          <w:sz w:val="32"/>
          <w:szCs w:val="32"/>
        </w:rPr>
        <w:t>。预决算存有差异原因是：2023年度</w:t>
      </w:r>
      <w:r>
        <w:rPr>
          <w:rFonts w:hint="eastAsia" w:ascii="仿宋" w:hAnsi="仿宋" w:eastAsia="仿宋" w:cs="仿宋"/>
          <w:sz w:val="32"/>
          <w:szCs w:val="32"/>
        </w:rPr>
        <w:t>教师人数增加</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128.27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167.30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130.43%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w:t>
            </w:r>
            <w:r>
              <w:rPr>
                <w:rFonts w:hint="eastAsia" w:ascii="宋体" w:hAnsi="宋体" w:eastAsia="宋体" w:cs="宋体"/>
                <w:sz w:val="20"/>
                <w:szCs w:val="20"/>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人员增加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128.27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167.30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130.43%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407025" cy="2314575"/>
            <wp:effectExtent l="5080" t="4445" r="17145" b="50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420"/>
        <w:jc w:val="left"/>
        <w:rPr>
          <w:rFonts w:eastAsia="仿宋"/>
        </w:rPr>
      </w:pPr>
      <w:r>
        <w:rPr>
          <w:rFonts w:hint="eastAsia" w:ascii="仿宋" w:hAnsi="仿宋" w:eastAsia="仿宋" w:cs="仿宋"/>
          <w:sz w:val="32"/>
          <w:szCs w:val="32"/>
        </w:rPr>
        <w:t xml:space="preserve">   （四）</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类）年初预算为96.2万元，支出决算为125.47万元，完成年初预算的130.43</w:t>
      </w:r>
      <w:r>
        <w:rPr>
          <w:rFonts w:ascii="仿宋" w:hAnsi="仿宋" w:eastAsia="仿宋"/>
          <w:sz w:val="32"/>
          <w:szCs w:val="32"/>
        </w:rPr>
        <w:t>%</w:t>
      </w:r>
      <w:r>
        <w:rPr>
          <w:rFonts w:hint="eastAsia" w:ascii="仿宋" w:hAnsi="仿宋" w:eastAsia="仿宋"/>
          <w:sz w:val="32"/>
          <w:szCs w:val="32"/>
        </w:rPr>
        <w:t>。预决算存有差异原因是：2023年度教师人数增加。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125.47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130.43%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Times New Roman" w:hAnsi="Times New Roman" w:eastAsia="仿宋_GB2312" w:cs="Times New Roman"/>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sz w:val="18"/>
                <w:szCs w:val="18"/>
              </w:rPr>
              <w:t>人员增加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125.47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125.47%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093335" cy="2516505"/>
            <wp:effectExtent l="4445" t="4445" r="762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420"/>
        <w:jc w:val="left"/>
        <w:rPr>
          <w:rFonts w:eastAsia="仿宋"/>
        </w:rPr>
      </w:pPr>
      <w:r>
        <w:rPr>
          <w:rFonts w:hint="eastAsia" w:eastAsia="仿宋"/>
          <w:sz w:val="32"/>
          <w:szCs w:val="32"/>
        </w:rPr>
        <w:t>（五）</w:t>
      </w: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万元，支出决算为126.60万元。预决算存有差异原因是：</w:t>
      </w:r>
      <w:r>
        <w:rPr>
          <w:rFonts w:hint="eastAsia" w:ascii="仿宋" w:hAnsi="仿宋" w:eastAsia="仿宋" w:cs="仿宋"/>
          <w:sz w:val="32"/>
          <w:szCs w:val="32"/>
        </w:rPr>
        <w:t>此部分资金每年上级部门已做预算直接下达，本部门无需做预算</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500"/>
        <w:gridCol w:w="2108"/>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5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21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126.60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p>
        </w:tc>
        <w:tc>
          <w:tcPr>
            <w:tcW w:w="15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5"/>
                <w:szCs w:val="15"/>
              </w:rPr>
            </w:pPr>
            <w:r>
              <w:rPr>
                <w:rFonts w:hint="eastAsia" w:ascii="宋体" w:hAnsi="宋体" w:eastAsia="宋体" w:cs="宋体"/>
                <w:sz w:val="15"/>
                <w:szCs w:val="15"/>
              </w:rPr>
              <w:t>奖励性补贴发放</w:t>
            </w:r>
          </w:p>
        </w:tc>
        <w:tc>
          <w:tcPr>
            <w:tcW w:w="21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5"/>
                <w:szCs w:val="15"/>
              </w:rPr>
            </w:pPr>
            <w:r>
              <w:rPr>
                <w:rFonts w:hint="eastAsia" w:ascii="宋体" w:hAnsi="宋体" w:eastAsia="宋体" w:cs="宋体"/>
                <w:sz w:val="18"/>
                <w:szCs w:val="18"/>
              </w:rPr>
              <w:t>此</w:t>
            </w:r>
            <w:r>
              <w:rPr>
                <w:rFonts w:hint="eastAsia" w:ascii="仿宋" w:hAnsi="仿宋" w:eastAsia="仿宋" w:cs="宋体"/>
                <w:sz w:val="18"/>
                <w:szCs w:val="18"/>
              </w:rPr>
              <w:t>项</w:t>
            </w:r>
            <w:r>
              <w:rPr>
                <w:rFonts w:hint="eastAsia" w:ascii="宋体" w:hAnsi="宋体" w:eastAsia="宋体" w:cs="宋体"/>
                <w:sz w:val="18"/>
                <w:szCs w:val="18"/>
              </w:rPr>
              <w:t>资金每年上级部门已做预算直接下达，本部门无需做预算。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126.60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highlight w:val="yellow"/>
              </w:rPr>
            </w:pPr>
          </w:p>
        </w:tc>
        <w:tc>
          <w:tcPr>
            <w:tcW w:w="15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21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188585" cy="2249805"/>
            <wp:effectExtent l="4445" t="4445" r="19050" b="1651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环江毛南族自治县第一小学2023年度一般公共预算财政拨款基本支出</w:t>
      </w:r>
      <w:r>
        <w:rPr>
          <w:rFonts w:hint="eastAsia" w:ascii="仿宋" w:hAnsi="仿宋" w:eastAsia="仿宋" w:cs="仿宋"/>
          <w:color w:val="auto"/>
          <w:sz w:val="32"/>
        </w:rPr>
        <w:t>1705.00万元</w:t>
      </w:r>
      <w:r>
        <w:rPr>
          <w:rFonts w:hint="eastAsia" w:ascii="仿宋" w:hAnsi="仿宋" w:eastAsia="仿宋" w:cs="仿宋"/>
          <w:color w:val="auto"/>
          <w:sz w:val="32"/>
          <w:szCs w:val="32"/>
        </w:rPr>
        <w:t>，</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1689.60</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15.4</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1"/>
        </w:numPr>
        <w:jc w:val="left"/>
        <w:rPr>
          <w:rFonts w:ascii="仿宋" w:hAnsi="仿宋" w:eastAsia="仿宋" w:cs="仿宋"/>
          <w:sz w:val="32"/>
          <w:szCs w:val="32"/>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rPr>
        <w:t>1613.74</w:t>
      </w:r>
      <w:r>
        <w:rPr>
          <w:rFonts w:ascii="仿宋" w:hAnsi="仿宋" w:eastAsia="仿宋" w:cs="仿宋"/>
          <w:sz w:val="32"/>
          <w:highlight w:val="none"/>
        </w:rPr>
        <w:t>万元，</w:t>
      </w:r>
      <w:r>
        <w:rPr>
          <w:rFonts w:hint="eastAsia" w:ascii="仿宋" w:hAnsi="仿宋" w:eastAsia="仿宋" w:cs="仿宋"/>
          <w:sz w:val="32"/>
          <w:highlight w:val="none"/>
          <w:lang w:val="en-US" w:eastAsia="zh-CN"/>
        </w:rPr>
        <w:t>年初预算957.03万元，</w:t>
      </w:r>
      <w:r>
        <w:rPr>
          <w:rFonts w:ascii="仿宋_GB2312" w:hAnsi="微软雅黑" w:eastAsia="仿宋_GB2312" w:cs="仿宋_GB2312"/>
          <w:sz w:val="31"/>
          <w:szCs w:val="31"/>
          <w:highlight w:val="none"/>
          <w:shd w:val="clear" w:color="auto" w:fill="FFFFFF"/>
        </w:rPr>
        <w:t>完成年初预算的</w:t>
      </w:r>
      <w:r>
        <w:rPr>
          <w:rFonts w:hint="eastAsia" w:ascii="仿宋" w:hAnsi="仿宋" w:eastAsia="仿宋" w:cs="仿宋"/>
          <w:sz w:val="32"/>
          <w:szCs w:val="32"/>
          <w:highlight w:val="none"/>
        </w:rPr>
        <w:t>168.62%</w:t>
      </w:r>
      <w:r>
        <w:rPr>
          <w:rFonts w:ascii="仿宋_GB2312" w:hAnsi="微软雅黑" w:eastAsia="仿宋_GB2312" w:cs="仿宋_GB2312"/>
          <w:sz w:val="31"/>
          <w:szCs w:val="31"/>
          <w:highlight w:val="none"/>
          <w:shd w:val="clear" w:color="auto" w:fill="FFFFFF"/>
        </w:rPr>
        <w:t>，</w:t>
      </w:r>
      <w:r>
        <w:rPr>
          <w:rFonts w:hint="eastAsia" w:ascii="仿宋" w:hAnsi="仿宋" w:eastAsia="仿宋" w:cs="仿宋"/>
          <w:color w:val="auto"/>
          <w:sz w:val="32"/>
          <w:szCs w:val="32"/>
          <w:highlight w:val="none"/>
          <w:lang w:bidi="ar"/>
        </w:rPr>
        <w:t>主要原因是：人员增加，教师工工</w:t>
      </w:r>
      <w:r>
        <w:rPr>
          <w:rFonts w:hint="eastAsia" w:ascii="仿宋" w:hAnsi="仿宋" w:eastAsia="仿宋" w:cs="仿宋"/>
          <w:sz w:val="32"/>
          <w:szCs w:val="32"/>
          <w:lang w:bidi="ar"/>
        </w:rPr>
        <w:t>资福利提高。</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sz w:val="32"/>
          <w:szCs w:val="32"/>
        </w:rPr>
        <w:t>支出具体情况如下</w:t>
      </w:r>
      <w:r>
        <w:rPr>
          <w:rFonts w:hint="eastAsia" w:ascii="仿宋" w:hAnsi="仿宋" w:eastAsia="仿宋" w:cs="仿宋"/>
          <w:sz w:val="32"/>
          <w:szCs w:val="32"/>
        </w:rPr>
        <w:t>：30101基本工资512.68万元，30102津贴补贴54.25万元，30103奖金434.67万元，30107绩效工资243.78万元，30108机关事业单位基本养老保险缴费167.30万元，30110职工基本医疗保险缴费67.36万元，30111公务员医疗补助缴费0万元，30112其他社会保障缴费8.24万元，30113住房公积金125.47万元</w:t>
      </w:r>
      <w:r>
        <w:rPr>
          <w:rFonts w:hint="eastAsia" w:ascii="仿宋" w:hAnsi="仿宋" w:eastAsia="仿宋" w:cs="仿宋"/>
          <w:sz w:val="32"/>
          <w:szCs w:val="32"/>
          <w:lang w:eastAsia="zh-CN"/>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323205" cy="2996565"/>
            <wp:effectExtent l="4445" t="4445" r="635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1"/>
        </w:numPr>
        <w:jc w:val="center"/>
        <w:rPr>
          <w:rFonts w:ascii="仿宋" w:hAnsi="仿宋" w:eastAsia="仿宋" w:cs="仿宋"/>
          <w:sz w:val="32"/>
          <w:szCs w:val="32"/>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rPr>
        <w:t>15.40</w:t>
      </w:r>
      <w:r>
        <w:rPr>
          <w:rFonts w:ascii="仿宋" w:hAnsi="仿宋" w:eastAsia="仿宋" w:cs="仿宋"/>
          <w:sz w:val="32"/>
          <w:highlight w:val="none"/>
        </w:rPr>
        <w:t>万元，</w:t>
      </w:r>
      <w:r>
        <w:rPr>
          <w:rFonts w:hint="eastAsia" w:ascii="仿宋" w:hAnsi="仿宋" w:eastAsia="仿宋" w:cs="仿宋"/>
          <w:sz w:val="32"/>
          <w:highlight w:val="none"/>
          <w:lang w:val="en-US" w:eastAsia="zh-CN"/>
        </w:rPr>
        <w:t>完成年初预算的100%，预决算无差异。具体支出如下：30228工会经费15.40万元</w:t>
      </w:r>
      <w:r>
        <w:rPr>
          <w:rFonts w:hint="eastAsia" w:ascii="仿宋" w:hAnsi="仿宋" w:eastAsia="仿宋" w:cs="仿宋"/>
          <w:sz w:val="32"/>
          <w:szCs w:val="32"/>
        </w:rPr>
        <w:drawing>
          <wp:inline distT="0" distB="0" distL="114300" distR="114300">
            <wp:extent cx="5140960" cy="3178175"/>
            <wp:effectExtent l="4445" t="4445" r="1714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对个人和家庭的补助75.86万元</w:t>
      </w:r>
      <w:r>
        <w:rPr>
          <w:rFonts w:hint="eastAsia" w:ascii="仿宋" w:hAnsi="仿宋" w:eastAsia="仿宋" w:cs="仿宋"/>
          <w:color w:val="auto"/>
          <w:sz w:val="32"/>
          <w:szCs w:val="32"/>
          <w:lang w:eastAsia="zh-CN"/>
        </w:rPr>
        <w:t>，</w:t>
      </w:r>
      <w:r>
        <w:rPr>
          <w:rFonts w:hint="eastAsia" w:ascii="仿宋" w:hAnsi="仿宋" w:eastAsia="仿宋" w:cs="宋体"/>
          <w:color w:val="auto"/>
          <w:sz w:val="32"/>
          <w:szCs w:val="32"/>
          <w:lang w:val="en-US" w:eastAsia="zh-CN"/>
        </w:rPr>
        <w:t>完成年初预算154.09%。预决算存有差异原因是：年退有人员退休。具体支出如下：</w:t>
      </w:r>
      <w:r>
        <w:rPr>
          <w:rFonts w:hint="eastAsia" w:ascii="仿宋" w:hAnsi="仿宋" w:eastAsia="仿宋" w:cs="仿宋"/>
          <w:color w:val="auto"/>
          <w:sz w:val="32"/>
          <w:szCs w:val="32"/>
        </w:rPr>
        <w:t>30305生活补助75.79万元，30399其他对个人和家庭补助0.07万元。</w:t>
      </w:r>
      <w:r>
        <w:rPr>
          <w:rFonts w:hint="eastAsia" w:ascii="仿宋" w:hAnsi="仿宋" w:eastAsia="仿宋" w:cs="仿宋"/>
          <w:sz w:val="32"/>
          <w:szCs w:val="32"/>
        </w:rPr>
        <w:drawing>
          <wp:inline distT="0" distB="0" distL="114300" distR="114300">
            <wp:extent cx="5130800" cy="3291205"/>
            <wp:effectExtent l="4445" t="4445" r="8255" b="1905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1"/>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rPr>
        <w:t>无</w:t>
      </w:r>
      <w:r>
        <w:rPr>
          <w:rFonts w:hint="eastAsia" w:ascii="仿宋" w:hAnsi="仿宋" w:eastAsia="仿宋" w:cs="仿宋"/>
          <w:sz w:val="32"/>
          <w:szCs w:val="32"/>
        </w:rPr>
        <w:t>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1"/>
        </w:numPr>
        <w:jc w:val="left"/>
        <w:rPr>
          <w:rFonts w:ascii="仿宋" w:hAnsi="仿宋" w:eastAsia="仿宋" w:cs="仿宋"/>
          <w:sz w:val="32"/>
          <w:szCs w:val="32"/>
        </w:rPr>
      </w:pPr>
      <w:r>
        <w:rPr>
          <w:rFonts w:hint="eastAsia" w:ascii="仿宋" w:hAnsi="仿宋" w:eastAsia="仿宋" w:cs="仿宋"/>
          <w:sz w:val="32"/>
          <w:szCs w:val="32"/>
        </w:rPr>
        <w:t>资本性支出</w:t>
      </w:r>
      <w:r>
        <w:rPr>
          <w:rFonts w:hint="eastAsia" w:ascii="仿宋" w:hAnsi="仿宋" w:eastAsia="仿宋" w:cs="仿宋"/>
          <w:sz w:val="32"/>
        </w:rPr>
        <w:t>0</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rPr>
        <w:t>无</w:t>
      </w:r>
      <w:r>
        <w:rPr>
          <w:rFonts w:hint="eastAsia" w:ascii="仿宋" w:hAnsi="仿宋" w:eastAsia="仿宋" w:cs="仿宋"/>
          <w:sz w:val="32"/>
          <w:szCs w:val="32"/>
        </w:rPr>
        <w:t>预决算差异。</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（六）其他支出</w:t>
      </w:r>
      <w:r>
        <w:rPr>
          <w:rFonts w:hint="eastAsia" w:ascii="仿宋" w:hAnsi="仿宋" w:eastAsia="仿宋" w:cs="仿宋"/>
          <w:sz w:val="32"/>
        </w:rPr>
        <w:t>126.60</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_GB2312" w:hAnsi="微软雅黑" w:eastAsia="仿宋_GB2312" w:cs="仿宋_GB2312"/>
          <w:sz w:val="31"/>
          <w:szCs w:val="31"/>
          <w:shd w:val="clear" w:color="auto" w:fill="FFFFFF"/>
        </w:rPr>
        <w:t>10</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sz w:val="32"/>
          <w:szCs w:val="32"/>
        </w:rPr>
        <w:t>支出具体情况如下</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387975" cy="2855595"/>
            <wp:effectExtent l="4445" t="4445" r="17780" b="508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环江毛南族自治县第一小学2023年度政府性基金支出</w:t>
      </w:r>
      <w:r>
        <w:rPr>
          <w:rFonts w:ascii="仿宋" w:hAnsi="仿宋" w:eastAsia="仿宋" w:cs="仿宋"/>
          <w:sz w:val="32"/>
          <w:szCs w:val="32"/>
        </w:rPr>
        <w:t>0.00</w:t>
      </w:r>
      <w:r>
        <w:rPr>
          <w:rFonts w:hint="eastAsia" w:ascii="仿宋" w:hAnsi="仿宋" w:eastAsia="仿宋" w:cs="仿宋"/>
          <w:sz w:val="32"/>
          <w:szCs w:val="32"/>
        </w:rPr>
        <w:t>万元，较2022年度决算数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环江毛南族自治县第一小学</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环江毛南族自治县第一小学2023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2" w:name="PO_part3A5B1C1DiffReason1"/>
      <w:r>
        <w:rPr>
          <w:rFonts w:hint="eastAsia" w:ascii="仿宋_GB2312" w:hAnsi="Times New Roman" w:eastAsia="仿宋_GB2312" w:cs="Times New Roman"/>
          <w:sz w:val="32"/>
          <w:szCs w:val="32"/>
        </w:rPr>
        <w:t>环江毛南族自治县第一小学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。安排的支出，故本段落无表述。</w:t>
      </w:r>
      <w:bookmarkEnd w:id="2"/>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主要原因是：学校没有“三公”经费。</w:t>
      </w:r>
      <w:r>
        <w:rPr>
          <w:rFonts w:hint="eastAsia" w:ascii="仿宋" w:hAnsi="仿宋" w:eastAsia="仿宋" w:cs="仿宋"/>
          <w:sz w:val="32"/>
          <w:szCs w:val="32"/>
        </w:rPr>
        <w:t>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numPr>
          <w:ilvl w:val="0"/>
          <w:numId w:val="2"/>
        </w:numPr>
        <w:ind w:firstLine="640" w:firstLineChars="200"/>
        <w:jc w:val="left"/>
        <w:rPr>
          <w:rFonts w:ascii="仿宋" w:hAnsi="仿宋" w:eastAsia="仿宋" w:cs="仿宋"/>
          <w:sz w:val="32"/>
          <w:szCs w:val="32"/>
        </w:rPr>
      </w:pPr>
      <w:r>
        <w:rPr>
          <w:rFonts w:hint="eastAsia" w:ascii="仿宋" w:hAnsi="仿宋" w:eastAsia="仿宋" w:cs="仿宋"/>
          <w:sz w:val="32"/>
          <w:szCs w:val="32"/>
        </w:rPr>
        <w:t>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w:t>
      </w:r>
      <w:r>
        <w:rPr>
          <w:rFonts w:hint="eastAsia" w:ascii="仿宋" w:hAnsi="仿宋" w:eastAsia="仿宋" w:cs="仿宋"/>
          <w:sz w:val="32"/>
          <w:szCs w:val="32"/>
          <w:lang w:bidi="ar"/>
        </w:rPr>
        <w:t>学校没有“三公”经费</w:t>
      </w:r>
      <w:r>
        <w:rPr>
          <w:rFonts w:hint="eastAsia" w:ascii="仿宋_GB2312" w:hAnsi="Times New Roman" w:eastAsia="仿宋_GB2312" w:cs="Times New Roman"/>
          <w:sz w:val="32"/>
          <w:szCs w:val="32"/>
        </w:rPr>
        <w:t>。全年使用财政拨款安排</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（局、办、镇）机关、</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个所属单位出国团组</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个，参加其他单位组织的出国团组</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w:t>
      </w:r>
      <w:bookmarkStart w:id="3" w:name="PO_part3A6B2IncReason1"/>
      <w:r>
        <w:rPr>
          <w:rFonts w:hint="eastAsia" w:ascii="仿宋" w:hAnsi="仿宋" w:eastAsia="仿宋" w:cs="仿宋"/>
          <w:sz w:val="32"/>
          <w:szCs w:val="32"/>
        </w:rPr>
        <w:t>：本部门无公务用车购置</w:t>
      </w:r>
      <w:bookmarkEnd w:id="3"/>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万元。主要原因是：本单位无公务用车。2023年，</w:t>
      </w:r>
      <w:r>
        <w:rPr>
          <w:rFonts w:hint="eastAsia" w:ascii="仿宋" w:hAnsi="仿宋" w:eastAsia="仿宋" w:cs="仿宋"/>
          <w:sz w:val="32"/>
        </w:rPr>
        <w:t>环江毛南族自治县</w:t>
      </w:r>
      <w:r>
        <w:rPr>
          <w:rFonts w:ascii="仿宋" w:hAnsi="仿宋" w:eastAsia="仿宋" w:cs="仿宋"/>
          <w:sz w:val="32"/>
        </w:rPr>
        <w:t>第</w:t>
      </w:r>
      <w:r>
        <w:rPr>
          <w:rFonts w:hint="eastAsia" w:ascii="仿宋" w:hAnsi="仿宋" w:eastAsia="仿宋" w:cs="仿宋"/>
          <w:sz w:val="32"/>
        </w:rPr>
        <w:t>一</w:t>
      </w:r>
      <w:r>
        <w:rPr>
          <w:rFonts w:ascii="仿宋" w:hAnsi="仿宋" w:eastAsia="仿宋" w:cs="仿宋"/>
          <w:sz w:val="32"/>
        </w:rPr>
        <w:t>小学</w:t>
      </w:r>
      <w:r>
        <w:rPr>
          <w:rFonts w:hint="eastAsia" w:ascii="仿宋" w:hAnsi="仿宋" w:eastAsia="仿宋" w:cs="仿宋"/>
          <w:sz w:val="32"/>
          <w:szCs w:val="32"/>
        </w:rPr>
        <w:t>及</w:t>
      </w:r>
      <w:r>
        <w:rPr>
          <w:rFonts w:hint="eastAsia" w:ascii="仿宋" w:hAnsi="仿宋" w:eastAsia="仿宋" w:cs="仿宋"/>
          <w:sz w:val="32"/>
          <w:szCs w:val="32"/>
          <w:u w:val="single"/>
        </w:rPr>
        <w:t xml:space="preserve">  0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万元，平均每辆0.00万元。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本单位2023年度机关运行经费支出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0.00万元，</w:t>
      </w:r>
      <w:r>
        <w:rPr>
          <w:rFonts w:ascii="仿宋" w:hAnsi="仿宋" w:eastAsia="仿宋" w:cs="仿宋"/>
          <w:sz w:val="32"/>
          <w:szCs w:val="32"/>
        </w:rPr>
        <w:t>下降100%</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w:t>
      </w:r>
      <w:r>
        <w:rPr>
          <w:rFonts w:hint="eastAsia" w:ascii="仿宋" w:hAnsi="仿宋" w:eastAsia="仿宋" w:cs="仿宋"/>
          <w:sz w:val="32"/>
          <w:szCs w:val="32"/>
          <w:lang w:bidi="ar"/>
        </w:rPr>
        <w:t>学校没有机关运行经费。</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黑体" w:hAnsi="黑体" w:eastAsia="黑体" w:cs="黑体"/>
          <w:sz w:val="32"/>
          <w:szCs w:val="32"/>
        </w:rPr>
      </w:pP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autoSpaceDE w:val="0"/>
        <w:autoSpaceDN w:val="0"/>
        <w:adjustRightInd w:val="0"/>
        <w:spacing w:line="560" w:lineRule="exact"/>
        <w:ind w:firstLine="640" w:firstLineChars="200"/>
        <w:rPr>
          <w:rFonts w:ascii="仿宋_GB2312" w:eastAsia="仿宋_GB2312" w:cs="仿宋_GB2312"/>
          <w:kern w:val="0"/>
          <w:sz w:val="32"/>
          <w:szCs w:val="32"/>
          <w:lang w:bidi="ar"/>
        </w:rPr>
      </w:pPr>
      <w:r>
        <w:rPr>
          <w:rFonts w:ascii="仿宋_GB2312" w:hAnsi="Times New Roman" w:eastAsia="仿宋_GB2312" w:cs="仿宋_GB2312"/>
          <w:kern w:val="0"/>
          <w:sz w:val="32"/>
          <w:szCs w:val="32"/>
          <w:lang w:bidi="ar"/>
        </w:rPr>
        <w:t>1.</w:t>
      </w:r>
      <w:r>
        <w:rPr>
          <w:rFonts w:hint="eastAsia" w:ascii="仿宋_GB2312" w:hAnsi="Times New Roman" w:eastAsia="仿宋_GB2312" w:cs="仿宋_GB2312"/>
          <w:kern w:val="0"/>
          <w:sz w:val="32"/>
          <w:szCs w:val="32"/>
          <w:lang w:bidi="ar"/>
        </w:rPr>
        <w:t>整体支出绩效自评结果。</w:t>
      </w:r>
    </w:p>
    <w:p>
      <w:pPr>
        <w:tabs>
          <w:tab w:val="left" w:pos="0"/>
        </w:tabs>
        <w:autoSpaceDE w:val="0"/>
        <w:autoSpaceDN w:val="0"/>
        <w:adjustRightInd w:val="0"/>
        <w:spacing w:line="560" w:lineRule="exact"/>
        <w:ind w:firstLine="480" w:firstLineChars="150"/>
        <w:rPr>
          <w:rFonts w:ascii="仿宋_GB2312" w:eastAsia="仿宋" w:cs="仿宋_GB2312"/>
          <w:kern w:val="0"/>
          <w:sz w:val="32"/>
          <w:szCs w:val="32"/>
          <w:lang w:bidi="ar"/>
        </w:rPr>
      </w:pPr>
      <w:r>
        <w:rPr>
          <w:rFonts w:hint="eastAsia" w:ascii="仿宋_GB2312" w:hAnsi="Times New Roman" w:eastAsia="仿宋_GB2312" w:cs="仿宋_GB2312"/>
          <w:kern w:val="0"/>
          <w:sz w:val="32"/>
          <w:szCs w:val="32"/>
          <w:lang w:bidi="ar"/>
        </w:rPr>
        <w:t>项目绩效自评总体情况：我部门2023年度项目共</w:t>
      </w:r>
      <w:r>
        <w:rPr>
          <w:rFonts w:hint="eastAsia" w:ascii="仿宋_GB2312" w:eastAsia="仿宋_GB2312" w:cs="仿宋_GB2312"/>
          <w:kern w:val="0"/>
          <w:sz w:val="32"/>
          <w:szCs w:val="32"/>
        </w:rPr>
        <w:t>15</w:t>
      </w:r>
      <w:r>
        <w:rPr>
          <w:rFonts w:hint="eastAsia" w:ascii="仿宋_GB2312" w:hAnsi="Times New Roman" w:eastAsia="仿宋_GB2312" w:cs="仿宋_GB2312"/>
          <w:kern w:val="0"/>
          <w:sz w:val="32"/>
          <w:szCs w:val="32"/>
          <w:lang w:bidi="ar"/>
        </w:rPr>
        <w:t>个，项目支出总额</w:t>
      </w:r>
      <w:r>
        <w:rPr>
          <w:rFonts w:hint="eastAsia" w:ascii="仿宋_GB2312" w:eastAsia="仿宋_GB2312" w:cs="仿宋_GB2312"/>
          <w:kern w:val="0"/>
          <w:sz w:val="32"/>
          <w:szCs w:val="32"/>
        </w:rPr>
        <w:t>453.78</w:t>
      </w:r>
      <w:r>
        <w:rPr>
          <w:rFonts w:hint="eastAsia" w:ascii="仿宋_GB2312" w:hAnsi="Times New Roman" w:eastAsia="仿宋_GB2312" w:cs="仿宋_GB2312"/>
          <w:kern w:val="0"/>
          <w:sz w:val="32"/>
          <w:szCs w:val="32"/>
          <w:lang w:bidi="ar"/>
        </w:rPr>
        <w:t>万元。其中，本级项目</w:t>
      </w:r>
      <w:r>
        <w:rPr>
          <w:rFonts w:hint="eastAsia" w:ascii="仿宋_GB2312" w:eastAsia="仿宋_GB2312" w:cs="仿宋_GB2312"/>
          <w:kern w:val="0"/>
          <w:sz w:val="32"/>
          <w:szCs w:val="32"/>
        </w:rPr>
        <w:t>15</w:t>
      </w:r>
      <w:r>
        <w:rPr>
          <w:rFonts w:hint="eastAsia" w:ascii="仿宋_GB2312" w:hAnsi="Times New Roman" w:eastAsia="仿宋_GB2312" w:cs="仿宋_GB2312"/>
          <w:kern w:val="0"/>
          <w:sz w:val="32"/>
          <w:szCs w:val="32"/>
          <w:lang w:bidi="ar"/>
        </w:rPr>
        <w:t>个，本级项目支出</w:t>
      </w:r>
      <w:r>
        <w:rPr>
          <w:rFonts w:hint="eastAsia" w:ascii="仿宋_GB2312" w:eastAsia="仿宋_GB2312" w:cs="仿宋_GB2312"/>
          <w:kern w:val="0"/>
          <w:sz w:val="32"/>
          <w:szCs w:val="32"/>
        </w:rPr>
        <w:t>453.78</w:t>
      </w:r>
      <w:r>
        <w:rPr>
          <w:rFonts w:hint="eastAsia" w:ascii="仿宋_GB2312" w:hAnsi="Times New Roman" w:eastAsia="仿宋_GB2312" w:cs="仿宋_GB2312"/>
          <w:kern w:val="0"/>
          <w:sz w:val="32"/>
          <w:szCs w:val="32"/>
          <w:lang w:bidi="ar"/>
        </w:rPr>
        <w:t>万元。</w:t>
      </w:r>
      <w:r>
        <w:rPr>
          <w:rFonts w:hint="eastAsia" w:ascii="仿宋" w:hAnsi="仿宋" w:eastAsia="仿宋" w:cs="仿宋"/>
          <w:sz w:val="32"/>
          <w:szCs w:val="32"/>
        </w:rPr>
        <w:t>从评价情况来看，所有项目自评分都在80分以上，</w:t>
      </w:r>
      <w:r>
        <w:rPr>
          <w:rFonts w:hint="eastAsia" w:ascii="仿宋_GB2312" w:eastAsia="仿宋_GB2312" w:cs="仿宋_GB2312"/>
          <w:kern w:val="0"/>
          <w:sz w:val="32"/>
          <w:szCs w:val="32"/>
        </w:rPr>
        <w:t>14</w:t>
      </w:r>
      <w:r>
        <w:rPr>
          <w:rFonts w:hint="eastAsia" w:ascii="仿宋_GB2312" w:hAnsi="Times New Roman" w:eastAsia="仿宋_GB2312" w:cs="仿宋_GB2312"/>
          <w:kern w:val="0"/>
          <w:sz w:val="32"/>
          <w:szCs w:val="32"/>
          <w:lang w:bidi="ar"/>
        </w:rPr>
        <w:t>个项目评为一等，</w:t>
      </w:r>
      <w:r>
        <w:rPr>
          <w:rFonts w:hint="eastAsia" w:ascii="仿宋_GB2312" w:eastAsia="仿宋_GB2312" w:cs="仿宋_GB2312"/>
          <w:kern w:val="0"/>
          <w:sz w:val="32"/>
          <w:szCs w:val="32"/>
        </w:rPr>
        <w:t>1</w:t>
      </w:r>
      <w:r>
        <w:rPr>
          <w:rFonts w:hint="eastAsia" w:ascii="仿宋_GB2312" w:hAnsi="Times New Roman" w:eastAsia="仿宋_GB2312" w:cs="仿宋_GB2312"/>
          <w:kern w:val="0"/>
          <w:sz w:val="32"/>
          <w:szCs w:val="32"/>
          <w:lang w:bidi="ar"/>
        </w:rPr>
        <w:t>个项目评为二等，评价等级为优秀等级，达到预期绩效目标。</w:t>
      </w:r>
    </w:p>
    <w:p>
      <w:pPr>
        <w:ind w:firstLine="640" w:firstLineChars="200"/>
        <w:jc w:val="left"/>
        <w:rPr>
          <w:rFonts w:ascii="仿宋" w:hAnsi="仿宋" w:eastAsia="仿宋" w:cs="仿宋"/>
          <w:sz w:val="32"/>
          <w:szCs w:val="32"/>
        </w:rPr>
      </w:pPr>
      <w:r>
        <w:rPr>
          <w:rFonts w:hint="eastAsia" w:ascii="仿宋_GB2312" w:hAnsi="Times New Roman" w:eastAsia="仿宋_GB2312" w:cs="仿宋_GB2312"/>
          <w:kern w:val="0"/>
          <w:sz w:val="32"/>
          <w:szCs w:val="32"/>
          <w:lang w:bidi="ar"/>
        </w:rPr>
        <w:t xml:space="preserve"> </w:t>
      </w:r>
      <w:r>
        <w:rPr>
          <w:rFonts w:hint="eastAsia" w:ascii="仿宋" w:hAnsi="仿宋" w:eastAsia="仿宋" w:cs="仿宋"/>
          <w:sz w:val="32"/>
          <w:szCs w:val="32"/>
        </w:rPr>
        <w:t>2.部门决算中项目绩效自评结果。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（1）班主任津贴项目自评得分为100分。完成支付率100%，通过发放班主任津贴，提高班主任的工作热情，保障学校班主任工作顺利开展，促进班级有序管理工作，有利于提高班主任的工作热情</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（2）党建设工作经费项目自评得分为89.8分。发现的主要问题及原因是义务教育自治区公用经费本年度未完成100%支付，与达成预期指标稍有偏差，与财政协商2024年初支付。</w:t>
      </w:r>
    </w:p>
    <w:p>
      <w:pPr>
        <w:ind w:firstLine="640" w:firstLineChars="200"/>
        <w:jc w:val="left"/>
        <w:rPr>
          <w:rFonts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sz w:val="32"/>
          <w:szCs w:val="32"/>
        </w:rPr>
        <w:t>公用经费（特教）中央补助项目自评得分为100分。完成支付率100%，公用经费（特教）中央补助年内支付完成，保障了学校正常运转，持续改善学校基本办学条件，促进教育健康发展。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（4）基础性绩效工资增量事业项目自评得分为100分。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（5）奖励性补贴项目自评得分为100分。完成支付率100%，通过发放奖励性补贴，极大地改善了教师生活水平，为教师队伍的稳定提供保障。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（6））奖励性补贴（非三保）项目自评得分为100分。完成支付率100%，通过发放奖励性补贴，极大地改善了教师生活水平，为教师队伍的稳定提供保障。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（7）教师节经费项目自评得分为100分。按时完成支付任务，通过发放教师慰问经费，激发教师工作积极性，促进教育事业发展。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（8）六一儿童节慰问金项目自评得分为90分。发现的主要问题及原因是六一儿童节活动经费从公用经费支出了，导致六一儿童节慰问金完成支付率0%。下一步改进措施是认真核对指标，下一年度及时支付。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（9）全县校长绩效工资项目自评得分为100分。完成支付率100%，通过发放校长绩效工资，极大的改善了校长生活水平，为教师队伍的稳定提供保障；提高教师收入，增强幸福感。</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（10）校舍维修项目自评得分为100分。完成支付率100%，通过安排校舍维修经费，改变师生生活环境，提高师生生活质量，确保师生各项工作及活动正常开展。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（11）义务教育阶段家庭经济困难学生生活县级补助资金项目自评得分为100分。按时足额发放至学生个人账户，解决困难家庭学生经济困难，提高困难学生生活水平。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（12）义务教育阶段家庭经济困难学生生活中央补助资金项目自评得分为100分。按时足额发放至学生个人账户，解决困难家庭学生经济困难，提高困难学生生活水平。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（13）义务教育阶段家庭经济困难学生生活自治区补助资金项目自评得分为100分。按时足额发放至学生个人账户，解决困难家庭学生经济困难，提高困难学生生活水平。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14）义务教育中央级公用经费项目自评得分为98.81分。发现的主要问题及原因：一是义务教育中央级公用经费本年度完成支付率98.81%，与达成预期指标稍有偏差，二是部分发票未能及时整理送审。下一步改进措施是及时整理材料送审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（15）自治区公用经费项目自评得分为93.53分。本年度完成支付率93.53%，与达成预期指标稍有偏差，发现的主要问题及原因是部分发票未能及时整理送审。下一步改进措施是及时整理材料送审支付。</w:t>
      </w:r>
    </w:p>
    <w:p>
      <w:pPr>
        <w:autoSpaceDE w:val="0"/>
        <w:autoSpaceDN w:val="0"/>
        <w:adjustRightInd w:val="0"/>
        <w:spacing w:line="560" w:lineRule="exact"/>
        <w:ind w:firstLine="640" w:firstLineChars="200"/>
        <w:rPr>
          <w:rFonts w:hint="eastAsia" w:ascii="仿宋_GB2312" w:hAnsi="Times New Roman" w:eastAsia="仿宋_GB2312" w:cs="仿宋_GB2312"/>
          <w:kern w:val="0"/>
          <w:sz w:val="32"/>
          <w:szCs w:val="32"/>
          <w:lang w:bidi="ar"/>
        </w:rPr>
      </w:pPr>
    </w:p>
    <w:p>
      <w:pPr>
        <w:autoSpaceDE w:val="0"/>
        <w:autoSpaceDN w:val="0"/>
        <w:adjustRightInd w:val="0"/>
        <w:spacing w:line="560" w:lineRule="exact"/>
        <w:ind w:firstLine="640" w:firstLineChars="200"/>
        <w:rPr>
          <w:rFonts w:ascii="仿宋_GB2312" w:eastAsia="仿宋_GB2312" w:cs="仿宋_GB2312"/>
          <w:kern w:val="0"/>
          <w:sz w:val="32"/>
          <w:szCs w:val="32"/>
          <w:lang w:bidi="ar"/>
        </w:rPr>
      </w:pPr>
      <w:r>
        <w:rPr>
          <w:rFonts w:hint="eastAsia" w:ascii="仿宋_GB2312" w:hAnsi="Times New Roman" w:eastAsia="仿宋_GB2312" w:cs="仿宋_GB2312"/>
          <w:kern w:val="0"/>
          <w:sz w:val="32"/>
          <w:szCs w:val="32"/>
          <w:lang w:bidi="ar"/>
        </w:rPr>
        <w:t>3.部门绩效评价结果。</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组织对“中央生均公用经费资金”等15个项目进行了部门评价，涉及一般公共预算支出453.78万元，政府性基金预算支出0.00万元，国有资本经营预算支出0.00万元。</w:t>
      </w:r>
      <w:r>
        <w:rPr>
          <w:rFonts w:hint="eastAsia" w:ascii="仿宋_GB2312" w:hAnsi="Times New Roman" w:eastAsia="仿宋_GB2312" w:cs="仿宋_GB2312"/>
          <w:kern w:val="0"/>
          <w:sz w:val="32"/>
          <w:szCs w:val="32"/>
          <w:lang w:bidi="ar"/>
        </w:rPr>
        <w:t>自评结果为：</w:t>
      </w:r>
      <w:r>
        <w:rPr>
          <w:rFonts w:hint="eastAsia" w:ascii="仿宋_GB2312" w:eastAsia="仿宋_GB2312" w:cs="仿宋_GB2312"/>
          <w:kern w:val="0"/>
          <w:sz w:val="32"/>
          <w:szCs w:val="32"/>
        </w:rPr>
        <w:t>14</w:t>
      </w:r>
      <w:r>
        <w:rPr>
          <w:rFonts w:hint="eastAsia" w:ascii="仿宋_GB2312" w:hAnsi="Times New Roman" w:eastAsia="仿宋_GB2312" w:cs="仿宋_GB2312"/>
          <w:kern w:val="0"/>
          <w:sz w:val="32"/>
          <w:szCs w:val="32"/>
          <w:lang w:bidi="ar"/>
        </w:rPr>
        <w:t>个项目评为一等，涉及资金</w:t>
      </w:r>
      <w:r>
        <w:rPr>
          <w:rFonts w:hint="eastAsia" w:ascii="仿宋" w:hAnsi="仿宋" w:eastAsia="仿宋" w:cs="仿宋"/>
          <w:sz w:val="32"/>
          <w:szCs w:val="32"/>
        </w:rPr>
        <w:t>453.78</w:t>
      </w:r>
      <w:r>
        <w:rPr>
          <w:rFonts w:hint="eastAsia" w:ascii="仿宋_GB2312" w:hAnsi="Times New Roman" w:eastAsia="仿宋_GB2312" w:cs="仿宋_GB2312"/>
          <w:kern w:val="0"/>
          <w:sz w:val="32"/>
          <w:szCs w:val="32"/>
          <w:lang w:bidi="ar"/>
        </w:rPr>
        <w:t>万元，占项目总数比例</w:t>
      </w:r>
      <w:r>
        <w:rPr>
          <w:rFonts w:hint="eastAsia" w:ascii="仿宋_GB2312" w:eastAsia="仿宋_GB2312" w:cs="仿宋_GB2312"/>
          <w:kern w:val="0"/>
          <w:sz w:val="32"/>
          <w:szCs w:val="32"/>
        </w:rPr>
        <w:t>93.33</w:t>
      </w:r>
      <w:r>
        <w:rPr>
          <w:rFonts w:hint="eastAsia" w:ascii="仿宋_GB2312" w:hAnsi="Times New Roman" w:eastAsia="仿宋_GB2312" w:cs="仿宋_GB2312"/>
          <w:kern w:val="0"/>
          <w:sz w:val="32"/>
          <w:szCs w:val="32"/>
          <w:lang w:bidi="ar"/>
        </w:rPr>
        <w:t>%，占项目支出总额比例</w:t>
      </w:r>
      <w:r>
        <w:rPr>
          <w:rFonts w:hint="eastAsia" w:ascii="仿宋_GB2312" w:eastAsia="仿宋_GB2312" w:cs="仿宋_GB2312"/>
          <w:kern w:val="0"/>
          <w:sz w:val="32"/>
          <w:szCs w:val="32"/>
        </w:rPr>
        <w:t>100</w:t>
      </w:r>
      <w:r>
        <w:rPr>
          <w:rFonts w:hint="eastAsia" w:ascii="仿宋_GB2312" w:hAnsi="Times New Roman" w:eastAsia="仿宋_GB2312" w:cs="仿宋_GB2312"/>
          <w:kern w:val="0"/>
          <w:sz w:val="32"/>
          <w:szCs w:val="32"/>
          <w:lang w:bidi="ar"/>
        </w:rPr>
        <w:t>%；</w:t>
      </w:r>
      <w:r>
        <w:rPr>
          <w:rFonts w:hint="eastAsia" w:ascii="仿宋_GB2312" w:eastAsia="仿宋_GB2312" w:cs="仿宋_GB2312"/>
          <w:kern w:val="0"/>
          <w:sz w:val="32"/>
          <w:szCs w:val="32"/>
        </w:rPr>
        <w:t>1</w:t>
      </w:r>
      <w:r>
        <w:rPr>
          <w:rFonts w:hint="eastAsia" w:ascii="仿宋_GB2312" w:hAnsi="Times New Roman" w:eastAsia="仿宋_GB2312" w:cs="仿宋_GB2312"/>
          <w:kern w:val="0"/>
          <w:sz w:val="32"/>
          <w:szCs w:val="32"/>
          <w:lang w:bidi="ar"/>
        </w:rPr>
        <w:t>个项目评为二等，涉及资金</w:t>
      </w:r>
      <w:r>
        <w:rPr>
          <w:rFonts w:hint="eastAsia" w:ascii="仿宋_GB2312" w:eastAsia="仿宋_GB2312" w:cs="仿宋_GB2312"/>
          <w:kern w:val="0"/>
          <w:sz w:val="32"/>
          <w:szCs w:val="32"/>
        </w:rPr>
        <w:t>0</w:t>
      </w:r>
      <w:r>
        <w:rPr>
          <w:rFonts w:hint="eastAsia" w:ascii="仿宋_GB2312" w:hAnsi="Times New Roman" w:eastAsia="仿宋_GB2312" w:cs="仿宋_GB2312"/>
          <w:kern w:val="0"/>
          <w:sz w:val="32"/>
          <w:szCs w:val="32"/>
          <w:lang w:bidi="ar"/>
        </w:rPr>
        <w:t>万元，占项目总数比例</w:t>
      </w:r>
      <w:r>
        <w:rPr>
          <w:rFonts w:hint="eastAsia" w:ascii="仿宋_GB2312" w:eastAsia="仿宋_GB2312" w:cs="仿宋_GB2312"/>
          <w:kern w:val="0"/>
          <w:sz w:val="32"/>
          <w:szCs w:val="32"/>
        </w:rPr>
        <w:t>6.7</w:t>
      </w:r>
      <w:r>
        <w:rPr>
          <w:rFonts w:hint="eastAsia" w:ascii="仿宋_GB2312" w:hAnsi="Times New Roman" w:eastAsia="仿宋_GB2312" w:cs="仿宋_GB2312"/>
          <w:kern w:val="0"/>
          <w:sz w:val="32"/>
          <w:szCs w:val="32"/>
          <w:lang w:bidi="ar"/>
        </w:rPr>
        <w:t xml:space="preserve"> %，占项目支出总额比例</w:t>
      </w:r>
      <w:r>
        <w:rPr>
          <w:rFonts w:hint="eastAsia" w:ascii="仿宋_GB2312" w:eastAsia="仿宋_GB2312" w:cs="仿宋_GB2312"/>
          <w:kern w:val="0"/>
          <w:sz w:val="32"/>
          <w:szCs w:val="32"/>
        </w:rPr>
        <w:t>0</w:t>
      </w:r>
      <w:r>
        <w:rPr>
          <w:rFonts w:hint="eastAsia" w:ascii="仿宋_GB2312" w:hAnsi="Times New Roman" w:eastAsia="仿宋_GB2312" w:cs="仿宋_GB2312"/>
          <w:kern w:val="0"/>
          <w:sz w:val="32"/>
          <w:szCs w:val="32"/>
          <w:lang w:bidi="ar"/>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0个部门（单位）开展整体支出绩效评价试点，涉及一般公共预算支出0.00万元，政府性基金预算支出0.00万元。从评价情况来看，本单位是本级预算单位，无二级预算单位，所以没有开展整体支出绩效评价试点。</w:t>
      </w:r>
    </w:p>
    <w:p>
      <w:pPr>
        <w:jc w:val="both"/>
        <w:rPr>
          <w:rFonts w:hint="eastAsia"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sectPr>
          <w:pgSz w:w="11906" w:h="16838"/>
          <w:pgMar w:top="1440" w:right="1800" w:bottom="1440" w:left="1800" w:header="851" w:footer="992" w:gutter="0"/>
          <w:cols w:space="0" w:num="1"/>
          <w:docGrid w:type="lines" w:linePitch="312" w:charSpace="0"/>
        </w:sect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vanish/>
          <w:sz w:val="32"/>
          <w:szCs w:val="32"/>
        </w:rPr>
      </w:pP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21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00172A27"/>
    <w:rsid w:val="00002C84"/>
    <w:rsid w:val="00022149"/>
    <w:rsid w:val="00047F6C"/>
    <w:rsid w:val="00093C26"/>
    <w:rsid w:val="00094B91"/>
    <w:rsid w:val="000B06D8"/>
    <w:rsid w:val="000E5855"/>
    <w:rsid w:val="001418A5"/>
    <w:rsid w:val="00147D40"/>
    <w:rsid w:val="00156EF2"/>
    <w:rsid w:val="00157427"/>
    <w:rsid w:val="00172A27"/>
    <w:rsid w:val="001D7B97"/>
    <w:rsid w:val="00210E20"/>
    <w:rsid w:val="00223F38"/>
    <w:rsid w:val="00233613"/>
    <w:rsid w:val="00254DBE"/>
    <w:rsid w:val="00275CAB"/>
    <w:rsid w:val="0028709C"/>
    <w:rsid w:val="0029328F"/>
    <w:rsid w:val="002B2731"/>
    <w:rsid w:val="003266B4"/>
    <w:rsid w:val="00382867"/>
    <w:rsid w:val="003A4973"/>
    <w:rsid w:val="003C1C96"/>
    <w:rsid w:val="003C69F8"/>
    <w:rsid w:val="003E40BA"/>
    <w:rsid w:val="003E7165"/>
    <w:rsid w:val="0041579D"/>
    <w:rsid w:val="00427074"/>
    <w:rsid w:val="00434D04"/>
    <w:rsid w:val="00460570"/>
    <w:rsid w:val="004B21C3"/>
    <w:rsid w:val="004C4D73"/>
    <w:rsid w:val="004D7D0E"/>
    <w:rsid w:val="005234F5"/>
    <w:rsid w:val="00531745"/>
    <w:rsid w:val="00574196"/>
    <w:rsid w:val="006123AD"/>
    <w:rsid w:val="00645B83"/>
    <w:rsid w:val="0066173C"/>
    <w:rsid w:val="0066661E"/>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908C0"/>
    <w:rsid w:val="008B70E5"/>
    <w:rsid w:val="008F1B95"/>
    <w:rsid w:val="008F4AE2"/>
    <w:rsid w:val="008F6882"/>
    <w:rsid w:val="00934C72"/>
    <w:rsid w:val="00946CCF"/>
    <w:rsid w:val="0095382C"/>
    <w:rsid w:val="0097721B"/>
    <w:rsid w:val="009831F8"/>
    <w:rsid w:val="009B3E00"/>
    <w:rsid w:val="009D1667"/>
    <w:rsid w:val="009F76C4"/>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B4373"/>
    <w:rsid w:val="00DE5ACF"/>
    <w:rsid w:val="00DE74BD"/>
    <w:rsid w:val="00DE7D07"/>
    <w:rsid w:val="00EB7822"/>
    <w:rsid w:val="00EC50A9"/>
    <w:rsid w:val="00ED04DB"/>
    <w:rsid w:val="00F21455"/>
    <w:rsid w:val="00F5354B"/>
    <w:rsid w:val="00F87C4D"/>
    <w:rsid w:val="00F95135"/>
    <w:rsid w:val="00F9658C"/>
    <w:rsid w:val="00F978FD"/>
    <w:rsid w:val="00FA738E"/>
    <w:rsid w:val="00FC438B"/>
    <w:rsid w:val="00FE44CD"/>
    <w:rsid w:val="01234E98"/>
    <w:rsid w:val="015F1951"/>
    <w:rsid w:val="01E66DB2"/>
    <w:rsid w:val="01FA47FF"/>
    <w:rsid w:val="020C171D"/>
    <w:rsid w:val="0216715F"/>
    <w:rsid w:val="02C941D1"/>
    <w:rsid w:val="02E0291A"/>
    <w:rsid w:val="03E24559"/>
    <w:rsid w:val="04A3068B"/>
    <w:rsid w:val="04E54546"/>
    <w:rsid w:val="05992762"/>
    <w:rsid w:val="07A1571D"/>
    <w:rsid w:val="07B0770E"/>
    <w:rsid w:val="08805332"/>
    <w:rsid w:val="09376339"/>
    <w:rsid w:val="0942143F"/>
    <w:rsid w:val="0AED3EA7"/>
    <w:rsid w:val="0D100297"/>
    <w:rsid w:val="0D202B45"/>
    <w:rsid w:val="0DA5522B"/>
    <w:rsid w:val="0DBE0DD6"/>
    <w:rsid w:val="0F8D4C87"/>
    <w:rsid w:val="10331748"/>
    <w:rsid w:val="10505FAA"/>
    <w:rsid w:val="105F7E7E"/>
    <w:rsid w:val="11E56B5B"/>
    <w:rsid w:val="125C77AB"/>
    <w:rsid w:val="14773A8D"/>
    <w:rsid w:val="14CB726E"/>
    <w:rsid w:val="17636501"/>
    <w:rsid w:val="17E92249"/>
    <w:rsid w:val="18D304F1"/>
    <w:rsid w:val="18F970A2"/>
    <w:rsid w:val="19F32577"/>
    <w:rsid w:val="19F45B80"/>
    <w:rsid w:val="1B0C078D"/>
    <w:rsid w:val="1B254CC9"/>
    <w:rsid w:val="1B266B3B"/>
    <w:rsid w:val="1B2B31E2"/>
    <w:rsid w:val="1B4C295A"/>
    <w:rsid w:val="1B973C63"/>
    <w:rsid w:val="1BA1001E"/>
    <w:rsid w:val="1D317259"/>
    <w:rsid w:val="1D8611E5"/>
    <w:rsid w:val="1D874AEC"/>
    <w:rsid w:val="1DFB5E8E"/>
    <w:rsid w:val="1E664F5B"/>
    <w:rsid w:val="1EB12291"/>
    <w:rsid w:val="1EB34BE1"/>
    <w:rsid w:val="1FA92F69"/>
    <w:rsid w:val="215E639F"/>
    <w:rsid w:val="21EC3183"/>
    <w:rsid w:val="225E72CD"/>
    <w:rsid w:val="23775CB2"/>
    <w:rsid w:val="237C18C4"/>
    <w:rsid w:val="2445162D"/>
    <w:rsid w:val="246E2F77"/>
    <w:rsid w:val="254B4E2B"/>
    <w:rsid w:val="257E736F"/>
    <w:rsid w:val="25A446DA"/>
    <w:rsid w:val="283D7C94"/>
    <w:rsid w:val="29480E03"/>
    <w:rsid w:val="296E23EE"/>
    <w:rsid w:val="2983634D"/>
    <w:rsid w:val="2BB02055"/>
    <w:rsid w:val="2C575A56"/>
    <w:rsid w:val="2DC420CF"/>
    <w:rsid w:val="2E9A689E"/>
    <w:rsid w:val="2EE21858"/>
    <w:rsid w:val="2F257714"/>
    <w:rsid w:val="2F3275E5"/>
    <w:rsid w:val="304137B5"/>
    <w:rsid w:val="30AA08EF"/>
    <w:rsid w:val="30D23D1C"/>
    <w:rsid w:val="31221CF5"/>
    <w:rsid w:val="31400178"/>
    <w:rsid w:val="321E3342"/>
    <w:rsid w:val="327759C8"/>
    <w:rsid w:val="33185FE3"/>
    <w:rsid w:val="33BC72B7"/>
    <w:rsid w:val="33BD3D11"/>
    <w:rsid w:val="343C6879"/>
    <w:rsid w:val="34EE2E36"/>
    <w:rsid w:val="364E2A02"/>
    <w:rsid w:val="36777241"/>
    <w:rsid w:val="36C24BE4"/>
    <w:rsid w:val="36DD557A"/>
    <w:rsid w:val="36E05F5B"/>
    <w:rsid w:val="371E78D5"/>
    <w:rsid w:val="373A29CC"/>
    <w:rsid w:val="38A951DB"/>
    <w:rsid w:val="38B31605"/>
    <w:rsid w:val="39003F4F"/>
    <w:rsid w:val="3BB94898"/>
    <w:rsid w:val="3C07002B"/>
    <w:rsid w:val="3C4D31A2"/>
    <w:rsid w:val="3C5355FF"/>
    <w:rsid w:val="3CE50BC7"/>
    <w:rsid w:val="3D0D152A"/>
    <w:rsid w:val="3DF62756"/>
    <w:rsid w:val="3F1B7587"/>
    <w:rsid w:val="41E57B4F"/>
    <w:rsid w:val="432F26F6"/>
    <w:rsid w:val="43880F63"/>
    <w:rsid w:val="441C5A6F"/>
    <w:rsid w:val="44C44FCC"/>
    <w:rsid w:val="44CB735A"/>
    <w:rsid w:val="44CC7369"/>
    <w:rsid w:val="45196317"/>
    <w:rsid w:val="4565330A"/>
    <w:rsid w:val="457F5108"/>
    <w:rsid w:val="462134F8"/>
    <w:rsid w:val="467D28D5"/>
    <w:rsid w:val="46951B6B"/>
    <w:rsid w:val="48396CD0"/>
    <w:rsid w:val="483B65A4"/>
    <w:rsid w:val="49A34401"/>
    <w:rsid w:val="49F41101"/>
    <w:rsid w:val="4A3E30AB"/>
    <w:rsid w:val="4AA97395"/>
    <w:rsid w:val="4AC00FE3"/>
    <w:rsid w:val="4AC14DAC"/>
    <w:rsid w:val="4B38326F"/>
    <w:rsid w:val="4C4719BC"/>
    <w:rsid w:val="4D154C85"/>
    <w:rsid w:val="4EB35ECE"/>
    <w:rsid w:val="4EBC65AE"/>
    <w:rsid w:val="501F67AB"/>
    <w:rsid w:val="5038161B"/>
    <w:rsid w:val="508F4E24"/>
    <w:rsid w:val="51461E90"/>
    <w:rsid w:val="51463753"/>
    <w:rsid w:val="52522BED"/>
    <w:rsid w:val="52553A93"/>
    <w:rsid w:val="53521F8B"/>
    <w:rsid w:val="53E22F47"/>
    <w:rsid w:val="54522FF8"/>
    <w:rsid w:val="55450629"/>
    <w:rsid w:val="556A671B"/>
    <w:rsid w:val="56692963"/>
    <w:rsid w:val="568B0F48"/>
    <w:rsid w:val="574F21C5"/>
    <w:rsid w:val="5786217B"/>
    <w:rsid w:val="58D5034F"/>
    <w:rsid w:val="59337A15"/>
    <w:rsid w:val="59810274"/>
    <w:rsid w:val="59B30690"/>
    <w:rsid w:val="5A461504"/>
    <w:rsid w:val="5CA96A00"/>
    <w:rsid w:val="5CF730BC"/>
    <w:rsid w:val="5D82425B"/>
    <w:rsid w:val="5E5F0DCE"/>
    <w:rsid w:val="5E7F74A1"/>
    <w:rsid w:val="5EDF7832"/>
    <w:rsid w:val="5F544F2F"/>
    <w:rsid w:val="5FA40A7B"/>
    <w:rsid w:val="5FD56D29"/>
    <w:rsid w:val="5FEC7F3F"/>
    <w:rsid w:val="60990E53"/>
    <w:rsid w:val="60F74BC3"/>
    <w:rsid w:val="617D3BF8"/>
    <w:rsid w:val="61841F6A"/>
    <w:rsid w:val="623007A9"/>
    <w:rsid w:val="62540537"/>
    <w:rsid w:val="637D7558"/>
    <w:rsid w:val="644F19AC"/>
    <w:rsid w:val="65AA4920"/>
    <w:rsid w:val="65E31D0B"/>
    <w:rsid w:val="66C76244"/>
    <w:rsid w:val="67694F1E"/>
    <w:rsid w:val="69597934"/>
    <w:rsid w:val="6B964DDC"/>
    <w:rsid w:val="6C783074"/>
    <w:rsid w:val="6D2556C2"/>
    <w:rsid w:val="6D630450"/>
    <w:rsid w:val="6D9E65C6"/>
    <w:rsid w:val="6DA81947"/>
    <w:rsid w:val="6E032E11"/>
    <w:rsid w:val="6EB66DE2"/>
    <w:rsid w:val="6ED3075F"/>
    <w:rsid w:val="6F2A2D4B"/>
    <w:rsid w:val="6F8A0C1E"/>
    <w:rsid w:val="703F45D4"/>
    <w:rsid w:val="715D6546"/>
    <w:rsid w:val="71BE069E"/>
    <w:rsid w:val="71C70755"/>
    <w:rsid w:val="723932A5"/>
    <w:rsid w:val="73953409"/>
    <w:rsid w:val="73D43285"/>
    <w:rsid w:val="73E069A3"/>
    <w:rsid w:val="742272C6"/>
    <w:rsid w:val="75DA498C"/>
    <w:rsid w:val="76042396"/>
    <w:rsid w:val="78104AA8"/>
    <w:rsid w:val="78D21D5D"/>
    <w:rsid w:val="78E257C5"/>
    <w:rsid w:val="794B35BE"/>
    <w:rsid w:val="7B0A3A31"/>
    <w:rsid w:val="7B3360ED"/>
    <w:rsid w:val="7BDF037E"/>
    <w:rsid w:val="7BF50948"/>
    <w:rsid w:val="7CE66A78"/>
    <w:rsid w:val="7D23564C"/>
    <w:rsid w:val="7D5E062D"/>
    <w:rsid w:val="7DF76CD8"/>
    <w:rsid w:val="7F695C26"/>
    <w:rsid w:val="7F790D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1926.69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pt idx="12">
                  <c:v>303x</c:v>
                </c:pt>
              </c:strCache>
            </c:strRef>
          </c:cat>
          <c:val>
            <c:numRef>
              <c:f>Sheet1!$B$2:$B$14</c:f>
              <c:numCache>
                <c:formatCode>General</c:formatCode>
                <c:ptCount val="13"/>
                <c:pt idx="0">
                  <c:v>0</c:v>
                </c:pt>
                <c:pt idx="1">
                  <c:v>0</c:v>
                </c:pt>
                <c:pt idx="2">
                  <c:v>0</c:v>
                </c:pt>
                <c:pt idx="3">
                  <c:v>0</c:v>
                </c:pt>
                <c:pt idx="4">
                  <c:v>75.79</c:v>
                </c:pt>
                <c:pt idx="5">
                  <c:v>0</c:v>
                </c:pt>
                <c:pt idx="6">
                  <c:v>0</c:v>
                </c:pt>
                <c:pt idx="7">
                  <c:v>0</c:v>
                </c:pt>
                <c:pt idx="8">
                  <c:v>0</c:v>
                </c:pt>
                <c:pt idx="9">
                  <c:v>0</c:v>
                </c:pt>
                <c:pt idx="10">
                  <c:v>0</c:v>
                </c:pt>
                <c:pt idx="11">
                  <c:v>0.072</c:v>
                </c:pt>
                <c:pt idx="12">
                  <c:v>75.86</c:v>
                </c:pt>
              </c:numCache>
            </c:numRef>
          </c:val>
        </c:ser>
        <c:dLbls>
          <c:showLegendKey val="0"/>
          <c:showVal val="0"/>
          <c:showCatName val="0"/>
          <c:showSerName val="0"/>
          <c:showPercent val="0"/>
          <c:showBubbleSize val="0"/>
        </c:dLbls>
        <c:gapWidth val="219"/>
        <c:overlap val="-27"/>
        <c:axId val="621738064"/>
        <c:axId val="621740808"/>
      </c:barChart>
      <c:catAx>
        <c:axId val="621738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40808"/>
        <c:crosses val="autoZero"/>
        <c:auto val="1"/>
        <c:lblAlgn val="ctr"/>
        <c:lblOffset val="100"/>
        <c:noMultiLvlLbl val="0"/>
      </c:catAx>
      <c:valAx>
        <c:axId val="621740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8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30701</c:v>
                </c:pt>
                <c:pt idx="1">
                  <c:v>30702</c:v>
                </c:pt>
                <c:pt idx="2">
                  <c:v>307x</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dLbls>
        <c:gapWidth val="219"/>
        <c:overlap val="-27"/>
        <c:axId val="621736104"/>
        <c:axId val="621740416"/>
      </c:barChart>
      <c:catAx>
        <c:axId val="6217361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40416"/>
        <c:crosses val="autoZero"/>
        <c:auto val="1"/>
        <c:lblAlgn val="ctr"/>
        <c:lblOffset val="100"/>
        <c:noMultiLvlLbl val="0"/>
      </c:catAx>
      <c:valAx>
        <c:axId val="621740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6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621739632"/>
        <c:axId val="621733752"/>
      </c:barChart>
      <c:catAx>
        <c:axId val="621739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3752"/>
        <c:crosses val="autoZero"/>
        <c:auto val="1"/>
        <c:lblAlgn val="ctr"/>
        <c:lblOffset val="100"/>
        <c:noMultiLvlLbl val="0"/>
      </c:catAx>
      <c:valAx>
        <c:axId val="621733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9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621734928"/>
        <c:axId val="621735320"/>
      </c:barChart>
      <c:catAx>
        <c:axId val="6217349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5320"/>
        <c:crosses val="autoZero"/>
        <c:auto val="1"/>
        <c:lblAlgn val="ctr"/>
        <c:lblOffset val="100"/>
        <c:noMultiLvlLbl val="0"/>
      </c:catAx>
      <c:valAx>
        <c:axId val="621735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77325"/>
          <c:y val="0.178004266413842"/>
          <c:w val="0.8938"/>
          <c:h val="0.33406020383977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14.03</c:v>
                </c:pt>
                <c:pt idx="1">
                  <c:v>967.69</c:v>
                </c:pt>
                <c:pt idx="2">
                  <c:v>106.75</c:v>
                </c:pt>
                <c:pt idx="3">
                  <c:v>80</c:v>
                </c:pt>
                <c:pt idx="4">
                  <c:v>174.26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15.4</c:v>
                </c:pt>
                <c:pt idx="1">
                  <c:v>1491.92</c:v>
                </c:pt>
                <c:pt idx="2">
                  <c:v>167.3</c:v>
                </c:pt>
                <c:pt idx="3">
                  <c:v>125.47</c:v>
                </c:pt>
                <c:pt idx="4">
                  <c:v>126.6</c:v>
                </c:pt>
              </c:numCache>
            </c:numRef>
          </c:val>
        </c:ser>
        <c:dLbls>
          <c:showLegendKey val="0"/>
          <c:showVal val="0"/>
          <c:showCatName val="0"/>
          <c:showSerName val="0"/>
          <c:showPercent val="0"/>
          <c:showBubbleSize val="0"/>
        </c:dLbls>
        <c:gapWidth val="219"/>
        <c:overlap val="-27"/>
        <c:axId val="621732968"/>
        <c:axId val="621729440"/>
      </c:barChart>
      <c:catAx>
        <c:axId val="621732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9440"/>
        <c:crosses val="autoZero"/>
        <c:auto val="1"/>
        <c:lblAlgn val="ctr"/>
        <c:lblOffset val="100"/>
        <c:noMultiLvlLbl val="0"/>
      </c:catAx>
      <c:valAx>
        <c:axId val="6217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2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manualLayout>
          <c:layoutTarget val="inner"/>
          <c:xMode val="edge"/>
          <c:yMode val="edge"/>
          <c:x val="0.0420965647503246"/>
          <c:y val="0.201952126423426"/>
          <c:w val="0.931932475504663"/>
          <c:h val="0.58294213339530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15.4</c:v>
                </c:pt>
                <c:pt idx="1">
                  <c:v>15.4</c:v>
                </c:pt>
              </c:numCache>
            </c:numRef>
          </c:val>
        </c:ser>
        <c:dLbls>
          <c:showLegendKey val="0"/>
          <c:showVal val="0"/>
          <c:showCatName val="0"/>
          <c:showSerName val="0"/>
          <c:showPercent val="0"/>
          <c:showBubbleSize val="0"/>
        </c:dLbls>
        <c:gapWidth val="219"/>
        <c:overlap val="-27"/>
        <c:axId val="621726696"/>
        <c:axId val="621725128"/>
      </c:barChart>
      <c:catAx>
        <c:axId val="6217266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5128"/>
        <c:crosses val="autoZero"/>
        <c:auto val="1"/>
        <c:lblAlgn val="ctr"/>
        <c:lblOffset val="100"/>
        <c:noMultiLvlLbl val="0"/>
      </c:catAx>
      <c:valAx>
        <c:axId val="621725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6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2050201</c:v>
                </c:pt>
                <c:pt idx="1">
                  <c:v>2050202</c:v>
                </c:pt>
                <c:pt idx="2">
                  <c:v>2050701</c:v>
                </c:pt>
                <c:pt idx="3">
                  <c:v>2050299</c:v>
                </c:pt>
                <c:pt idx="4">
                  <c:v>205x</c:v>
                </c:pt>
              </c:strCache>
            </c:strRef>
          </c:cat>
          <c:val>
            <c:numRef>
              <c:f>Sheet1!$B$2:$B$6</c:f>
              <c:numCache>
                <c:formatCode>General</c:formatCode>
                <c:ptCount val="5"/>
                <c:pt idx="0">
                  <c:v>2.53</c:v>
                </c:pt>
                <c:pt idx="1">
                  <c:v>1463.79</c:v>
                </c:pt>
                <c:pt idx="2">
                  <c:v>0.86</c:v>
                </c:pt>
                <c:pt idx="3">
                  <c:v>24.74</c:v>
                </c:pt>
                <c:pt idx="4">
                  <c:v>1491.92</c:v>
                </c:pt>
              </c:numCache>
            </c:numRef>
          </c:val>
        </c:ser>
        <c:dLbls>
          <c:showLegendKey val="0"/>
          <c:showVal val="0"/>
          <c:showCatName val="0"/>
          <c:showSerName val="0"/>
          <c:showPercent val="0"/>
          <c:showBubbleSize val="0"/>
        </c:dLbls>
        <c:gapWidth val="219"/>
        <c:overlap val="-27"/>
        <c:axId val="621723952"/>
        <c:axId val="621729832"/>
      </c:barChart>
      <c:catAx>
        <c:axId val="6217239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9832"/>
        <c:crosses val="autoZero"/>
        <c:auto val="1"/>
        <c:lblAlgn val="ctr"/>
        <c:lblOffset val="100"/>
        <c:noMultiLvlLbl val="0"/>
      </c:catAx>
      <c:valAx>
        <c:axId val="6217298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3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6249467858663"/>
          <c:y val="0.16239316239316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167.3</c:v>
                </c:pt>
                <c:pt idx="1">
                  <c:v>167.3</c:v>
                </c:pt>
              </c:numCache>
            </c:numRef>
          </c:val>
        </c:ser>
        <c:dLbls>
          <c:showLegendKey val="0"/>
          <c:showVal val="0"/>
          <c:showCatName val="0"/>
          <c:showSerName val="0"/>
          <c:showPercent val="0"/>
          <c:showBubbleSize val="0"/>
        </c:dLbls>
        <c:gapWidth val="219"/>
        <c:overlap val="-27"/>
        <c:axId val="621727088"/>
        <c:axId val="621732184"/>
      </c:barChart>
      <c:catAx>
        <c:axId val="621727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2184"/>
        <c:crosses val="autoZero"/>
        <c:auto val="1"/>
        <c:lblAlgn val="ctr"/>
        <c:lblOffset val="100"/>
        <c:noMultiLvlLbl val="0"/>
      </c:catAx>
      <c:valAx>
        <c:axId val="621732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7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125.47</c:v>
                </c:pt>
                <c:pt idx="1">
                  <c:v>125.47</c:v>
                </c:pt>
              </c:numCache>
            </c:numRef>
          </c:val>
        </c:ser>
        <c:dLbls>
          <c:showLegendKey val="0"/>
          <c:showVal val="0"/>
          <c:showCatName val="0"/>
          <c:showSerName val="0"/>
          <c:showPercent val="0"/>
          <c:showBubbleSize val="0"/>
        </c:dLbls>
        <c:gapWidth val="219"/>
        <c:overlap val="-27"/>
        <c:axId val="621733360"/>
        <c:axId val="621727480"/>
      </c:barChart>
      <c:catAx>
        <c:axId val="6217333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7480"/>
        <c:crosses val="autoZero"/>
        <c:auto val="1"/>
        <c:lblAlgn val="ctr"/>
        <c:lblOffset val="100"/>
        <c:noMultiLvlLbl val="0"/>
      </c:catAx>
      <c:valAx>
        <c:axId val="621727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126.6</c:v>
                </c:pt>
                <c:pt idx="1">
                  <c:v>126.6</c:v>
                </c:pt>
              </c:numCache>
            </c:numRef>
          </c:val>
        </c:ser>
        <c:dLbls>
          <c:showLegendKey val="0"/>
          <c:showVal val="0"/>
          <c:showCatName val="0"/>
          <c:showSerName val="0"/>
          <c:showPercent val="0"/>
          <c:showBubbleSize val="0"/>
        </c:dLbls>
        <c:gapWidth val="219"/>
        <c:overlap val="-27"/>
        <c:axId val="621724736"/>
        <c:axId val="621725520"/>
      </c:barChart>
      <c:catAx>
        <c:axId val="6217247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5520"/>
        <c:crosses val="autoZero"/>
        <c:auto val="1"/>
        <c:lblAlgn val="ctr"/>
        <c:lblOffset val="100"/>
        <c:noMultiLvlLbl val="0"/>
      </c:catAx>
      <c:valAx>
        <c:axId val="621725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301x</c:v>
                </c:pt>
              </c:strCache>
            </c:strRef>
          </c:cat>
          <c:val>
            <c:numRef>
              <c:f>Sheet1!$B$2:$B$13</c:f>
              <c:numCache>
                <c:formatCode>General</c:formatCode>
                <c:ptCount val="12"/>
                <c:pt idx="0">
                  <c:v>512.68</c:v>
                </c:pt>
                <c:pt idx="1">
                  <c:v>54.25</c:v>
                </c:pt>
                <c:pt idx="2">
                  <c:v>434.67</c:v>
                </c:pt>
                <c:pt idx="3">
                  <c:v>0</c:v>
                </c:pt>
                <c:pt idx="4">
                  <c:v>243.78</c:v>
                </c:pt>
                <c:pt idx="5">
                  <c:v>167.3</c:v>
                </c:pt>
                <c:pt idx="6">
                  <c:v>0</c:v>
                </c:pt>
                <c:pt idx="7">
                  <c:v>67.36</c:v>
                </c:pt>
                <c:pt idx="8">
                  <c:v>0</c:v>
                </c:pt>
                <c:pt idx="9">
                  <c:v>8.24</c:v>
                </c:pt>
                <c:pt idx="10">
                  <c:v>125.47</c:v>
                </c:pt>
                <c:pt idx="11">
                  <c:v>1613.74</c:v>
                </c:pt>
              </c:numCache>
            </c:numRef>
          </c:val>
        </c:ser>
        <c:dLbls>
          <c:showLegendKey val="0"/>
          <c:showVal val="0"/>
          <c:showCatName val="0"/>
          <c:showSerName val="0"/>
          <c:showPercent val="0"/>
          <c:showBubbleSize val="0"/>
        </c:dLbls>
        <c:gapWidth val="219"/>
        <c:overlap val="-27"/>
        <c:axId val="621729048"/>
        <c:axId val="621735712"/>
      </c:barChart>
      <c:catAx>
        <c:axId val="6217290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5712"/>
        <c:crosses val="autoZero"/>
        <c:auto val="1"/>
        <c:lblAlgn val="ctr"/>
        <c:lblOffset val="100"/>
        <c:noMultiLvlLbl val="0"/>
      </c:catAx>
      <c:valAx>
        <c:axId val="621735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29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302x</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15.4</c:v>
                </c:pt>
                <c:pt idx="22">
                  <c:v>0</c:v>
                </c:pt>
                <c:pt idx="23">
                  <c:v>0</c:v>
                </c:pt>
                <c:pt idx="24">
                  <c:v>0</c:v>
                </c:pt>
                <c:pt idx="25">
                  <c:v>0</c:v>
                </c:pt>
                <c:pt idx="26">
                  <c:v>15.4</c:v>
                </c:pt>
              </c:numCache>
            </c:numRef>
          </c:val>
        </c:ser>
        <c:dLbls>
          <c:showLegendKey val="0"/>
          <c:showVal val="0"/>
          <c:showCatName val="0"/>
          <c:showSerName val="0"/>
          <c:showPercent val="0"/>
          <c:showBubbleSize val="0"/>
        </c:dLbls>
        <c:gapWidth val="219"/>
        <c:overlap val="-27"/>
        <c:axId val="621740024"/>
        <c:axId val="621736888"/>
      </c:barChart>
      <c:catAx>
        <c:axId val="621740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36888"/>
        <c:crosses val="autoZero"/>
        <c:auto val="1"/>
        <c:lblAlgn val="ctr"/>
        <c:lblOffset val="100"/>
        <c:noMultiLvlLbl val="0"/>
      </c:catAx>
      <c:valAx>
        <c:axId val="6217368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740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2284</Words>
  <Characters>2951</Characters>
  <Lines>107</Lines>
  <Paragraphs>30</Paragraphs>
  <TotalTime>0</TotalTime>
  <ScaleCrop>false</ScaleCrop>
  <LinksUpToDate>false</LinksUpToDate>
  <CharactersWithSpaces>2965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2023-11-20T01:55:00Z</cp:lastPrinted>
  <dcterms:modified xsi:type="dcterms:W3CDTF">2025-01-04T07:21:29Z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AE598292ADEA445E808DDEAC841410F5_13</vt:lpwstr>
  </property>
  <property fmtid="{D5CDD505-2E9C-101B-9397-08002B2CF9AE}" pid="4" name="KSOTemplateDocerSaveRecord">
    <vt:lpwstr>eyJoZGlkIjoiOGE3OTI1MDhlYWMzMmJhYjViM2MzMjQ3Y2Q2ODk4MDkiLCJ1c2VySWQiOiIzNjk2NzM3NDUifQ==</vt:lpwstr>
  </property>
</Properties>
</file>