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center"/>
        <w:rPr>
          <w:rFonts w:hint="eastAsia" w:ascii="黑体" w:hAnsi="黑体" w:eastAsia="黑体" w:cs="黑体"/>
          <w:b/>
          <w:bCs/>
          <w:sz w:val="52"/>
          <w:szCs w:val="52"/>
        </w:rPr>
      </w:pPr>
      <w:r>
        <w:rPr>
          <w:rFonts w:hint="eastAsia" w:ascii="黑体" w:hAnsi="黑体" w:eastAsia="黑体" w:cs="黑体"/>
          <w:b/>
          <w:bCs/>
          <w:sz w:val="52"/>
          <w:szCs w:val="52"/>
        </w:rPr>
        <w:t>环江毛南族自治县第一幼儿园</w:t>
      </w:r>
    </w:p>
    <w:p>
      <w:pPr>
        <w:jc w:val="center"/>
        <w:rPr>
          <w:rFonts w:ascii="黑体" w:hAnsi="黑体" w:eastAsia="黑体" w:cs="黑体"/>
          <w:b/>
          <w:bCs/>
          <w:sz w:val="52"/>
          <w:szCs w:val="52"/>
        </w:rPr>
      </w:pPr>
      <w:r>
        <w:rPr>
          <w:rFonts w:hint="eastAsia" w:ascii="黑体" w:hAnsi="黑体" w:eastAsia="黑体" w:cs="黑体"/>
          <w:b/>
          <w:bCs/>
          <w:sz w:val="52"/>
          <w:szCs w:val="52"/>
        </w:rPr>
        <w:t>2023年度部门决算</w:t>
      </w:r>
    </w:p>
    <w:p>
      <w:pPr>
        <w:jc w:val="center"/>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jc w:val="left"/>
        <w:rPr>
          <w:rFonts w:ascii="仿宋" w:hAnsi="仿宋" w:eastAsia="仿宋" w:cs="仿宋"/>
          <w:sz w:val="32"/>
          <w:szCs w:val="32"/>
        </w:rPr>
      </w:pPr>
    </w:p>
    <w:p>
      <w:pPr>
        <w:ind w:firstLine="2200" w:firstLineChars="500"/>
        <w:rPr>
          <w:rFonts w:hint="eastAsia" w:ascii="黑体" w:hAnsi="黑体" w:eastAsia="黑体" w:cs="仿宋"/>
          <w:sz w:val="44"/>
          <w:szCs w:val="44"/>
        </w:rPr>
      </w:pPr>
    </w:p>
    <w:p>
      <w:pPr>
        <w:ind w:firstLine="2200" w:firstLineChars="500"/>
        <w:rPr>
          <w:rFonts w:hint="eastAsia" w:ascii="黑体" w:hAnsi="黑体" w:eastAsia="黑体" w:cs="仿宋"/>
          <w:sz w:val="44"/>
          <w:szCs w:val="44"/>
        </w:rPr>
      </w:pPr>
    </w:p>
    <w:p>
      <w:pPr>
        <w:ind w:firstLine="2200" w:firstLineChars="500"/>
        <w:rPr>
          <w:rFonts w:hint="eastAsia" w:ascii="黑体" w:hAnsi="黑体" w:eastAsia="黑体" w:cs="仿宋"/>
          <w:sz w:val="44"/>
          <w:szCs w:val="44"/>
        </w:rPr>
      </w:pPr>
    </w:p>
    <w:p>
      <w:pPr>
        <w:ind w:firstLine="2200" w:firstLineChars="500"/>
        <w:rPr>
          <w:rFonts w:hint="eastAsia" w:ascii="黑体" w:hAnsi="黑体" w:eastAsia="黑体" w:cs="仿宋"/>
          <w:sz w:val="44"/>
          <w:szCs w:val="44"/>
        </w:rPr>
      </w:pPr>
    </w:p>
    <w:p>
      <w:pPr>
        <w:ind w:firstLine="2200" w:firstLineChars="500"/>
        <w:rPr>
          <w:rFonts w:hint="eastAsia" w:ascii="黑体" w:hAnsi="黑体" w:eastAsia="黑体" w:cs="仿宋"/>
          <w:sz w:val="44"/>
          <w:szCs w:val="44"/>
        </w:rPr>
      </w:pPr>
    </w:p>
    <w:p>
      <w:pPr>
        <w:ind w:firstLine="2200" w:firstLineChars="500"/>
        <w:rPr>
          <w:rFonts w:ascii="黑体" w:hAnsi="黑体" w:eastAsia="黑体" w:cs="仿宋"/>
          <w:sz w:val="44"/>
          <w:szCs w:val="44"/>
        </w:rPr>
      </w:pPr>
      <w:r>
        <w:rPr>
          <w:rFonts w:hint="eastAsia" w:ascii="黑体" w:hAnsi="黑体" w:eastAsia="黑体" w:cs="仿宋"/>
          <w:sz w:val="44"/>
          <w:szCs w:val="44"/>
        </w:rPr>
        <w:t>单位负责人：　何鸿</w:t>
      </w:r>
    </w:p>
    <w:p>
      <w:pPr>
        <w:rPr>
          <w:rFonts w:hint="eastAsia" w:ascii="黑体" w:hAnsi="黑体" w:eastAsia="黑体" w:cs="黑体"/>
          <w:b/>
          <w:bCs/>
          <w:sz w:val="44"/>
          <w:szCs w:val="44"/>
        </w:rPr>
      </w:pPr>
    </w:p>
    <w:p>
      <w:pPr>
        <w:ind w:firstLine="2650" w:firstLineChars="600"/>
        <w:rPr>
          <w:rFonts w:hint="eastAsia" w:ascii="黑体" w:hAnsi="黑体" w:eastAsia="黑体" w:cs="黑体"/>
          <w:b/>
          <w:bCs/>
          <w:sz w:val="44"/>
          <w:szCs w:val="44"/>
          <w:lang w:val="en-US" w:eastAsia="zh-CN"/>
        </w:rPr>
      </w:pPr>
      <w:r>
        <w:rPr>
          <w:rFonts w:hint="eastAsia" w:ascii="黑体" w:hAnsi="黑体" w:eastAsia="黑体" w:cs="黑体"/>
          <w:b/>
          <w:bCs/>
          <w:sz w:val="44"/>
          <w:szCs w:val="44"/>
        </w:rPr>
        <w:t>2024年12月</w:t>
      </w:r>
      <w:r>
        <w:rPr>
          <w:rFonts w:hint="eastAsia" w:ascii="黑体" w:hAnsi="黑体" w:eastAsia="黑体" w:cs="黑体"/>
          <w:b/>
          <w:bCs/>
          <w:sz w:val="44"/>
          <w:szCs w:val="44"/>
          <w:lang w:val="en-US" w:eastAsia="zh-CN"/>
        </w:rPr>
        <w:t>3日</w:t>
      </w:r>
    </w:p>
    <w:p>
      <w:pPr>
        <w:rPr>
          <w:rFonts w:ascii="仿宋" w:hAnsi="仿宋" w:eastAsia="仿宋" w:cs="仿宋"/>
          <w:sz w:val="32"/>
          <w:szCs w:val="32"/>
        </w:rPr>
      </w:pPr>
      <w:r>
        <w:rPr>
          <w:rFonts w:ascii="仿宋" w:hAnsi="仿宋" w:eastAsia="仿宋" w:cs="仿宋"/>
          <w:sz w:val="32"/>
          <w:szCs w:val="32"/>
        </w:rPr>
        <w:br w:type="page"/>
      </w:r>
    </w:p>
    <w:p>
      <w:pPr>
        <w:jc w:val="center"/>
        <w:rPr>
          <w:rFonts w:ascii="黑体" w:hAnsi="黑体" w:eastAsia="黑体" w:cs="黑体"/>
          <w:b/>
          <w:bCs/>
          <w:sz w:val="36"/>
          <w:szCs w:val="36"/>
        </w:rPr>
      </w:pPr>
      <w:r>
        <w:rPr>
          <w:rFonts w:hint="eastAsia" w:ascii="黑体" w:hAnsi="黑体" w:eastAsia="黑体" w:cs="黑体"/>
          <w:b/>
          <w:bCs/>
          <w:sz w:val="36"/>
          <w:szCs w:val="36"/>
        </w:rPr>
        <w:t>目   录</w:t>
      </w:r>
    </w:p>
    <w:p>
      <w:pPr>
        <w:jc w:val="left"/>
        <w:rPr>
          <w:rFonts w:ascii="黑体" w:hAnsi="黑体" w:eastAsia="黑体" w:cs="黑体"/>
          <w:b/>
          <w:bCs/>
          <w:sz w:val="36"/>
          <w:szCs w:val="36"/>
        </w:rPr>
      </w:pPr>
    </w:p>
    <w:p>
      <w:pPr>
        <w:jc w:val="left"/>
        <w:rPr>
          <w:rFonts w:ascii="仿宋" w:hAnsi="仿宋" w:eastAsia="仿宋" w:cs="仿宋"/>
          <w:sz w:val="32"/>
          <w:szCs w:val="32"/>
        </w:rPr>
      </w:pPr>
      <w:r>
        <w:rPr>
          <w:rFonts w:hint="eastAsia" w:ascii="黑体" w:hAnsi="黑体" w:eastAsia="黑体" w:cs="黑体"/>
          <w:sz w:val="32"/>
          <w:szCs w:val="32"/>
        </w:rPr>
        <w:t>第一部分：</w:t>
      </w:r>
      <w:r>
        <w:rPr>
          <w:rFonts w:ascii="黑体" w:hAnsi="黑体" w:eastAsia="黑体" w:cs="黑体"/>
          <w:sz w:val="32"/>
        </w:rPr>
        <w:t>环江毛南族自治县第一幼儿园</w:t>
      </w:r>
      <w:r>
        <w:rPr>
          <w:rFonts w:hint="eastAsia" w:ascii="黑体" w:hAnsi="黑体" w:eastAsia="黑体" w:cs="黑体"/>
          <w:sz w:val="32"/>
          <w:szCs w:val="32"/>
        </w:rPr>
        <w:t>概况</w:t>
      </w:r>
    </w:p>
    <w:p>
      <w:pPr>
        <w:jc w:val="left"/>
        <w:rPr>
          <w:rFonts w:ascii="仿宋" w:hAnsi="仿宋" w:eastAsia="仿宋" w:cs="仿宋"/>
          <w:sz w:val="32"/>
          <w:szCs w:val="32"/>
        </w:rPr>
      </w:pPr>
      <w:r>
        <w:rPr>
          <w:rFonts w:hint="eastAsia" w:ascii="仿宋" w:hAnsi="仿宋" w:eastAsia="仿宋" w:cs="仿宋"/>
          <w:sz w:val="32"/>
          <w:szCs w:val="32"/>
        </w:rPr>
        <w:t>一、本部门职责</w:t>
      </w:r>
    </w:p>
    <w:p>
      <w:pPr>
        <w:jc w:val="left"/>
        <w:rPr>
          <w:rFonts w:ascii="仿宋" w:hAnsi="仿宋" w:eastAsia="仿宋" w:cs="仿宋"/>
          <w:sz w:val="32"/>
          <w:szCs w:val="32"/>
        </w:rPr>
      </w:pPr>
      <w:r>
        <w:rPr>
          <w:rFonts w:hint="eastAsia" w:ascii="仿宋" w:hAnsi="仿宋" w:eastAsia="仿宋" w:cs="仿宋"/>
          <w:sz w:val="32"/>
          <w:szCs w:val="32"/>
        </w:rPr>
        <w:t>二、机构设置情况</w:t>
      </w:r>
    </w:p>
    <w:p>
      <w:pPr>
        <w:jc w:val="left"/>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rPr>
        <w:t>环江毛南族自治县第一幼儿园</w:t>
      </w:r>
      <w:r>
        <w:rPr>
          <w:rFonts w:hint="eastAsia" w:ascii="黑体" w:hAnsi="黑体" w:eastAsia="黑体" w:cs="黑体"/>
          <w:sz w:val="32"/>
          <w:szCs w:val="32"/>
        </w:rPr>
        <w:t>2023年度部门决算报表</w:t>
      </w:r>
    </w:p>
    <w:p>
      <w:pPr>
        <w:rPr>
          <w:rFonts w:ascii="仿宋_GB2312" w:eastAsia="仿宋_GB2312"/>
          <w:sz w:val="32"/>
          <w:szCs w:val="32"/>
        </w:rPr>
      </w:pPr>
      <w:r>
        <w:rPr>
          <w:rFonts w:hint="eastAsia" w:ascii="仿宋_GB2312" w:eastAsia="仿宋_GB2312"/>
          <w:sz w:val="32"/>
          <w:szCs w:val="32"/>
        </w:rPr>
        <w:t>表一：收入支出决算总表</w:t>
      </w:r>
    </w:p>
    <w:p>
      <w:pPr>
        <w:rPr>
          <w:rFonts w:ascii="仿宋_GB2312" w:eastAsia="仿宋_GB2312"/>
          <w:sz w:val="32"/>
          <w:szCs w:val="32"/>
        </w:rPr>
      </w:pPr>
      <w:r>
        <w:rPr>
          <w:rFonts w:hint="eastAsia" w:ascii="仿宋_GB2312" w:eastAsia="仿宋_GB2312"/>
          <w:sz w:val="32"/>
          <w:szCs w:val="32"/>
        </w:rPr>
        <w:t>表二：收入决算表</w:t>
      </w:r>
    </w:p>
    <w:p>
      <w:pPr>
        <w:rPr>
          <w:rFonts w:ascii="仿宋_GB2312" w:eastAsia="仿宋_GB2312"/>
          <w:sz w:val="32"/>
          <w:szCs w:val="32"/>
        </w:rPr>
      </w:pPr>
      <w:r>
        <w:rPr>
          <w:rFonts w:hint="eastAsia" w:ascii="仿宋_GB2312" w:eastAsia="仿宋_GB2312"/>
          <w:sz w:val="32"/>
          <w:szCs w:val="32"/>
        </w:rPr>
        <w:t>表三：支出决算表</w:t>
      </w:r>
    </w:p>
    <w:p>
      <w:pPr>
        <w:rPr>
          <w:rFonts w:ascii="仿宋_GB2312" w:eastAsia="仿宋_GB2312"/>
          <w:sz w:val="32"/>
          <w:szCs w:val="32"/>
        </w:rPr>
      </w:pPr>
      <w:r>
        <w:rPr>
          <w:rFonts w:hint="eastAsia" w:ascii="仿宋_GB2312" w:eastAsia="仿宋_GB2312"/>
          <w:sz w:val="32"/>
          <w:szCs w:val="32"/>
        </w:rPr>
        <w:t>表四：财政拨款收入支出决算总表</w:t>
      </w:r>
    </w:p>
    <w:p>
      <w:pPr>
        <w:rPr>
          <w:rFonts w:ascii="仿宋_GB2312" w:eastAsia="仿宋_GB2312"/>
          <w:sz w:val="32"/>
          <w:szCs w:val="32"/>
        </w:rPr>
      </w:pPr>
      <w:r>
        <w:rPr>
          <w:rFonts w:hint="eastAsia" w:ascii="仿宋_GB2312" w:eastAsia="仿宋_GB2312"/>
          <w:sz w:val="32"/>
          <w:szCs w:val="32"/>
        </w:rPr>
        <w:t>表五：一般公共预算财政拨款支出决算表</w:t>
      </w:r>
    </w:p>
    <w:p>
      <w:pPr>
        <w:rPr>
          <w:rFonts w:ascii="仿宋_GB2312" w:eastAsia="仿宋_GB2312"/>
          <w:sz w:val="32"/>
          <w:szCs w:val="32"/>
        </w:rPr>
      </w:pPr>
      <w:r>
        <w:rPr>
          <w:rFonts w:hint="eastAsia" w:ascii="仿宋_GB2312" w:eastAsia="仿宋_GB2312"/>
          <w:sz w:val="32"/>
          <w:szCs w:val="32"/>
        </w:rPr>
        <w:t>表六：一般公共预算财政拨款基本支出决算明细表</w:t>
      </w:r>
    </w:p>
    <w:p>
      <w:pPr>
        <w:rPr>
          <w:rFonts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rPr>
          <w:rFonts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rPr>
          <w:rFonts w:ascii="仿宋_GB2312" w:eastAsia="仿宋_GB2312"/>
          <w:sz w:val="32"/>
          <w:szCs w:val="32"/>
        </w:rPr>
      </w:pPr>
      <w:r>
        <w:rPr>
          <w:rFonts w:hint="eastAsia" w:ascii="仿宋_GB2312" w:eastAsia="仿宋_GB2312"/>
          <w:sz w:val="32"/>
          <w:szCs w:val="32"/>
        </w:rPr>
        <w:t>表九：财政拨款“三公”经费支出决算表</w:t>
      </w:r>
    </w:p>
    <w:p>
      <w:pPr>
        <w:jc w:val="left"/>
        <w:rPr>
          <w:rFonts w:ascii="仿宋" w:hAnsi="仿宋" w:eastAsia="仿宋" w:cs="仿宋"/>
          <w:sz w:val="32"/>
          <w:szCs w:val="32"/>
        </w:rPr>
      </w:pPr>
      <w:r>
        <w:rPr>
          <w:rFonts w:hint="eastAsia" w:ascii="黑体" w:hAnsi="黑体" w:eastAsia="黑体" w:cs="黑体"/>
          <w:sz w:val="32"/>
          <w:szCs w:val="32"/>
        </w:rPr>
        <w:t>第三部分：</w:t>
      </w:r>
      <w:r>
        <w:rPr>
          <w:rFonts w:ascii="黑体" w:hAnsi="黑体" w:eastAsia="黑体" w:cs="黑体"/>
          <w:sz w:val="32"/>
        </w:rPr>
        <w:t>环江毛南族自治县第一幼儿园</w:t>
      </w:r>
      <w:r>
        <w:rPr>
          <w:rFonts w:hint="eastAsia" w:ascii="黑体" w:hAnsi="黑体" w:eastAsia="黑体" w:cs="黑体"/>
          <w:sz w:val="32"/>
          <w:szCs w:val="32"/>
        </w:rPr>
        <w:t>2023年度部门决算情况说明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2023</w:t>
      </w:r>
      <w:r>
        <w:rPr>
          <w:rFonts w:hint="eastAsia" w:ascii="仿宋_GB2312" w:eastAsia="仿宋_GB2312" w:cs="仿宋_GB2312"/>
          <w:kern w:val="0"/>
          <w:sz w:val="32"/>
          <w:szCs w:val="32"/>
        </w:rPr>
        <w:t>年度收入支出决算总体情况。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三、2023年度一般公共预算财政拨款基本支出决算情况说明。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2023</w:t>
      </w:r>
      <w:r>
        <w:rPr>
          <w:rFonts w:hint="eastAsia" w:ascii="仿宋_GB2312" w:eastAsia="仿宋_GB2312" w:cs="仿宋_GB2312"/>
          <w:kern w:val="0"/>
          <w:sz w:val="32"/>
          <w:szCs w:val="32"/>
        </w:rPr>
        <w:t>年度政府性基金支出决算情况。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五、2023年度国有资本经营预算支出决算情况。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六、财政拨款“三公”经费支出决算情况说明。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jc w:val="left"/>
        <w:rPr>
          <w:rFonts w:ascii="仿宋_GB2312" w:eastAsia="仿宋_GB2312" w:cs="仿宋_GB2312"/>
          <w:kern w:val="0"/>
          <w:sz w:val="32"/>
          <w:szCs w:val="32"/>
        </w:rPr>
      </w:pPr>
      <w:r>
        <w:rPr>
          <w:rFonts w:ascii="仿宋_GB2312" w:eastAsia="仿宋_GB2312" w:cs="仿宋_GB2312"/>
          <w:kern w:val="0"/>
          <w:sz w:val="32"/>
          <w:szCs w:val="32"/>
        </w:rPr>
        <w:t>八、预算绩效管理工作开展情况</w:t>
      </w:r>
      <w:r>
        <w:rPr>
          <w:rFonts w:hint="eastAsia" w:ascii="仿宋_GB2312" w:eastAsia="仿宋_GB2312" w:cs="仿宋_GB2312"/>
          <w:kern w:val="0"/>
          <w:sz w:val="32"/>
          <w:szCs w:val="32"/>
        </w:rPr>
        <w:t>。</w:t>
      </w:r>
    </w:p>
    <w:p>
      <w:pPr>
        <w:jc w:val="left"/>
        <w:rPr>
          <w:rFonts w:ascii="黑体" w:hAnsi="黑体" w:eastAsia="黑体" w:cs="黑体"/>
          <w:sz w:val="32"/>
          <w:szCs w:val="32"/>
        </w:rPr>
      </w:pPr>
      <w:r>
        <w:rPr>
          <w:rFonts w:hint="eastAsia" w:ascii="黑体" w:hAnsi="黑体" w:eastAsia="黑体" w:cs="黑体"/>
          <w:sz w:val="32"/>
          <w:szCs w:val="32"/>
        </w:rPr>
        <w:t>第四部分：名词解释</w:t>
      </w:r>
    </w:p>
    <w:p>
      <w:pPr>
        <w:jc w:val="left"/>
        <w:rPr>
          <w:rFonts w:ascii="黑体" w:hAnsi="黑体" w:eastAsia="黑体" w:cs="黑体"/>
          <w:sz w:val="32"/>
          <w:szCs w:val="32"/>
        </w:rPr>
      </w:pPr>
      <w:r>
        <w:rPr>
          <w:rFonts w:hint="eastAsia" w:ascii="黑体" w:hAnsi="黑体" w:eastAsia="黑体" w:cs="黑体"/>
          <w:sz w:val="32"/>
          <w:szCs w:val="32"/>
        </w:rPr>
        <w:br w:type="page"/>
      </w:r>
    </w:p>
    <w:p>
      <w:pPr>
        <w:jc w:val="center"/>
        <w:rPr>
          <w:rFonts w:ascii="仿宋" w:hAnsi="仿宋" w:eastAsia="仿宋" w:cs="仿宋"/>
          <w:sz w:val="32"/>
          <w:szCs w:val="32"/>
        </w:rPr>
      </w:pPr>
      <w:r>
        <w:rPr>
          <w:rFonts w:hint="eastAsia" w:ascii="黑体" w:hAnsi="黑体" w:eastAsia="黑体" w:cs="黑体"/>
          <w:b/>
          <w:bCs/>
          <w:sz w:val="32"/>
          <w:szCs w:val="32"/>
        </w:rPr>
        <w:t>第一部分：</w:t>
      </w:r>
      <w:r>
        <w:rPr>
          <w:rFonts w:ascii="黑体" w:hAnsi="黑体" w:eastAsia="黑体" w:cs="黑体"/>
          <w:b/>
          <w:sz w:val="32"/>
        </w:rPr>
        <w:t>环江毛南族自治县第一幼儿园</w:t>
      </w:r>
      <w:r>
        <w:rPr>
          <w:rFonts w:hint="eastAsia" w:ascii="黑体" w:hAnsi="黑体" w:eastAsia="黑体" w:cs="黑体"/>
          <w:b/>
          <w:bCs/>
          <w:sz w:val="32"/>
          <w:szCs w:val="32"/>
        </w:rPr>
        <w:t>概况</w:t>
      </w:r>
      <w:bookmarkStart w:id="6" w:name="_GoBack"/>
      <w:bookmarkEnd w:id="6"/>
    </w:p>
    <w:p>
      <w:pPr>
        <w:jc w:val="left"/>
        <w:rPr>
          <w:rFonts w:ascii="仿宋" w:hAnsi="仿宋" w:eastAsia="仿宋" w:cs="仿宋"/>
          <w:sz w:val="32"/>
          <w:szCs w:val="32"/>
        </w:rPr>
      </w:pPr>
      <w:r>
        <w:rPr>
          <w:rFonts w:hint="eastAsia" w:ascii="黑体" w:hAnsi="黑体" w:eastAsia="黑体" w:cs="黑体"/>
          <w:sz w:val="32"/>
          <w:szCs w:val="32"/>
        </w:rPr>
        <w:t>一、本部门职责</w:t>
      </w:r>
    </w:p>
    <w:p>
      <w:pPr>
        <w:autoSpaceDE w:val="0"/>
        <w:autoSpaceDN w:val="0"/>
        <w:adjustRightInd w:val="0"/>
        <w:spacing w:line="52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（一）贯彻执行党和国家的教育方针、政策和法律法规；拟订学校教育改革与发展规划并组织实施。</w:t>
      </w:r>
    </w:p>
    <w:p>
      <w:pPr>
        <w:autoSpaceDE w:val="0"/>
        <w:autoSpaceDN w:val="0"/>
        <w:adjustRightInd w:val="0"/>
        <w:spacing w:line="52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（二）编制本</w:t>
      </w:r>
      <w:r>
        <w:rPr>
          <w:rFonts w:hint="eastAsia" w:ascii="仿宋_GB2312" w:hAnsi="Calibri" w:eastAsia="仿宋_GB2312" w:cs="仿宋_GB2312"/>
          <w:kern w:val="0"/>
          <w:sz w:val="32"/>
          <w:szCs w:val="32"/>
          <w:lang w:val="en-US" w:eastAsia="zh-CN"/>
        </w:rPr>
        <w:t>园</w:t>
      </w:r>
      <w:r>
        <w:rPr>
          <w:rFonts w:hint="eastAsia" w:ascii="仿宋_GB2312" w:hAnsi="Calibri" w:eastAsia="仿宋_GB2312" w:cs="仿宋_GB2312"/>
          <w:kern w:val="0"/>
          <w:sz w:val="32"/>
          <w:szCs w:val="32"/>
        </w:rPr>
        <w:t>幼儿教育发展规划并检查实施情况，向上级教育局作出报告。</w:t>
      </w:r>
    </w:p>
    <w:p>
      <w:pPr>
        <w:autoSpaceDE w:val="0"/>
        <w:autoSpaceDN w:val="0"/>
        <w:adjustRightInd w:val="0"/>
        <w:spacing w:line="52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（三）督促检查本园贯彻执行教育方针、政策、法令、法规和上级的各项规定；评估指导全园教育教学工作。</w:t>
      </w:r>
    </w:p>
    <w:p>
      <w:pPr>
        <w:autoSpaceDE w:val="0"/>
        <w:autoSpaceDN w:val="0"/>
        <w:adjustRightInd w:val="0"/>
        <w:spacing w:line="52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（四）负责推进幼儿教育持续、稳定、健康发展。指导全园教育事业的发展。</w:t>
      </w:r>
    </w:p>
    <w:p>
      <w:pPr>
        <w:autoSpaceDE w:val="0"/>
        <w:autoSpaceDN w:val="0"/>
        <w:adjustRightInd w:val="0"/>
        <w:spacing w:line="52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（五）负责全园幼儿教师队伍建设，岗位培训、教师培训。</w:t>
      </w:r>
    </w:p>
    <w:p>
      <w:pPr>
        <w:autoSpaceDE w:val="0"/>
        <w:autoSpaceDN w:val="0"/>
        <w:adjustRightInd w:val="0"/>
        <w:spacing w:line="52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（六）负责组织本园做好幼儿园学籍管理工作。</w:t>
      </w:r>
    </w:p>
    <w:p>
      <w:pPr>
        <w:autoSpaceDE w:val="0"/>
        <w:autoSpaceDN w:val="0"/>
        <w:adjustRightInd w:val="0"/>
        <w:spacing w:line="52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（七）负责指导全园学生资助管理工作。</w:t>
      </w:r>
    </w:p>
    <w:p>
      <w:pPr>
        <w:autoSpaceDE w:val="0"/>
        <w:autoSpaceDN w:val="0"/>
        <w:adjustRightInd w:val="0"/>
        <w:spacing w:line="52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（八）负责指导推进语言文字和指导推广普通话工作。</w:t>
      </w:r>
    </w:p>
    <w:p>
      <w:pPr>
        <w:autoSpaceDE w:val="0"/>
        <w:autoSpaceDN w:val="0"/>
        <w:adjustRightInd w:val="0"/>
        <w:spacing w:line="52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（九）完成自治县教育局交办的其他工作。</w:t>
      </w:r>
    </w:p>
    <w:p>
      <w:pPr>
        <w:jc w:val="left"/>
        <w:rPr>
          <w:rFonts w:ascii="仿宋" w:hAnsi="仿宋" w:eastAsia="仿宋" w:cs="仿宋"/>
          <w:sz w:val="32"/>
          <w:szCs w:val="32"/>
        </w:rPr>
      </w:pPr>
      <w:r>
        <w:rPr>
          <w:rFonts w:hint="eastAsia" w:ascii="黑体" w:hAnsi="黑体" w:eastAsia="黑体" w:cs="黑体"/>
          <w:sz w:val="32"/>
          <w:szCs w:val="32"/>
        </w:rPr>
        <w:t>二、机构设置情况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本部门决算编制为环江毛南族自治县第一幼儿园本级决算，无内设科室。</w:t>
      </w:r>
    </w:p>
    <w:tbl>
      <w:tblPr>
        <w:tblStyle w:val="7"/>
        <w:tblW w:w="94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5685" w:type="dxa"/>
            <w:tcBorders>
              <w:top w:val="single" w:color="auto" w:sz="4" w:space="0"/>
              <w:left w:val="single" w:color="auto" w:sz="4" w:space="0"/>
              <w:bottom w:val="single" w:color="auto" w:sz="4" w:space="0"/>
              <w:right w:val="single" w:color="auto" w:sz="4" w:space="0"/>
            </w:tcBorders>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仿宋" w:hAnsi="仿宋" w:eastAsia="仿宋" w:cs="仿宋"/>
                <w:b/>
                <w:kern w:val="0"/>
                <w:sz w:val="32"/>
                <w:szCs w:val="32"/>
              </w:rPr>
            </w:pPr>
            <w:bookmarkStart w:id="0" w:name="_Hlk109379180"/>
            <w:r>
              <w:rPr>
                <w:rFonts w:hint="eastAsia" w:ascii="仿宋" w:hAnsi="仿宋" w:eastAsia="仿宋" w:cs="仿宋"/>
                <w:b/>
                <w:kern w:val="0"/>
                <w:sz w:val="32"/>
                <w:szCs w:val="32"/>
              </w:rPr>
              <w:t>单位名称</w:t>
            </w:r>
          </w:p>
        </w:tc>
        <w:tc>
          <w:tcPr>
            <w:tcW w:w="3734" w:type="dxa"/>
            <w:tcBorders>
              <w:top w:val="single" w:color="auto" w:sz="4" w:space="0"/>
              <w:left w:val="single" w:color="auto" w:sz="4" w:space="0"/>
              <w:bottom w:val="single" w:color="auto" w:sz="4" w:space="0"/>
              <w:right w:val="single" w:color="auto" w:sz="4" w:space="0"/>
            </w:tcBorders>
            <w:vAlign w:val="center"/>
          </w:tcPr>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20" w:lineRule="exact"/>
              <w:jc w:val="left"/>
              <w:rPr>
                <w:rFonts w:ascii="仿宋" w:hAnsi="仿宋" w:eastAsia="仿宋" w:cs="仿宋"/>
                <w:b/>
                <w:kern w:val="0"/>
                <w:sz w:val="32"/>
                <w:szCs w:val="32"/>
              </w:rPr>
            </w:pPr>
            <w:r>
              <w:rPr>
                <w:rFonts w:hint="eastAsia" w:ascii="仿宋" w:hAnsi="仿宋" w:eastAsia="仿宋" w:cs="仿宋"/>
                <w:b/>
                <w:kern w:val="0"/>
                <w:sz w:val="32"/>
                <w:szCs w:val="32"/>
              </w:rPr>
              <w:t>单位性质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5685"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32"/>
                <w:szCs w:val="32"/>
              </w:rPr>
            </w:pPr>
            <w:r>
              <w:rPr>
                <w:rFonts w:hint="eastAsia" w:ascii="仿宋_GB2312" w:hAnsi="Calibri" w:eastAsia="仿宋_GB2312" w:cs="仿宋_GB2312"/>
                <w:kern w:val="0"/>
                <w:sz w:val="32"/>
                <w:szCs w:val="32"/>
              </w:rPr>
              <w:t>环江毛南族自治县第一幼儿园</w:t>
            </w:r>
          </w:p>
        </w:tc>
        <w:tc>
          <w:tcPr>
            <w:tcW w:w="3734"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cs="仿宋"/>
                <w:sz w:val="32"/>
                <w:szCs w:val="32"/>
              </w:rPr>
            </w:pPr>
            <w:r>
              <w:rPr>
                <w:rFonts w:hint="eastAsia" w:ascii="仿宋" w:hAnsi="仿宋" w:eastAsia="仿宋" w:cs="仿宋"/>
                <w:sz w:val="32"/>
                <w:szCs w:val="32"/>
              </w:rPr>
              <w:t>财政全额拨款</w:t>
            </w:r>
          </w:p>
        </w:tc>
      </w:tr>
      <w:bookmarkEnd w:id="0"/>
    </w:tbl>
    <w:p>
      <w:pPr>
        <w:ind w:firstLine="320" w:firstLineChars="100"/>
        <w:jc w:val="left"/>
        <w:rPr>
          <w:rFonts w:ascii="仿宋" w:hAnsi="仿宋" w:eastAsia="仿宋" w:cs="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rPr>
        <w:t>2023年全校总编制数27人，其中在职事业编制数25人，教师控制数2人。实际在职在编人员25人；教师控制数2人；自聘人员28人；学校专职保安人员2人。</w:t>
      </w:r>
    </w:p>
    <w:p>
      <w:pPr>
        <w:jc w:val="center"/>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rPr>
        <w:t>环江毛南族自治县第一幼儿园</w:t>
      </w:r>
      <w:r>
        <w:rPr>
          <w:rFonts w:hint="eastAsia" w:ascii="黑体" w:hAnsi="黑体" w:eastAsia="黑体" w:cs="黑体"/>
          <w:sz w:val="32"/>
          <w:szCs w:val="32"/>
        </w:rPr>
        <w:t>2023年度部门决算报表</w:t>
      </w:r>
    </w:p>
    <w:tbl>
      <w:tblPr>
        <w:tblStyle w:val="7"/>
        <w:tblW w:w="13960" w:type="dxa"/>
        <w:tblInd w:w="96" w:type="dxa"/>
        <w:tblLayout w:type="autofit"/>
        <w:tblCellMar>
          <w:top w:w="0" w:type="dxa"/>
          <w:left w:w="108" w:type="dxa"/>
          <w:bottom w:w="0" w:type="dxa"/>
          <w:right w:w="108" w:type="dxa"/>
        </w:tblCellMar>
      </w:tblPr>
      <w:tblGrid>
        <w:gridCol w:w="14078"/>
      </w:tblGrid>
      <w:tr>
        <w:tblPrEx>
          <w:tblCellMar>
            <w:top w:w="0" w:type="dxa"/>
            <w:left w:w="108" w:type="dxa"/>
            <w:bottom w:w="0" w:type="dxa"/>
            <w:right w:w="108" w:type="dxa"/>
          </w:tblCellMar>
        </w:tblPrEx>
        <w:trPr>
          <w:trHeight w:val="951" w:hRule="atLeast"/>
        </w:trPr>
        <w:tc>
          <w:tcPr>
            <w:tcW w:w="13960" w:type="dxa"/>
            <w:tcBorders>
              <w:top w:val="nil"/>
              <w:left w:val="nil"/>
              <w:bottom w:val="nil"/>
              <w:right w:val="nil"/>
            </w:tcBorders>
            <w:shd w:val="clear" w:color="auto" w:fill="auto"/>
            <w:noWrap/>
            <w:vAlign w:val="bottom"/>
          </w:tcPr>
          <w:p>
            <w:pPr>
              <w:widowControl/>
              <w:jc w:val="center"/>
              <w:textAlignment w:val="bottom"/>
              <w:rPr>
                <w:rFonts w:ascii="宋体" w:hAnsi="宋体" w:eastAsia="宋体" w:cs="宋体"/>
                <w:kern w:val="0"/>
                <w:sz w:val="32"/>
                <w:szCs w:val="32"/>
              </w:rPr>
            </w:pPr>
            <w:r>
              <w:rPr>
                <w:rFonts w:hint="eastAsia" w:ascii="宋体" w:hAnsi="宋体" w:eastAsia="宋体" w:cs="宋体"/>
                <w:kern w:val="0"/>
                <w:sz w:val="32"/>
                <w:szCs w:val="32"/>
              </w:rPr>
              <w:t>表一：收入支出决算总表</w:t>
            </w:r>
          </w:p>
          <w:p>
            <w:pPr>
              <w:ind w:firstLine="12800" w:firstLineChars="6400"/>
              <w:jc w:val="left"/>
              <w:rPr>
                <w:rFonts w:ascii="仿宋" w:hAnsi="仿宋" w:eastAsia="仿宋" w:cs="仿宋"/>
                <w:sz w:val="24"/>
              </w:rPr>
            </w:pPr>
            <w:r>
              <w:rPr>
                <w:rFonts w:hint="eastAsia" w:ascii="宋体" w:hAnsi="宋体" w:eastAsia="宋体" w:cs="宋体"/>
                <w:kern w:val="0"/>
                <w:sz w:val="20"/>
                <w:szCs w:val="20"/>
              </w:rPr>
              <w:t>公开01表</w:t>
            </w:r>
          </w:p>
          <w:p>
            <w:pPr>
              <w:rPr>
                <w:rFonts w:ascii="宋体" w:hAnsi="宋体" w:eastAsia="宋体" w:cs="宋体"/>
                <w:kern w:val="0"/>
                <w:sz w:val="30"/>
                <w:szCs w:val="30"/>
              </w:rPr>
            </w:pPr>
            <w:r>
              <w:rPr>
                <w:rFonts w:hint="eastAsia" w:ascii="宋体" w:hAnsi="宋体" w:eastAsia="宋体" w:cs="宋体"/>
                <w:kern w:val="0"/>
                <w:sz w:val="20"/>
                <w:szCs w:val="20"/>
              </w:rPr>
              <w:t>部门：</w:t>
            </w:r>
            <w:r>
              <w:rPr>
                <w:rFonts w:ascii="宋体" w:hAnsi="宋体" w:eastAsia="宋体" w:cs="宋体"/>
                <w:sz w:val="20"/>
              </w:rPr>
              <w:t>环江毛南族自治县第一幼儿园</w:t>
            </w:r>
            <w:r>
              <w:rPr>
                <w:rFonts w:hint="eastAsia" w:ascii="宋体" w:hAnsi="宋体" w:eastAsia="宋体" w:cs="宋体"/>
                <w:sz w:val="20"/>
              </w:rPr>
              <w:t>　　　　　　　　　　　　　　　　　　　　　　　　　　　　　　　　　　　　　　　　　　　　　　</w:t>
            </w:r>
            <w:r>
              <w:rPr>
                <w:rFonts w:hint="eastAsia" w:ascii="宋体" w:hAnsi="宋体" w:eastAsia="宋体" w:cs="宋体"/>
                <w:kern w:val="0"/>
                <w:sz w:val="20"/>
                <w:szCs w:val="20"/>
              </w:rPr>
              <w:t>金额单位：万元</w:t>
            </w:r>
          </w:p>
          <w:tbl>
            <w:tblPr>
              <w:tblStyle w:val="7"/>
              <w:tblW w:w="14120" w:type="dxa"/>
              <w:tblInd w:w="0" w:type="dxa"/>
              <w:tblLayout w:type="autofit"/>
              <w:tblCellMar>
                <w:top w:w="0" w:type="dxa"/>
                <w:left w:w="108" w:type="dxa"/>
                <w:bottom w:w="0" w:type="dxa"/>
                <w:right w:w="108" w:type="dxa"/>
              </w:tblCellMar>
            </w:tblPr>
            <w:tblGrid>
              <w:gridCol w:w="5216"/>
              <w:gridCol w:w="695"/>
              <w:gridCol w:w="1017"/>
              <w:gridCol w:w="5133"/>
              <w:gridCol w:w="728"/>
              <w:gridCol w:w="1068"/>
            </w:tblGrid>
            <w:tr>
              <w:tblPrEx>
                <w:tblCellMar>
                  <w:top w:w="0" w:type="dxa"/>
                  <w:left w:w="108" w:type="dxa"/>
                  <w:bottom w:w="0" w:type="dxa"/>
                  <w:right w:w="108" w:type="dxa"/>
                </w:tblCellMar>
              </w:tblPrEx>
              <w:trPr>
                <w:trHeight w:val="300" w:hRule="atLeast"/>
              </w:trPr>
              <w:tc>
                <w:tcPr>
                  <w:tcW w:w="7060" w:type="dxa"/>
                  <w:gridSpan w:val="3"/>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收入</w:t>
                  </w:r>
                </w:p>
              </w:tc>
              <w:tc>
                <w:tcPr>
                  <w:tcW w:w="7060" w:type="dxa"/>
                  <w:gridSpan w:val="3"/>
                  <w:tcBorders>
                    <w:top w:val="single" w:color="000000" w:sz="4" w:space="0"/>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支出</w:t>
                  </w:r>
                </w:p>
              </w:tc>
            </w:tr>
            <w:tr>
              <w:tblPrEx>
                <w:tblCellMar>
                  <w:top w:w="0" w:type="dxa"/>
                  <w:left w:w="108" w:type="dxa"/>
                  <w:bottom w:w="0" w:type="dxa"/>
                  <w:right w:w="108" w:type="dxa"/>
                </w:tblCellMar>
              </w:tblPrEx>
              <w:trPr>
                <w:trHeight w:val="300" w:hRule="atLeast"/>
              </w:trPr>
              <w:tc>
                <w:tcPr>
                  <w:tcW w:w="5321" w:type="dxa"/>
                  <w:tcBorders>
                    <w:top w:val="nil"/>
                    <w:left w:val="single" w:color="000000" w:sz="4" w:space="0"/>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项目</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行次</w:t>
                  </w:r>
                </w:p>
              </w:tc>
              <w:tc>
                <w:tcPr>
                  <w:tcW w:w="1034"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金额</w:t>
                  </w:r>
                </w:p>
              </w:tc>
              <w:tc>
                <w:tcPr>
                  <w:tcW w:w="5236"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项目</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行次</w:t>
                  </w:r>
                </w:p>
              </w:tc>
              <w:tc>
                <w:tcPr>
                  <w:tcW w:w="108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金额</w:t>
                  </w:r>
                </w:p>
              </w:tc>
            </w:tr>
            <w:tr>
              <w:tblPrEx>
                <w:tblCellMar>
                  <w:top w:w="0" w:type="dxa"/>
                  <w:left w:w="108" w:type="dxa"/>
                  <w:bottom w:w="0" w:type="dxa"/>
                  <w:right w:w="108" w:type="dxa"/>
                </w:tblCellMar>
              </w:tblPrEx>
              <w:trPr>
                <w:trHeight w:val="300" w:hRule="atLeast"/>
              </w:trPr>
              <w:tc>
                <w:tcPr>
                  <w:tcW w:w="5321" w:type="dxa"/>
                  <w:tcBorders>
                    <w:top w:val="nil"/>
                    <w:left w:val="single" w:color="000000" w:sz="4" w:space="0"/>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栏次</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034"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w:t>
                  </w:r>
                </w:p>
              </w:tc>
              <w:tc>
                <w:tcPr>
                  <w:tcW w:w="5236"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栏次</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108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w:t>
                  </w:r>
                </w:p>
              </w:tc>
            </w:tr>
            <w:tr>
              <w:tblPrEx>
                <w:tblCellMar>
                  <w:top w:w="0" w:type="dxa"/>
                  <w:left w:w="108" w:type="dxa"/>
                  <w:bottom w:w="0" w:type="dxa"/>
                  <w:right w:w="108" w:type="dxa"/>
                </w:tblCellMar>
              </w:tblPrEx>
              <w:trPr>
                <w:trHeight w:val="300" w:hRule="atLeast"/>
              </w:trPr>
              <w:tc>
                <w:tcPr>
                  <w:tcW w:w="5321" w:type="dxa"/>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一、一般公共预算财政拨款收入</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541.21</w:t>
                  </w:r>
                </w:p>
              </w:tc>
              <w:tc>
                <w:tcPr>
                  <w:tcW w:w="5236" w:type="dxa"/>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一、一般公共服务支出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32</w:t>
                  </w:r>
                </w:p>
              </w:tc>
              <w:tc>
                <w:tcPr>
                  <w:tcW w:w="1085"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rPr>
                    <w:t>4.6</w:t>
                  </w:r>
                  <w:r>
                    <w:rPr>
                      <w:rFonts w:hint="eastAsia" w:ascii="宋体" w:hAnsi="宋体" w:eastAsia="宋体" w:cs="宋体"/>
                      <w:kern w:val="0"/>
                      <w:sz w:val="22"/>
                      <w:szCs w:val="22"/>
                      <w:lang w:val="en-US" w:eastAsia="zh-CN"/>
                    </w:rPr>
                    <w:t>3</w:t>
                  </w:r>
                </w:p>
              </w:tc>
            </w:tr>
            <w:tr>
              <w:tblPrEx>
                <w:tblCellMar>
                  <w:top w:w="0" w:type="dxa"/>
                  <w:left w:w="108" w:type="dxa"/>
                  <w:bottom w:w="0" w:type="dxa"/>
                  <w:right w:w="108" w:type="dxa"/>
                </w:tblCellMar>
              </w:tblPrEx>
              <w:trPr>
                <w:trHeight w:val="300" w:hRule="atLeast"/>
              </w:trPr>
              <w:tc>
                <w:tcPr>
                  <w:tcW w:w="5321" w:type="dxa"/>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二、政府性基金预算财政拨款收入</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6" w:type="dxa"/>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二、外交支出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33</w:t>
                  </w:r>
                </w:p>
              </w:tc>
              <w:tc>
                <w:tcPr>
                  <w:tcW w:w="1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5321" w:type="dxa"/>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三、国有资本经营预算财政拨款收入</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6" w:type="dxa"/>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三、国防支出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34</w:t>
                  </w:r>
                </w:p>
              </w:tc>
              <w:tc>
                <w:tcPr>
                  <w:tcW w:w="1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5321" w:type="dxa"/>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四、上级补助收入</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4</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6" w:type="dxa"/>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四、公共安全支出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35</w:t>
                  </w:r>
                </w:p>
              </w:tc>
              <w:tc>
                <w:tcPr>
                  <w:tcW w:w="1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5321" w:type="dxa"/>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五、事业收入</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5</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6" w:type="dxa"/>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五、教育支出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36</w:t>
                  </w:r>
                </w:p>
              </w:tc>
              <w:tc>
                <w:tcPr>
                  <w:tcW w:w="1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430.27</w:t>
                  </w:r>
                </w:p>
              </w:tc>
            </w:tr>
            <w:tr>
              <w:tblPrEx>
                <w:tblCellMar>
                  <w:top w:w="0" w:type="dxa"/>
                  <w:left w:w="108" w:type="dxa"/>
                  <w:bottom w:w="0" w:type="dxa"/>
                  <w:right w:w="108" w:type="dxa"/>
                </w:tblCellMar>
              </w:tblPrEx>
              <w:trPr>
                <w:trHeight w:val="300" w:hRule="atLeast"/>
              </w:trPr>
              <w:tc>
                <w:tcPr>
                  <w:tcW w:w="5321" w:type="dxa"/>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六、经营收入</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6</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6" w:type="dxa"/>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六、科学技术支出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37</w:t>
                  </w:r>
                </w:p>
              </w:tc>
              <w:tc>
                <w:tcPr>
                  <w:tcW w:w="1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5321" w:type="dxa"/>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七、附属单位上缴收入</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7</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6" w:type="dxa"/>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七、文化旅游体育与传媒支出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38</w:t>
                  </w:r>
                </w:p>
              </w:tc>
              <w:tc>
                <w:tcPr>
                  <w:tcW w:w="1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5321" w:type="dxa"/>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八、其他收入</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8</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6" w:type="dxa"/>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八、社会保障和就业支出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39</w:t>
                  </w:r>
                </w:p>
              </w:tc>
              <w:tc>
                <w:tcPr>
                  <w:tcW w:w="1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35.69</w:t>
                  </w:r>
                </w:p>
              </w:tc>
            </w:tr>
            <w:tr>
              <w:tblPrEx>
                <w:tblCellMar>
                  <w:top w:w="0" w:type="dxa"/>
                  <w:left w:w="108" w:type="dxa"/>
                  <w:bottom w:w="0" w:type="dxa"/>
                  <w:right w:w="108" w:type="dxa"/>
                </w:tblCellMar>
              </w:tblPrEx>
              <w:trPr>
                <w:trHeight w:val="300" w:hRule="atLeast"/>
              </w:trPr>
              <w:tc>
                <w:tcPr>
                  <w:tcW w:w="5321" w:type="dxa"/>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9</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6" w:type="dxa"/>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九、卫生健康支出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40</w:t>
                  </w:r>
                </w:p>
              </w:tc>
              <w:tc>
                <w:tcPr>
                  <w:tcW w:w="1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5321" w:type="dxa"/>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10</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6" w:type="dxa"/>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十、节能环保支出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41</w:t>
                  </w:r>
                </w:p>
              </w:tc>
              <w:tc>
                <w:tcPr>
                  <w:tcW w:w="1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5321" w:type="dxa"/>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11</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6" w:type="dxa"/>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十一、城乡社区支出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42</w:t>
                  </w:r>
                </w:p>
              </w:tc>
              <w:tc>
                <w:tcPr>
                  <w:tcW w:w="1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5321" w:type="dxa"/>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6" w:type="dxa"/>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十二、农林水支出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43</w:t>
                  </w:r>
                </w:p>
              </w:tc>
              <w:tc>
                <w:tcPr>
                  <w:tcW w:w="1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5321" w:type="dxa"/>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13</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6" w:type="dxa"/>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十三、交通运输支出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44</w:t>
                  </w:r>
                </w:p>
              </w:tc>
              <w:tc>
                <w:tcPr>
                  <w:tcW w:w="1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5321" w:type="dxa"/>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14</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6" w:type="dxa"/>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十四、资源勘探工业信息等支出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45</w:t>
                  </w:r>
                </w:p>
              </w:tc>
              <w:tc>
                <w:tcPr>
                  <w:tcW w:w="1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5321" w:type="dxa"/>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15</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6" w:type="dxa"/>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十五、商业服务业等支出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46</w:t>
                  </w:r>
                </w:p>
              </w:tc>
              <w:tc>
                <w:tcPr>
                  <w:tcW w:w="1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5321" w:type="dxa"/>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16</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6" w:type="dxa"/>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十六、金融支出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47</w:t>
                  </w:r>
                </w:p>
              </w:tc>
              <w:tc>
                <w:tcPr>
                  <w:tcW w:w="1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5321" w:type="dxa"/>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17</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6" w:type="dxa"/>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十七、援助其他地区支出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48</w:t>
                  </w:r>
                </w:p>
              </w:tc>
              <w:tc>
                <w:tcPr>
                  <w:tcW w:w="1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5321" w:type="dxa"/>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18</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6" w:type="dxa"/>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十八、自然资源海洋气象等支出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49</w:t>
                  </w:r>
                </w:p>
              </w:tc>
              <w:tc>
                <w:tcPr>
                  <w:tcW w:w="1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5321" w:type="dxa"/>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19</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6" w:type="dxa"/>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十九、住房保障支出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50</w:t>
                  </w:r>
                </w:p>
              </w:tc>
              <w:tc>
                <w:tcPr>
                  <w:tcW w:w="1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26.52</w:t>
                  </w:r>
                </w:p>
              </w:tc>
            </w:tr>
            <w:tr>
              <w:tblPrEx>
                <w:tblCellMar>
                  <w:top w:w="0" w:type="dxa"/>
                  <w:left w:w="108" w:type="dxa"/>
                  <w:bottom w:w="0" w:type="dxa"/>
                  <w:right w:w="108" w:type="dxa"/>
                </w:tblCellMar>
              </w:tblPrEx>
              <w:trPr>
                <w:trHeight w:val="300" w:hRule="atLeast"/>
              </w:trPr>
              <w:tc>
                <w:tcPr>
                  <w:tcW w:w="5321" w:type="dxa"/>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20</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6" w:type="dxa"/>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二十、粮油物资储备支出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51</w:t>
                  </w:r>
                </w:p>
              </w:tc>
              <w:tc>
                <w:tcPr>
                  <w:tcW w:w="1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5321" w:type="dxa"/>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21</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6" w:type="dxa"/>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二十一、国有资本经营预算支出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52</w:t>
                  </w:r>
                </w:p>
              </w:tc>
              <w:tc>
                <w:tcPr>
                  <w:tcW w:w="1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5321" w:type="dxa"/>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22</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6" w:type="dxa"/>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二十二、灾害防治及应急管理支出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53</w:t>
                  </w:r>
                </w:p>
              </w:tc>
              <w:tc>
                <w:tcPr>
                  <w:tcW w:w="1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5321" w:type="dxa"/>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23</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6" w:type="dxa"/>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二十三、其他支出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54</w:t>
                  </w:r>
                </w:p>
              </w:tc>
              <w:tc>
                <w:tcPr>
                  <w:tcW w:w="1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44.10</w:t>
                  </w:r>
                </w:p>
              </w:tc>
            </w:tr>
            <w:tr>
              <w:tblPrEx>
                <w:tblCellMar>
                  <w:top w:w="0" w:type="dxa"/>
                  <w:left w:w="108" w:type="dxa"/>
                  <w:bottom w:w="0" w:type="dxa"/>
                  <w:right w:w="108" w:type="dxa"/>
                </w:tblCellMar>
              </w:tblPrEx>
              <w:trPr>
                <w:trHeight w:val="300" w:hRule="atLeast"/>
              </w:trPr>
              <w:tc>
                <w:tcPr>
                  <w:tcW w:w="5321" w:type="dxa"/>
                  <w:tcBorders>
                    <w:top w:val="nil"/>
                    <w:left w:val="single" w:color="000000" w:sz="4" w:space="0"/>
                    <w:bottom w:val="single" w:color="000000" w:sz="4" w:space="0"/>
                    <w:right w:val="single" w:color="000000" w:sz="4" w:space="0"/>
                  </w:tcBorders>
                  <w:shd w:val="clear" w:color="000000" w:fill="F1F1F1"/>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24</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5236" w:type="dxa"/>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二十四、债务还本支出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55</w:t>
                  </w:r>
                </w:p>
              </w:tc>
              <w:tc>
                <w:tcPr>
                  <w:tcW w:w="1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5321" w:type="dxa"/>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25</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5236" w:type="dxa"/>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二十五、债务付息支出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56</w:t>
                  </w:r>
                </w:p>
              </w:tc>
              <w:tc>
                <w:tcPr>
                  <w:tcW w:w="1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5321" w:type="dxa"/>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26</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5236" w:type="dxa"/>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二十六、抗疫特别国债安排的支出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57</w:t>
                  </w:r>
                </w:p>
              </w:tc>
              <w:tc>
                <w:tcPr>
                  <w:tcW w:w="1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5321" w:type="dxa"/>
                  <w:tcBorders>
                    <w:top w:val="nil"/>
                    <w:left w:val="single" w:color="000000" w:sz="4" w:space="0"/>
                    <w:bottom w:val="single" w:color="000000" w:sz="4" w:space="0"/>
                    <w:right w:val="single" w:color="000000" w:sz="4" w:space="0"/>
                  </w:tcBorders>
                  <w:shd w:val="clear" w:color="000000" w:fill="F1F1F1"/>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本年收入合计</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27</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541.21</w:t>
                  </w:r>
                </w:p>
              </w:tc>
              <w:tc>
                <w:tcPr>
                  <w:tcW w:w="5236"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本年支出合计</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58</w:t>
                  </w:r>
                </w:p>
              </w:tc>
              <w:tc>
                <w:tcPr>
                  <w:tcW w:w="1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541.21</w:t>
                  </w:r>
                </w:p>
              </w:tc>
            </w:tr>
            <w:tr>
              <w:tblPrEx>
                <w:tblCellMar>
                  <w:top w:w="0" w:type="dxa"/>
                  <w:left w:w="108" w:type="dxa"/>
                  <w:bottom w:w="0" w:type="dxa"/>
                  <w:right w:w="108" w:type="dxa"/>
                </w:tblCellMar>
              </w:tblPrEx>
              <w:trPr>
                <w:trHeight w:val="300" w:hRule="atLeast"/>
              </w:trPr>
              <w:tc>
                <w:tcPr>
                  <w:tcW w:w="5321" w:type="dxa"/>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使用非财政拨款结余（含专用结余）</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28</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6" w:type="dxa"/>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结余分配</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59</w:t>
                  </w:r>
                </w:p>
              </w:tc>
              <w:tc>
                <w:tcPr>
                  <w:tcW w:w="1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5321" w:type="dxa"/>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年初结转和结余</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29</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6" w:type="dxa"/>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年末结转和结余</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60</w:t>
                  </w:r>
                </w:p>
              </w:tc>
              <w:tc>
                <w:tcPr>
                  <w:tcW w:w="1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5321" w:type="dxa"/>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6" w:type="dxa"/>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61</w:t>
                  </w:r>
                </w:p>
              </w:tc>
              <w:tc>
                <w:tcPr>
                  <w:tcW w:w="1085"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5321" w:type="dxa"/>
                  <w:tcBorders>
                    <w:top w:val="nil"/>
                    <w:left w:val="single" w:color="000000" w:sz="4" w:space="0"/>
                    <w:bottom w:val="single" w:color="000000" w:sz="4" w:space="0"/>
                    <w:right w:val="single" w:color="000000" w:sz="4" w:space="0"/>
                  </w:tcBorders>
                  <w:shd w:val="clear" w:color="000000" w:fill="F1F1F1"/>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总计</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31</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541.21</w:t>
                  </w:r>
                </w:p>
              </w:tc>
              <w:tc>
                <w:tcPr>
                  <w:tcW w:w="5236"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总计</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62</w:t>
                  </w:r>
                </w:p>
              </w:tc>
              <w:tc>
                <w:tcPr>
                  <w:tcW w:w="108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541.21</w:t>
                  </w:r>
                </w:p>
              </w:tc>
            </w:tr>
            <w:tr>
              <w:tblPrEx>
                <w:tblCellMar>
                  <w:top w:w="0" w:type="dxa"/>
                  <w:left w:w="108" w:type="dxa"/>
                  <w:bottom w:w="0" w:type="dxa"/>
                  <w:right w:w="108" w:type="dxa"/>
                </w:tblCellMar>
              </w:tblPrEx>
              <w:trPr>
                <w:trHeight w:val="300" w:hRule="atLeast"/>
              </w:trPr>
              <w:tc>
                <w:tcPr>
                  <w:tcW w:w="14120" w:type="dxa"/>
                  <w:gridSpan w:val="6"/>
                  <w:tcBorders>
                    <w:top w:val="single" w:color="000000" w:sz="4" w:space="0"/>
                    <w:left w:val="nil"/>
                    <w:bottom w:val="nil"/>
                    <w:right w:val="nil"/>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注：1.本表反映部门本年度的总收支和年末结转结余情况。</w:t>
                  </w:r>
                </w:p>
              </w:tc>
            </w:tr>
          </w:tbl>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widowControl/>
              <w:jc w:val="center"/>
              <w:textAlignment w:val="bottom"/>
              <w:rPr>
                <w:rFonts w:ascii="宋体" w:hAnsi="宋体" w:eastAsia="宋体" w:cs="宋体"/>
                <w:kern w:val="0"/>
                <w:sz w:val="32"/>
                <w:szCs w:val="32"/>
              </w:rPr>
            </w:pPr>
            <w:r>
              <w:rPr>
                <w:rFonts w:hint="eastAsia" w:ascii="宋体" w:hAnsi="宋体" w:eastAsia="宋体" w:cs="宋体"/>
                <w:kern w:val="0"/>
                <w:sz w:val="32"/>
                <w:szCs w:val="32"/>
              </w:rPr>
              <w:t>表二：收入决算表</w:t>
            </w:r>
          </w:p>
          <w:p>
            <w:pPr>
              <w:ind w:firstLine="12800" w:firstLineChars="6400"/>
              <w:jc w:val="left"/>
              <w:rPr>
                <w:rFonts w:ascii="仿宋" w:hAnsi="仿宋" w:eastAsia="仿宋" w:cs="仿宋"/>
                <w:sz w:val="24"/>
              </w:rPr>
            </w:pPr>
            <w:r>
              <w:rPr>
                <w:rFonts w:hint="eastAsia" w:ascii="宋体" w:hAnsi="宋体" w:eastAsia="宋体" w:cs="宋体"/>
                <w:kern w:val="0"/>
                <w:sz w:val="20"/>
                <w:szCs w:val="20"/>
              </w:rPr>
              <w:t>公开02表</w:t>
            </w:r>
          </w:p>
          <w:p>
            <w:pPr>
              <w:rPr>
                <w:rFonts w:ascii="宋体" w:hAnsi="宋体" w:eastAsia="宋体" w:cs="宋体"/>
                <w:kern w:val="0"/>
                <w:sz w:val="30"/>
                <w:szCs w:val="30"/>
              </w:rPr>
            </w:pPr>
            <w:r>
              <w:rPr>
                <w:rFonts w:hint="eastAsia" w:ascii="宋体" w:hAnsi="宋体" w:eastAsia="宋体" w:cs="宋体"/>
                <w:kern w:val="0"/>
                <w:sz w:val="20"/>
                <w:szCs w:val="20"/>
              </w:rPr>
              <w:t>部门：</w:t>
            </w:r>
            <w:r>
              <w:rPr>
                <w:rFonts w:ascii="宋体" w:hAnsi="宋体" w:eastAsia="宋体" w:cs="宋体"/>
                <w:sz w:val="20"/>
              </w:rPr>
              <w:t>环江毛南族自治县第一幼儿园</w:t>
            </w:r>
            <w:r>
              <w:rPr>
                <w:rFonts w:hint="eastAsia" w:ascii="宋体" w:hAnsi="宋体" w:eastAsia="宋体" w:cs="宋体"/>
                <w:sz w:val="20"/>
              </w:rPr>
              <w:t>　　　　　　　　　　　　　　　　　　　　　　　　　　　　　　　　　　　　　　　　　　　　　　</w:t>
            </w:r>
            <w:r>
              <w:rPr>
                <w:rFonts w:hint="eastAsia" w:ascii="宋体" w:hAnsi="宋体" w:eastAsia="宋体" w:cs="宋体"/>
                <w:kern w:val="0"/>
                <w:sz w:val="20"/>
                <w:szCs w:val="20"/>
              </w:rPr>
              <w:t>金额单位：万元</w:t>
            </w:r>
          </w:p>
          <w:tbl>
            <w:tblPr>
              <w:tblStyle w:val="7"/>
              <w:tblW w:w="17560" w:type="dxa"/>
              <w:tblInd w:w="0" w:type="dxa"/>
              <w:tblLayout w:type="autofit"/>
              <w:tblCellMar>
                <w:top w:w="0" w:type="dxa"/>
                <w:left w:w="108" w:type="dxa"/>
                <w:bottom w:w="0" w:type="dxa"/>
                <w:right w:w="108" w:type="dxa"/>
              </w:tblCellMar>
            </w:tblPr>
            <w:tblGrid>
              <w:gridCol w:w="829"/>
              <w:gridCol w:w="3057"/>
              <w:gridCol w:w="1424"/>
              <w:gridCol w:w="1424"/>
              <w:gridCol w:w="1424"/>
              <w:gridCol w:w="1424"/>
              <w:gridCol w:w="1425"/>
              <w:gridCol w:w="1425"/>
              <w:gridCol w:w="1425"/>
            </w:tblGrid>
            <w:tr>
              <w:tblPrEx>
                <w:tblCellMar>
                  <w:top w:w="0" w:type="dxa"/>
                  <w:left w:w="108" w:type="dxa"/>
                  <w:bottom w:w="0" w:type="dxa"/>
                  <w:right w:w="108" w:type="dxa"/>
                </w:tblCellMar>
              </w:tblPrEx>
              <w:trPr>
                <w:trHeight w:val="300" w:hRule="atLeast"/>
              </w:trPr>
              <w:tc>
                <w:tcPr>
                  <w:tcW w:w="4960" w:type="dxa"/>
                  <w:gridSpan w:val="2"/>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本年收入合计</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财政拨款收入</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上级补助收入</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事业收入</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经营收入</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附属单位上缴收入</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其他收入</w:t>
                  </w:r>
                </w:p>
              </w:tc>
            </w:tr>
            <w:tr>
              <w:tblPrEx>
                <w:tblCellMar>
                  <w:top w:w="0" w:type="dxa"/>
                  <w:left w:w="108" w:type="dxa"/>
                  <w:bottom w:w="0" w:type="dxa"/>
                  <w:right w:w="108" w:type="dxa"/>
                </w:tblCellMar>
              </w:tblPrEx>
              <w:trPr>
                <w:trHeight w:val="312"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科目代码</w:t>
                  </w:r>
                </w:p>
              </w:tc>
              <w:tc>
                <w:tcPr>
                  <w:tcW w:w="3940" w:type="dxa"/>
                  <w:vMerge w:val="restart"/>
                  <w:tcBorders>
                    <w:top w:val="nil"/>
                    <w:left w:val="single" w:color="000000" w:sz="4" w:space="0"/>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科目名称</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312" w:hRule="atLeast"/>
              </w:trPr>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394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312" w:hRule="atLeast"/>
              </w:trPr>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394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405" w:hRule="atLeast"/>
              </w:trPr>
              <w:tc>
                <w:tcPr>
                  <w:tcW w:w="4960" w:type="dxa"/>
                  <w:gridSpan w:val="2"/>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栏次</w:t>
                  </w:r>
                </w:p>
              </w:tc>
              <w:tc>
                <w:tcPr>
                  <w:tcW w:w="1800" w:type="dxa"/>
                  <w:tcBorders>
                    <w:top w:val="nil"/>
                    <w:left w:val="nil"/>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w:t>
                  </w:r>
                </w:p>
              </w:tc>
              <w:tc>
                <w:tcPr>
                  <w:tcW w:w="1800" w:type="dxa"/>
                  <w:tcBorders>
                    <w:top w:val="nil"/>
                    <w:left w:val="nil"/>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w:t>
                  </w:r>
                </w:p>
              </w:tc>
              <w:tc>
                <w:tcPr>
                  <w:tcW w:w="1800" w:type="dxa"/>
                  <w:tcBorders>
                    <w:top w:val="nil"/>
                    <w:left w:val="nil"/>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w:t>
                  </w:r>
                </w:p>
              </w:tc>
              <w:tc>
                <w:tcPr>
                  <w:tcW w:w="1800" w:type="dxa"/>
                  <w:tcBorders>
                    <w:top w:val="nil"/>
                    <w:left w:val="nil"/>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4</w:t>
                  </w:r>
                </w:p>
              </w:tc>
              <w:tc>
                <w:tcPr>
                  <w:tcW w:w="1800" w:type="dxa"/>
                  <w:tcBorders>
                    <w:top w:val="nil"/>
                    <w:left w:val="nil"/>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5</w:t>
                  </w:r>
                </w:p>
              </w:tc>
              <w:tc>
                <w:tcPr>
                  <w:tcW w:w="1800" w:type="dxa"/>
                  <w:tcBorders>
                    <w:top w:val="nil"/>
                    <w:left w:val="nil"/>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6</w:t>
                  </w:r>
                </w:p>
              </w:tc>
              <w:tc>
                <w:tcPr>
                  <w:tcW w:w="1800" w:type="dxa"/>
                  <w:tcBorders>
                    <w:top w:val="nil"/>
                    <w:left w:val="nil"/>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7</w:t>
                  </w:r>
                </w:p>
              </w:tc>
            </w:tr>
            <w:tr>
              <w:tblPrEx>
                <w:tblCellMar>
                  <w:top w:w="0" w:type="dxa"/>
                  <w:left w:w="108" w:type="dxa"/>
                  <w:bottom w:w="0" w:type="dxa"/>
                  <w:right w:w="108" w:type="dxa"/>
                </w:tblCellMar>
              </w:tblPrEx>
              <w:trPr>
                <w:trHeight w:val="405" w:hRule="atLeast"/>
              </w:trPr>
              <w:tc>
                <w:tcPr>
                  <w:tcW w:w="4960" w:type="dxa"/>
                  <w:gridSpan w:val="2"/>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合计</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541.21</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541.21</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r>
            <w:tr>
              <w:tblPrEx>
                <w:tblCellMar>
                  <w:top w:w="0" w:type="dxa"/>
                  <w:left w:w="108" w:type="dxa"/>
                  <w:bottom w:w="0" w:type="dxa"/>
                  <w:right w:w="108" w:type="dxa"/>
                </w:tblCellMar>
              </w:tblPrEx>
              <w:trPr>
                <w:trHeight w:val="300" w:hRule="atLeast"/>
              </w:trPr>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2012999</w:t>
                  </w:r>
                </w:p>
              </w:tc>
              <w:tc>
                <w:tcPr>
                  <w:tcW w:w="39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其他群众团体事务支出</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rPr>
                    <w:t>4.6</w:t>
                  </w:r>
                  <w:r>
                    <w:rPr>
                      <w:rFonts w:hint="eastAsia" w:ascii="宋体" w:hAnsi="宋体" w:eastAsia="宋体" w:cs="宋体"/>
                      <w:kern w:val="0"/>
                      <w:sz w:val="22"/>
                      <w:szCs w:val="22"/>
                      <w:lang w:val="en-US" w:eastAsia="zh-CN"/>
                    </w:rPr>
                    <w:t>3</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rPr>
                    <w:t>4.6</w:t>
                  </w:r>
                  <w:r>
                    <w:rPr>
                      <w:rFonts w:hint="eastAsia" w:ascii="宋体" w:hAnsi="宋体" w:eastAsia="宋体" w:cs="宋体"/>
                      <w:kern w:val="0"/>
                      <w:sz w:val="22"/>
                      <w:szCs w:val="22"/>
                      <w:lang w:val="en-US" w:eastAsia="zh-CN"/>
                    </w:rPr>
                    <w:t>3</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2050201</w:t>
                  </w:r>
                </w:p>
              </w:tc>
              <w:tc>
                <w:tcPr>
                  <w:tcW w:w="39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学前教育</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429.71</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429.71</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2050299</w:t>
                  </w:r>
                </w:p>
              </w:tc>
              <w:tc>
                <w:tcPr>
                  <w:tcW w:w="39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其他普通教育支出</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0.56</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0.56</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2080505</w:t>
                  </w:r>
                </w:p>
              </w:tc>
              <w:tc>
                <w:tcPr>
                  <w:tcW w:w="39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机关事业单位基本养老保险缴费支出</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35.69</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35.69</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2210201</w:t>
                  </w:r>
                </w:p>
              </w:tc>
              <w:tc>
                <w:tcPr>
                  <w:tcW w:w="39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住房公积金</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26.52</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26.52</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020" w:type="dxa"/>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2299999</w:t>
                  </w:r>
                </w:p>
              </w:tc>
              <w:tc>
                <w:tcPr>
                  <w:tcW w:w="3940"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其他支出</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44.10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44.10</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8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7560" w:type="dxa"/>
                  <w:gridSpan w:val="9"/>
                  <w:tcBorders>
                    <w:top w:val="single" w:color="000000" w:sz="4" w:space="0"/>
                    <w:left w:val="nil"/>
                    <w:bottom w:val="nil"/>
                    <w:right w:val="nil"/>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注：本表反映部门本年度取得的各项收入情况。</w:t>
                  </w:r>
                </w:p>
              </w:tc>
            </w:tr>
          </w:tbl>
          <w:p>
            <w:pPr>
              <w:widowControl/>
              <w:jc w:val="center"/>
              <w:textAlignment w:val="bottom"/>
              <w:rPr>
                <w:rFonts w:ascii="宋体" w:hAnsi="宋体" w:eastAsia="宋体" w:cs="宋体"/>
                <w:sz w:val="30"/>
                <w:szCs w:val="30"/>
              </w:rPr>
            </w:pPr>
          </w:p>
        </w:tc>
      </w:tr>
    </w:tbl>
    <w:p>
      <w:pPr>
        <w:jc w:val="left"/>
        <w:rPr>
          <w:rFonts w:ascii="仿宋" w:hAnsi="仿宋" w:eastAsia="仿宋" w:cs="仿宋"/>
          <w:sz w:val="24"/>
        </w:rPr>
      </w:pPr>
    </w:p>
    <w:tbl>
      <w:tblPr>
        <w:tblStyle w:val="7"/>
        <w:tblW w:w="13980" w:type="dxa"/>
        <w:tblInd w:w="96" w:type="dxa"/>
        <w:tblLayout w:type="fixed"/>
        <w:tblCellMar>
          <w:top w:w="0" w:type="dxa"/>
          <w:left w:w="108" w:type="dxa"/>
          <w:bottom w:w="0" w:type="dxa"/>
          <w:right w:w="108" w:type="dxa"/>
        </w:tblCellMar>
      </w:tblPr>
      <w:tblGrid>
        <w:gridCol w:w="13980"/>
      </w:tblGrid>
      <w:tr>
        <w:tblPrEx>
          <w:tblCellMar>
            <w:top w:w="0" w:type="dxa"/>
            <w:left w:w="108" w:type="dxa"/>
            <w:bottom w:w="0" w:type="dxa"/>
            <w:right w:w="108" w:type="dxa"/>
          </w:tblCellMar>
        </w:tblPrEx>
        <w:trPr>
          <w:trHeight w:val="623" w:hRule="atLeast"/>
        </w:trPr>
        <w:tc>
          <w:tcPr>
            <w:tcW w:w="13980" w:type="dxa"/>
            <w:tcBorders>
              <w:top w:val="nil"/>
              <w:left w:val="nil"/>
              <w:bottom w:val="nil"/>
              <w:right w:val="nil"/>
            </w:tcBorders>
            <w:shd w:val="clear" w:color="auto" w:fill="auto"/>
            <w:noWrap/>
            <w:vAlign w:val="center"/>
          </w:tcPr>
          <w:p>
            <w:pPr>
              <w:widowControl/>
              <w:textAlignment w:val="center"/>
              <w:rPr>
                <w:rFonts w:ascii="宋体" w:hAnsi="宋体" w:eastAsia="宋体" w:cs="宋体"/>
                <w:kern w:val="0"/>
                <w:sz w:val="32"/>
                <w:szCs w:val="32"/>
              </w:rPr>
            </w:pPr>
          </w:p>
          <w:p>
            <w:pPr>
              <w:widowControl/>
              <w:jc w:val="center"/>
              <w:textAlignment w:val="center"/>
              <w:rPr>
                <w:rFonts w:ascii="宋体" w:hAnsi="宋体" w:eastAsia="宋体" w:cs="宋体"/>
                <w:sz w:val="30"/>
                <w:szCs w:val="30"/>
              </w:rPr>
            </w:pPr>
            <w:r>
              <w:rPr>
                <w:rFonts w:hint="eastAsia" w:ascii="宋体" w:hAnsi="宋体" w:eastAsia="宋体" w:cs="宋体"/>
                <w:kern w:val="0"/>
                <w:sz w:val="32"/>
                <w:szCs w:val="32"/>
              </w:rPr>
              <w:t>表三：支出决算表</w:t>
            </w:r>
          </w:p>
        </w:tc>
      </w:tr>
    </w:tbl>
    <w:p>
      <w:pPr>
        <w:ind w:firstLine="12800" w:firstLineChars="6400"/>
        <w:jc w:val="left"/>
        <w:rPr>
          <w:rFonts w:ascii="仿宋" w:hAnsi="仿宋" w:eastAsia="仿宋" w:cs="仿宋"/>
          <w:sz w:val="24"/>
        </w:rPr>
      </w:pPr>
      <w:r>
        <w:rPr>
          <w:rFonts w:hint="eastAsia" w:ascii="宋体" w:hAnsi="宋体" w:eastAsia="宋体" w:cs="宋体"/>
          <w:kern w:val="0"/>
          <w:sz w:val="20"/>
          <w:szCs w:val="20"/>
        </w:rPr>
        <w:t>公开03表</w:t>
      </w:r>
    </w:p>
    <w:p>
      <w:pPr>
        <w:rPr>
          <w:rFonts w:ascii="宋体" w:hAnsi="宋体" w:eastAsia="宋体" w:cs="宋体"/>
          <w:kern w:val="0"/>
          <w:sz w:val="30"/>
          <w:szCs w:val="30"/>
        </w:rPr>
      </w:pPr>
      <w:r>
        <w:rPr>
          <w:rFonts w:hint="eastAsia" w:ascii="宋体" w:hAnsi="宋体" w:eastAsia="宋体" w:cs="宋体"/>
          <w:kern w:val="0"/>
          <w:sz w:val="20"/>
          <w:szCs w:val="20"/>
        </w:rPr>
        <w:t>部门：</w:t>
      </w:r>
      <w:r>
        <w:rPr>
          <w:rFonts w:ascii="宋体" w:hAnsi="宋体" w:eastAsia="宋体" w:cs="宋体"/>
          <w:sz w:val="20"/>
        </w:rPr>
        <w:t>环江毛南族自治县第一幼儿园</w:t>
      </w:r>
      <w:r>
        <w:rPr>
          <w:rFonts w:hint="eastAsia" w:ascii="宋体" w:hAnsi="宋体" w:eastAsia="宋体" w:cs="宋体"/>
          <w:sz w:val="20"/>
        </w:rPr>
        <w:t>　　　　　　　　　　　　　　　　　　　　　　　　　　　　　　　　　　　　　　　　　　　　　　</w:t>
      </w:r>
      <w:r>
        <w:rPr>
          <w:rFonts w:hint="eastAsia" w:ascii="宋体" w:hAnsi="宋体" w:eastAsia="宋体" w:cs="宋体"/>
          <w:kern w:val="0"/>
          <w:sz w:val="20"/>
          <w:szCs w:val="20"/>
        </w:rPr>
        <w:t>金额单位：万元</w:t>
      </w:r>
    </w:p>
    <w:tbl>
      <w:tblPr>
        <w:tblStyle w:val="7"/>
        <w:tblW w:w="0" w:type="auto"/>
        <w:tblInd w:w="93" w:type="dxa"/>
        <w:tblLayout w:type="autofit"/>
        <w:tblCellMar>
          <w:top w:w="0" w:type="dxa"/>
          <w:left w:w="108" w:type="dxa"/>
          <w:bottom w:w="0" w:type="dxa"/>
          <w:right w:w="108" w:type="dxa"/>
        </w:tblCellMar>
      </w:tblPr>
      <w:tblGrid>
        <w:gridCol w:w="1096"/>
        <w:gridCol w:w="3736"/>
        <w:gridCol w:w="1536"/>
        <w:gridCol w:w="1096"/>
        <w:gridCol w:w="1096"/>
        <w:gridCol w:w="1536"/>
        <w:gridCol w:w="1096"/>
        <w:gridCol w:w="2196"/>
      </w:tblGrid>
      <w:tr>
        <w:tblPrEx>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本年支出合计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基本支出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项目支出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上缴上级支出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经营支出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对附属单位补助支出</w:t>
            </w:r>
          </w:p>
        </w:tc>
      </w:tr>
      <w:tr>
        <w:tblPrEx>
          <w:tblCellMar>
            <w:top w:w="0" w:type="dxa"/>
            <w:left w:w="108" w:type="dxa"/>
            <w:bottom w:w="0" w:type="dxa"/>
            <w:right w:w="108" w:type="dxa"/>
          </w:tblCellMar>
        </w:tblPrEx>
        <w:trPr>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科目代码</w:t>
            </w:r>
          </w:p>
        </w:tc>
        <w:tc>
          <w:tcPr>
            <w:tcW w:w="0" w:type="auto"/>
            <w:vMerge w:val="restart"/>
            <w:tcBorders>
              <w:top w:val="nil"/>
              <w:left w:val="single" w:color="000000" w:sz="4" w:space="0"/>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0" w:type="auto"/>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栏次</w:t>
            </w:r>
          </w:p>
        </w:tc>
        <w:tc>
          <w:tcPr>
            <w:tcW w:w="0" w:type="auto"/>
            <w:tcBorders>
              <w:top w:val="nil"/>
              <w:left w:val="nil"/>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w:t>
            </w:r>
          </w:p>
        </w:tc>
        <w:tc>
          <w:tcPr>
            <w:tcW w:w="0" w:type="auto"/>
            <w:tcBorders>
              <w:top w:val="nil"/>
              <w:left w:val="nil"/>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w:t>
            </w:r>
          </w:p>
        </w:tc>
        <w:tc>
          <w:tcPr>
            <w:tcW w:w="0" w:type="auto"/>
            <w:tcBorders>
              <w:top w:val="nil"/>
              <w:left w:val="nil"/>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w:t>
            </w:r>
          </w:p>
        </w:tc>
        <w:tc>
          <w:tcPr>
            <w:tcW w:w="0" w:type="auto"/>
            <w:tcBorders>
              <w:top w:val="nil"/>
              <w:left w:val="nil"/>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4</w:t>
            </w:r>
          </w:p>
        </w:tc>
        <w:tc>
          <w:tcPr>
            <w:tcW w:w="0" w:type="auto"/>
            <w:tcBorders>
              <w:top w:val="nil"/>
              <w:left w:val="nil"/>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5</w:t>
            </w:r>
          </w:p>
        </w:tc>
        <w:tc>
          <w:tcPr>
            <w:tcW w:w="0" w:type="auto"/>
            <w:tcBorders>
              <w:top w:val="nil"/>
              <w:left w:val="nil"/>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6</w:t>
            </w:r>
          </w:p>
        </w:tc>
      </w:tr>
      <w:tr>
        <w:tblPrEx>
          <w:tblCellMar>
            <w:top w:w="0" w:type="dxa"/>
            <w:left w:w="108" w:type="dxa"/>
            <w:bottom w:w="0" w:type="dxa"/>
            <w:right w:w="108" w:type="dxa"/>
          </w:tblCellMar>
        </w:tblPrEx>
        <w:trPr>
          <w:trHeight w:val="3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合计</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541.21</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380.86</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160.35</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2012999</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其他群众团体事务支出</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rPr>
              <w:t>4.6</w:t>
            </w:r>
            <w:r>
              <w:rPr>
                <w:rFonts w:hint="eastAsia" w:ascii="宋体" w:hAnsi="宋体" w:eastAsia="宋体" w:cs="宋体"/>
                <w:kern w:val="0"/>
                <w:sz w:val="22"/>
                <w:szCs w:val="22"/>
                <w:lang w:val="en-US" w:eastAsia="zh-CN"/>
              </w:rPr>
              <w:t>3</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rPr>
              <w:t>4.6</w:t>
            </w:r>
            <w:r>
              <w:rPr>
                <w:rFonts w:hint="eastAsia" w:ascii="宋体" w:hAnsi="宋体" w:eastAsia="宋体" w:cs="宋体"/>
                <w:kern w:val="0"/>
                <w:sz w:val="22"/>
                <w:szCs w:val="22"/>
                <w:lang w:val="en-US" w:eastAsia="zh-CN"/>
              </w:rPr>
              <w:t>3</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2050201</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学前教育</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429.71</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269.39</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160.32</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2050299</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其他普通教育支出</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0.56</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0.53</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0.03</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2080505</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机关事业单位基本养老保险缴费支出</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35.69</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35.69</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2210201</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住房公积金</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26.52</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26.52</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2299999</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其他支出</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44.10</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44.10</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0" w:type="auto"/>
            <w:gridSpan w:val="8"/>
            <w:tcBorders>
              <w:top w:val="single" w:color="000000" w:sz="4" w:space="0"/>
              <w:left w:val="nil"/>
              <w:bottom w:val="nil"/>
              <w:right w:val="nil"/>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注：本表反映部门本年度各项支出情况。</w:t>
            </w:r>
          </w:p>
        </w:tc>
      </w:tr>
    </w:tbl>
    <w:p>
      <w:pPr>
        <w:jc w:val="left"/>
        <w:rPr>
          <w:rFonts w:ascii="仿宋" w:hAnsi="仿宋" w:eastAsia="仿宋" w:cs="仿宋"/>
          <w:sz w:val="24"/>
        </w:rPr>
      </w:pPr>
    </w:p>
    <w:tbl>
      <w:tblPr>
        <w:tblStyle w:val="7"/>
        <w:tblW w:w="4971" w:type="pct"/>
        <w:tblInd w:w="0" w:type="dxa"/>
        <w:tblLayout w:type="fixed"/>
        <w:tblCellMar>
          <w:top w:w="0" w:type="dxa"/>
          <w:left w:w="108" w:type="dxa"/>
          <w:bottom w:w="0" w:type="dxa"/>
          <w:right w:w="108" w:type="dxa"/>
        </w:tblCellMar>
      </w:tblPr>
      <w:tblGrid>
        <w:gridCol w:w="14092"/>
      </w:tblGrid>
      <w:tr>
        <w:trPr>
          <w:trHeight w:val="520" w:hRule="atLeast"/>
        </w:trPr>
        <w:tc>
          <w:tcPr>
            <w:tcW w:w="5000" w:type="pct"/>
            <w:tcBorders>
              <w:top w:val="nil"/>
              <w:left w:val="nil"/>
              <w:bottom w:val="nil"/>
              <w:right w:val="nil"/>
            </w:tcBorders>
            <w:shd w:val="clear" w:color="auto" w:fill="auto"/>
            <w:noWrap/>
            <w:vAlign w:val="bottom"/>
          </w:tcPr>
          <w:p>
            <w:pPr>
              <w:widowControl/>
              <w:textAlignment w:val="bottom"/>
              <w:rPr>
                <w:rFonts w:ascii="宋体" w:hAnsi="宋体" w:eastAsia="宋体" w:cs="宋体"/>
                <w:kern w:val="0"/>
                <w:sz w:val="32"/>
                <w:szCs w:val="32"/>
              </w:rPr>
            </w:pPr>
          </w:p>
          <w:p>
            <w:pPr>
              <w:widowControl/>
              <w:textAlignment w:val="bottom"/>
              <w:rPr>
                <w:rFonts w:ascii="宋体" w:hAnsi="宋体" w:eastAsia="宋体" w:cs="宋体"/>
                <w:kern w:val="0"/>
                <w:sz w:val="32"/>
                <w:szCs w:val="32"/>
              </w:rPr>
            </w:pPr>
          </w:p>
          <w:p>
            <w:pPr>
              <w:widowControl/>
              <w:textAlignment w:val="bottom"/>
              <w:rPr>
                <w:rFonts w:ascii="宋体" w:hAnsi="宋体" w:eastAsia="宋体" w:cs="宋体"/>
                <w:kern w:val="0"/>
                <w:sz w:val="32"/>
                <w:szCs w:val="32"/>
              </w:rPr>
            </w:pPr>
          </w:p>
          <w:p>
            <w:pPr>
              <w:widowControl/>
              <w:jc w:val="center"/>
              <w:textAlignment w:val="bottom"/>
              <w:rPr>
                <w:rFonts w:ascii="宋体" w:hAnsi="宋体" w:eastAsia="宋体" w:cs="宋体"/>
                <w:kern w:val="0"/>
                <w:sz w:val="32"/>
                <w:szCs w:val="32"/>
              </w:rPr>
            </w:pPr>
            <w:r>
              <w:rPr>
                <w:rFonts w:hint="eastAsia" w:ascii="宋体" w:hAnsi="宋体" w:eastAsia="宋体" w:cs="宋体"/>
                <w:kern w:val="0"/>
                <w:sz w:val="32"/>
                <w:szCs w:val="32"/>
              </w:rPr>
              <w:t>表四：财政拨款收入支出决算总表</w:t>
            </w:r>
          </w:p>
          <w:p>
            <w:pPr>
              <w:ind w:firstLine="12800" w:firstLineChars="6400"/>
              <w:jc w:val="left"/>
              <w:rPr>
                <w:rFonts w:ascii="仿宋" w:hAnsi="仿宋" w:eastAsia="仿宋" w:cs="仿宋"/>
                <w:sz w:val="24"/>
              </w:rPr>
            </w:pPr>
            <w:r>
              <w:rPr>
                <w:rFonts w:hint="eastAsia" w:ascii="宋体" w:hAnsi="宋体" w:eastAsia="宋体" w:cs="宋体"/>
                <w:kern w:val="0"/>
                <w:sz w:val="20"/>
                <w:szCs w:val="20"/>
              </w:rPr>
              <w:t>公开04表</w:t>
            </w:r>
          </w:p>
          <w:p>
            <w:pPr>
              <w:rPr>
                <w:rFonts w:ascii="宋体" w:hAnsi="宋体" w:eastAsia="宋体" w:cs="宋体"/>
                <w:kern w:val="0"/>
                <w:sz w:val="30"/>
                <w:szCs w:val="30"/>
              </w:rPr>
            </w:pPr>
            <w:r>
              <w:rPr>
                <w:rFonts w:hint="eastAsia" w:ascii="宋体" w:hAnsi="宋体" w:eastAsia="宋体" w:cs="宋体"/>
                <w:kern w:val="0"/>
                <w:sz w:val="20"/>
                <w:szCs w:val="20"/>
              </w:rPr>
              <w:t>部门：</w:t>
            </w:r>
            <w:r>
              <w:rPr>
                <w:rFonts w:ascii="宋体" w:hAnsi="宋体" w:eastAsia="宋体" w:cs="宋体"/>
                <w:sz w:val="20"/>
              </w:rPr>
              <w:t>环江毛南族自治县第一幼儿园</w:t>
            </w:r>
            <w:r>
              <w:rPr>
                <w:rFonts w:hint="eastAsia" w:ascii="宋体" w:hAnsi="宋体" w:eastAsia="宋体" w:cs="宋体"/>
                <w:sz w:val="20"/>
              </w:rPr>
              <w:t>　　　　　　　　　　　　　　　　　　　　　　　　　　　　　　　　　　　　　　　　　　　　　　</w:t>
            </w:r>
            <w:r>
              <w:rPr>
                <w:rFonts w:hint="eastAsia" w:ascii="宋体" w:hAnsi="宋体" w:eastAsia="宋体" w:cs="宋体"/>
                <w:kern w:val="0"/>
                <w:sz w:val="20"/>
                <w:szCs w:val="20"/>
              </w:rPr>
              <w:t>金额单位：万元</w:t>
            </w:r>
          </w:p>
          <w:tbl>
            <w:tblPr>
              <w:tblStyle w:val="7"/>
              <w:tblW w:w="13953" w:type="dxa"/>
              <w:tblInd w:w="0" w:type="dxa"/>
              <w:tblLayout w:type="fixed"/>
              <w:tblCellMar>
                <w:top w:w="0" w:type="dxa"/>
                <w:left w:w="108" w:type="dxa"/>
                <w:bottom w:w="0" w:type="dxa"/>
                <w:right w:w="108" w:type="dxa"/>
              </w:tblCellMar>
            </w:tblPr>
            <w:tblGrid>
              <w:gridCol w:w="3212"/>
              <w:gridCol w:w="530"/>
              <w:gridCol w:w="1454"/>
              <w:gridCol w:w="4215"/>
              <w:gridCol w:w="539"/>
              <w:gridCol w:w="902"/>
              <w:gridCol w:w="1460"/>
              <w:gridCol w:w="1211"/>
              <w:gridCol w:w="430"/>
            </w:tblGrid>
            <w:tr>
              <w:tblPrEx>
                <w:tblCellMar>
                  <w:top w:w="0" w:type="dxa"/>
                  <w:left w:w="108" w:type="dxa"/>
                  <w:bottom w:w="0" w:type="dxa"/>
                  <w:right w:w="108" w:type="dxa"/>
                </w:tblCellMar>
              </w:tblPrEx>
              <w:trPr>
                <w:trHeight w:val="300" w:hRule="atLeast"/>
              </w:trPr>
              <w:tc>
                <w:tcPr>
                  <w:tcW w:w="1862" w:type="pct"/>
                  <w:gridSpan w:val="3"/>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收     入</w:t>
                  </w:r>
                </w:p>
              </w:tc>
              <w:tc>
                <w:tcPr>
                  <w:tcW w:w="3137" w:type="pct"/>
                  <w:gridSpan w:val="6"/>
                  <w:tcBorders>
                    <w:top w:val="single" w:color="000000" w:sz="4" w:space="0"/>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支     出</w:t>
                  </w:r>
                </w:p>
              </w:tc>
            </w:tr>
            <w:tr>
              <w:tblPrEx>
                <w:tblCellMar>
                  <w:top w:w="0" w:type="dxa"/>
                  <w:left w:w="108" w:type="dxa"/>
                  <w:bottom w:w="0" w:type="dxa"/>
                  <w:right w:w="108" w:type="dxa"/>
                </w:tblCellMar>
              </w:tblPrEx>
              <w:trPr>
                <w:trHeight w:val="555" w:hRule="atLeast"/>
              </w:trPr>
              <w:tc>
                <w:tcPr>
                  <w:tcW w:w="1151" w:type="pct"/>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项目</w:t>
                  </w:r>
                </w:p>
              </w:tc>
              <w:tc>
                <w:tcPr>
                  <w:tcW w:w="190" w:type="pct"/>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行次</w:t>
                  </w:r>
                </w:p>
              </w:tc>
              <w:tc>
                <w:tcPr>
                  <w:tcW w:w="520" w:type="pct"/>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金额</w:t>
                  </w:r>
                </w:p>
              </w:tc>
              <w:tc>
                <w:tcPr>
                  <w:tcW w:w="1510" w:type="pct"/>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项目</w:t>
                  </w:r>
                </w:p>
              </w:tc>
              <w:tc>
                <w:tcPr>
                  <w:tcW w:w="193" w:type="pct"/>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行次</w:t>
                  </w:r>
                </w:p>
              </w:tc>
              <w:tc>
                <w:tcPr>
                  <w:tcW w:w="323" w:type="pct"/>
                  <w:vMerge w:val="restart"/>
                  <w:tcBorders>
                    <w:top w:val="nil"/>
                    <w:left w:val="single" w:color="000000" w:sz="4" w:space="0"/>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合计</w:t>
                  </w:r>
                </w:p>
              </w:tc>
              <w:tc>
                <w:tcPr>
                  <w:tcW w:w="523" w:type="pct"/>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一般公共预算</w:t>
                  </w:r>
                  <w:r>
                    <w:rPr>
                      <w:rFonts w:hint="eastAsia" w:ascii="宋体" w:hAnsi="宋体" w:eastAsia="宋体" w:cs="宋体"/>
                      <w:kern w:val="0"/>
                      <w:sz w:val="22"/>
                      <w:szCs w:val="22"/>
                    </w:rPr>
                    <w:br w:type="textWrapping"/>
                  </w:r>
                  <w:r>
                    <w:rPr>
                      <w:rFonts w:hint="eastAsia" w:ascii="宋体" w:hAnsi="宋体" w:eastAsia="宋体" w:cs="宋体"/>
                      <w:kern w:val="0"/>
                      <w:sz w:val="22"/>
                      <w:szCs w:val="22"/>
                    </w:rPr>
                    <w:t>财政拨款</w:t>
                  </w:r>
                </w:p>
              </w:tc>
              <w:tc>
                <w:tcPr>
                  <w:tcW w:w="431" w:type="pct"/>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政府性基金预</w:t>
                  </w:r>
                  <w:r>
                    <w:rPr>
                      <w:rFonts w:hint="eastAsia" w:ascii="宋体" w:hAnsi="宋体" w:eastAsia="宋体" w:cs="宋体"/>
                      <w:kern w:val="0"/>
                      <w:sz w:val="22"/>
                      <w:szCs w:val="22"/>
                    </w:rPr>
                    <w:br w:type="textWrapping"/>
                  </w:r>
                  <w:r>
                    <w:rPr>
                      <w:rFonts w:hint="eastAsia" w:ascii="宋体" w:hAnsi="宋体" w:eastAsia="宋体" w:cs="宋体"/>
                      <w:kern w:val="0"/>
                      <w:sz w:val="22"/>
                      <w:szCs w:val="22"/>
                    </w:rPr>
                    <w:t>算财政拨款</w:t>
                  </w:r>
                </w:p>
              </w:tc>
              <w:tc>
                <w:tcPr>
                  <w:tcW w:w="154" w:type="pct"/>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国有资本经营</w:t>
                  </w:r>
                  <w:r>
                    <w:rPr>
                      <w:rFonts w:hint="eastAsia" w:ascii="宋体" w:hAnsi="宋体" w:eastAsia="宋体" w:cs="宋体"/>
                      <w:kern w:val="0"/>
                      <w:sz w:val="22"/>
                      <w:szCs w:val="22"/>
                    </w:rPr>
                    <w:br w:type="textWrapping"/>
                  </w:r>
                  <w:r>
                    <w:rPr>
                      <w:rFonts w:hint="eastAsia" w:ascii="宋体" w:hAnsi="宋体" w:eastAsia="宋体" w:cs="宋体"/>
                      <w:kern w:val="0"/>
                      <w:sz w:val="22"/>
                      <w:szCs w:val="22"/>
                    </w:rPr>
                    <w:t>预算财政拨款</w:t>
                  </w:r>
                </w:p>
              </w:tc>
            </w:tr>
            <w:tr>
              <w:tblPrEx>
                <w:tblCellMar>
                  <w:top w:w="0" w:type="dxa"/>
                  <w:left w:w="108" w:type="dxa"/>
                  <w:bottom w:w="0" w:type="dxa"/>
                  <w:right w:w="108" w:type="dxa"/>
                </w:tblCellMar>
              </w:tblPrEx>
              <w:trPr>
                <w:trHeight w:val="555" w:hRule="atLeast"/>
              </w:trPr>
              <w:tc>
                <w:tcPr>
                  <w:tcW w:w="115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19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52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151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19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32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52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43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154"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300" w:hRule="atLeast"/>
              </w:trPr>
              <w:tc>
                <w:tcPr>
                  <w:tcW w:w="1151"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栏次</w:t>
                  </w:r>
                </w:p>
              </w:tc>
              <w:tc>
                <w:tcPr>
                  <w:tcW w:w="19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52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w:t>
                  </w:r>
                </w:p>
              </w:tc>
              <w:tc>
                <w:tcPr>
                  <w:tcW w:w="151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栏次</w:t>
                  </w:r>
                </w:p>
              </w:tc>
              <w:tc>
                <w:tcPr>
                  <w:tcW w:w="19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w:t>
                  </w:r>
                </w:p>
              </w:tc>
              <w:tc>
                <w:tcPr>
                  <w:tcW w:w="32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w:t>
                  </w:r>
                </w:p>
              </w:tc>
              <w:tc>
                <w:tcPr>
                  <w:tcW w:w="52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w:t>
                  </w:r>
                </w:p>
              </w:tc>
              <w:tc>
                <w:tcPr>
                  <w:tcW w:w="431"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4</w:t>
                  </w:r>
                </w:p>
              </w:tc>
              <w:tc>
                <w:tcPr>
                  <w:tcW w:w="154"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5</w:t>
                  </w:r>
                </w:p>
              </w:tc>
            </w:tr>
            <w:tr>
              <w:tblPrEx>
                <w:tblCellMar>
                  <w:top w:w="0" w:type="dxa"/>
                  <w:left w:w="108" w:type="dxa"/>
                  <w:bottom w:w="0" w:type="dxa"/>
                  <w:right w:w="108" w:type="dxa"/>
                </w:tblCellMar>
              </w:tblPrEx>
              <w:trPr>
                <w:trHeight w:val="300" w:hRule="atLeast"/>
              </w:trPr>
              <w:tc>
                <w:tcPr>
                  <w:tcW w:w="1151"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一、一般公共预算财政拨款</w:t>
                  </w:r>
                </w:p>
              </w:tc>
              <w:tc>
                <w:tcPr>
                  <w:tcW w:w="19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w:t>
                  </w:r>
                </w:p>
              </w:tc>
              <w:tc>
                <w:tcPr>
                  <w:tcW w:w="52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541.21</w:t>
                  </w:r>
                </w:p>
              </w:tc>
              <w:tc>
                <w:tcPr>
                  <w:tcW w:w="151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一、一般公共服务支出</w:t>
                  </w:r>
                </w:p>
              </w:tc>
              <w:tc>
                <w:tcPr>
                  <w:tcW w:w="19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33</w:t>
                  </w:r>
                </w:p>
              </w:tc>
              <w:tc>
                <w:tcPr>
                  <w:tcW w:w="323"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rPr>
                    <w:t>4.6</w:t>
                  </w:r>
                  <w:r>
                    <w:rPr>
                      <w:rFonts w:hint="eastAsia" w:ascii="宋体" w:hAnsi="宋体" w:eastAsia="宋体" w:cs="宋体"/>
                      <w:kern w:val="0"/>
                      <w:sz w:val="22"/>
                      <w:szCs w:val="22"/>
                      <w:lang w:val="en-US" w:eastAsia="zh-CN"/>
                    </w:rPr>
                    <w:t>3</w:t>
                  </w:r>
                </w:p>
              </w:tc>
              <w:tc>
                <w:tcPr>
                  <w:tcW w:w="523"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rPr>
                    <w:t>4.6</w:t>
                  </w:r>
                  <w:r>
                    <w:rPr>
                      <w:rFonts w:hint="eastAsia" w:ascii="宋体" w:hAnsi="宋体" w:eastAsia="宋体" w:cs="宋体"/>
                      <w:kern w:val="0"/>
                      <w:sz w:val="22"/>
                      <w:szCs w:val="22"/>
                      <w:lang w:val="en-US" w:eastAsia="zh-CN"/>
                    </w:rPr>
                    <w:t>3</w:t>
                  </w:r>
                </w:p>
              </w:tc>
              <w:tc>
                <w:tcPr>
                  <w:tcW w:w="43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151"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二、政府性基金预算财政拨款</w:t>
                  </w:r>
                </w:p>
              </w:tc>
              <w:tc>
                <w:tcPr>
                  <w:tcW w:w="19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w:t>
                  </w:r>
                </w:p>
              </w:tc>
              <w:tc>
                <w:tcPr>
                  <w:tcW w:w="52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1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二、外交支出</w:t>
                  </w:r>
                </w:p>
              </w:tc>
              <w:tc>
                <w:tcPr>
                  <w:tcW w:w="19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34</w:t>
                  </w:r>
                </w:p>
              </w:tc>
              <w:tc>
                <w:tcPr>
                  <w:tcW w:w="3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151"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三、国有资本经营预算财政拨款</w:t>
                  </w:r>
                </w:p>
              </w:tc>
              <w:tc>
                <w:tcPr>
                  <w:tcW w:w="19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w:t>
                  </w:r>
                </w:p>
              </w:tc>
              <w:tc>
                <w:tcPr>
                  <w:tcW w:w="52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1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三、国防支出</w:t>
                  </w:r>
                </w:p>
              </w:tc>
              <w:tc>
                <w:tcPr>
                  <w:tcW w:w="19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35</w:t>
                  </w:r>
                </w:p>
              </w:tc>
              <w:tc>
                <w:tcPr>
                  <w:tcW w:w="3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151"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4</w:t>
                  </w:r>
                </w:p>
              </w:tc>
              <w:tc>
                <w:tcPr>
                  <w:tcW w:w="52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1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四、公共安全支出</w:t>
                  </w:r>
                </w:p>
              </w:tc>
              <w:tc>
                <w:tcPr>
                  <w:tcW w:w="19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36</w:t>
                  </w:r>
                </w:p>
              </w:tc>
              <w:tc>
                <w:tcPr>
                  <w:tcW w:w="3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151"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5</w:t>
                  </w:r>
                </w:p>
              </w:tc>
              <w:tc>
                <w:tcPr>
                  <w:tcW w:w="52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1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五、教育支出</w:t>
                  </w:r>
                </w:p>
              </w:tc>
              <w:tc>
                <w:tcPr>
                  <w:tcW w:w="19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37</w:t>
                  </w:r>
                </w:p>
              </w:tc>
              <w:tc>
                <w:tcPr>
                  <w:tcW w:w="3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430.27</w:t>
                  </w:r>
                </w:p>
              </w:tc>
              <w:tc>
                <w:tcPr>
                  <w:tcW w:w="5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430.27</w:t>
                  </w:r>
                </w:p>
              </w:tc>
              <w:tc>
                <w:tcPr>
                  <w:tcW w:w="43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151"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6</w:t>
                  </w:r>
                </w:p>
              </w:tc>
              <w:tc>
                <w:tcPr>
                  <w:tcW w:w="52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1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六、科学技术支出</w:t>
                  </w:r>
                </w:p>
              </w:tc>
              <w:tc>
                <w:tcPr>
                  <w:tcW w:w="19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38</w:t>
                  </w:r>
                </w:p>
              </w:tc>
              <w:tc>
                <w:tcPr>
                  <w:tcW w:w="3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151"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7</w:t>
                  </w:r>
                </w:p>
              </w:tc>
              <w:tc>
                <w:tcPr>
                  <w:tcW w:w="52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1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七、文化旅游体育与传媒支出</w:t>
                  </w:r>
                </w:p>
              </w:tc>
              <w:tc>
                <w:tcPr>
                  <w:tcW w:w="19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39</w:t>
                  </w:r>
                </w:p>
              </w:tc>
              <w:tc>
                <w:tcPr>
                  <w:tcW w:w="3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151"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8</w:t>
                  </w:r>
                </w:p>
              </w:tc>
              <w:tc>
                <w:tcPr>
                  <w:tcW w:w="52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1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八、社会保障和就业支出</w:t>
                  </w:r>
                </w:p>
              </w:tc>
              <w:tc>
                <w:tcPr>
                  <w:tcW w:w="19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40</w:t>
                  </w:r>
                </w:p>
              </w:tc>
              <w:tc>
                <w:tcPr>
                  <w:tcW w:w="3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35.69</w:t>
                  </w:r>
                </w:p>
              </w:tc>
              <w:tc>
                <w:tcPr>
                  <w:tcW w:w="5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35.69</w:t>
                  </w:r>
                </w:p>
              </w:tc>
              <w:tc>
                <w:tcPr>
                  <w:tcW w:w="43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151"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9</w:t>
                  </w:r>
                </w:p>
              </w:tc>
              <w:tc>
                <w:tcPr>
                  <w:tcW w:w="52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1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九、卫生健康支出</w:t>
                  </w:r>
                </w:p>
              </w:tc>
              <w:tc>
                <w:tcPr>
                  <w:tcW w:w="19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41</w:t>
                  </w:r>
                </w:p>
              </w:tc>
              <w:tc>
                <w:tcPr>
                  <w:tcW w:w="3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151"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10</w:t>
                  </w:r>
                </w:p>
              </w:tc>
              <w:tc>
                <w:tcPr>
                  <w:tcW w:w="52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1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十、节能环保支出</w:t>
                  </w:r>
                </w:p>
              </w:tc>
              <w:tc>
                <w:tcPr>
                  <w:tcW w:w="19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42</w:t>
                  </w:r>
                </w:p>
              </w:tc>
              <w:tc>
                <w:tcPr>
                  <w:tcW w:w="3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151"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11</w:t>
                  </w:r>
                </w:p>
              </w:tc>
              <w:tc>
                <w:tcPr>
                  <w:tcW w:w="52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1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十一、城乡社区支出</w:t>
                  </w:r>
                </w:p>
              </w:tc>
              <w:tc>
                <w:tcPr>
                  <w:tcW w:w="19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43</w:t>
                  </w:r>
                </w:p>
              </w:tc>
              <w:tc>
                <w:tcPr>
                  <w:tcW w:w="3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151"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12</w:t>
                  </w:r>
                </w:p>
              </w:tc>
              <w:tc>
                <w:tcPr>
                  <w:tcW w:w="52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1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十二、农林水支出</w:t>
                  </w:r>
                </w:p>
              </w:tc>
              <w:tc>
                <w:tcPr>
                  <w:tcW w:w="19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44</w:t>
                  </w:r>
                </w:p>
              </w:tc>
              <w:tc>
                <w:tcPr>
                  <w:tcW w:w="3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151"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13</w:t>
                  </w:r>
                </w:p>
              </w:tc>
              <w:tc>
                <w:tcPr>
                  <w:tcW w:w="52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1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十三、交通运输支出</w:t>
                  </w:r>
                </w:p>
              </w:tc>
              <w:tc>
                <w:tcPr>
                  <w:tcW w:w="19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45</w:t>
                  </w:r>
                </w:p>
              </w:tc>
              <w:tc>
                <w:tcPr>
                  <w:tcW w:w="3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151"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14</w:t>
                  </w:r>
                </w:p>
              </w:tc>
              <w:tc>
                <w:tcPr>
                  <w:tcW w:w="52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1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十四、资源勘探工业信息等支出</w:t>
                  </w:r>
                </w:p>
              </w:tc>
              <w:tc>
                <w:tcPr>
                  <w:tcW w:w="19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46</w:t>
                  </w:r>
                </w:p>
              </w:tc>
              <w:tc>
                <w:tcPr>
                  <w:tcW w:w="3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151"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15</w:t>
                  </w:r>
                </w:p>
              </w:tc>
              <w:tc>
                <w:tcPr>
                  <w:tcW w:w="52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1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十五、商业服务业等支出</w:t>
                  </w:r>
                </w:p>
              </w:tc>
              <w:tc>
                <w:tcPr>
                  <w:tcW w:w="19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47</w:t>
                  </w:r>
                </w:p>
              </w:tc>
              <w:tc>
                <w:tcPr>
                  <w:tcW w:w="3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151"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16</w:t>
                  </w:r>
                </w:p>
              </w:tc>
              <w:tc>
                <w:tcPr>
                  <w:tcW w:w="52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1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十六、金融支出</w:t>
                  </w:r>
                </w:p>
              </w:tc>
              <w:tc>
                <w:tcPr>
                  <w:tcW w:w="19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48</w:t>
                  </w:r>
                </w:p>
              </w:tc>
              <w:tc>
                <w:tcPr>
                  <w:tcW w:w="3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151"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17</w:t>
                  </w:r>
                </w:p>
              </w:tc>
              <w:tc>
                <w:tcPr>
                  <w:tcW w:w="52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1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十七、援助其他地区支出</w:t>
                  </w:r>
                </w:p>
              </w:tc>
              <w:tc>
                <w:tcPr>
                  <w:tcW w:w="19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49</w:t>
                  </w:r>
                </w:p>
              </w:tc>
              <w:tc>
                <w:tcPr>
                  <w:tcW w:w="3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151"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18</w:t>
                  </w:r>
                </w:p>
              </w:tc>
              <w:tc>
                <w:tcPr>
                  <w:tcW w:w="52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1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十八、自然资源海洋气象等支出</w:t>
                  </w:r>
                </w:p>
              </w:tc>
              <w:tc>
                <w:tcPr>
                  <w:tcW w:w="19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50</w:t>
                  </w:r>
                </w:p>
              </w:tc>
              <w:tc>
                <w:tcPr>
                  <w:tcW w:w="3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151"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19</w:t>
                  </w:r>
                </w:p>
              </w:tc>
              <w:tc>
                <w:tcPr>
                  <w:tcW w:w="52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1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十九、住房保障支出</w:t>
                  </w:r>
                </w:p>
              </w:tc>
              <w:tc>
                <w:tcPr>
                  <w:tcW w:w="19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51</w:t>
                  </w:r>
                </w:p>
              </w:tc>
              <w:tc>
                <w:tcPr>
                  <w:tcW w:w="3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26.52</w:t>
                  </w:r>
                </w:p>
              </w:tc>
              <w:tc>
                <w:tcPr>
                  <w:tcW w:w="5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26.52</w:t>
                  </w:r>
                </w:p>
              </w:tc>
              <w:tc>
                <w:tcPr>
                  <w:tcW w:w="43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151"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20</w:t>
                  </w:r>
                </w:p>
              </w:tc>
              <w:tc>
                <w:tcPr>
                  <w:tcW w:w="52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1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二十、粮油物资储备支出</w:t>
                  </w:r>
                </w:p>
              </w:tc>
              <w:tc>
                <w:tcPr>
                  <w:tcW w:w="19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52</w:t>
                  </w:r>
                </w:p>
              </w:tc>
              <w:tc>
                <w:tcPr>
                  <w:tcW w:w="3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151"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21</w:t>
                  </w:r>
                </w:p>
              </w:tc>
              <w:tc>
                <w:tcPr>
                  <w:tcW w:w="52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1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二十一、国有资本经营预算支出</w:t>
                  </w:r>
                </w:p>
              </w:tc>
              <w:tc>
                <w:tcPr>
                  <w:tcW w:w="19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53</w:t>
                  </w:r>
                </w:p>
              </w:tc>
              <w:tc>
                <w:tcPr>
                  <w:tcW w:w="3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151"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22</w:t>
                  </w:r>
                </w:p>
              </w:tc>
              <w:tc>
                <w:tcPr>
                  <w:tcW w:w="52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1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二十二、灾害防治及应急管理支出</w:t>
                  </w:r>
                </w:p>
              </w:tc>
              <w:tc>
                <w:tcPr>
                  <w:tcW w:w="19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54</w:t>
                  </w:r>
                </w:p>
              </w:tc>
              <w:tc>
                <w:tcPr>
                  <w:tcW w:w="3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151"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23</w:t>
                  </w:r>
                </w:p>
              </w:tc>
              <w:tc>
                <w:tcPr>
                  <w:tcW w:w="52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1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二十三、其他支出</w:t>
                  </w:r>
                </w:p>
              </w:tc>
              <w:tc>
                <w:tcPr>
                  <w:tcW w:w="19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55</w:t>
                  </w:r>
                </w:p>
              </w:tc>
              <w:tc>
                <w:tcPr>
                  <w:tcW w:w="3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44.10</w:t>
                  </w:r>
                </w:p>
              </w:tc>
              <w:tc>
                <w:tcPr>
                  <w:tcW w:w="5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44.10</w:t>
                  </w:r>
                </w:p>
              </w:tc>
              <w:tc>
                <w:tcPr>
                  <w:tcW w:w="43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151"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　</w:t>
                  </w:r>
                </w:p>
              </w:tc>
              <w:tc>
                <w:tcPr>
                  <w:tcW w:w="19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24</w:t>
                  </w:r>
                </w:p>
              </w:tc>
              <w:tc>
                <w:tcPr>
                  <w:tcW w:w="52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1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二十四、债务还本支出</w:t>
                  </w:r>
                </w:p>
              </w:tc>
              <w:tc>
                <w:tcPr>
                  <w:tcW w:w="19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56</w:t>
                  </w:r>
                </w:p>
              </w:tc>
              <w:tc>
                <w:tcPr>
                  <w:tcW w:w="3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151"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9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25</w:t>
                  </w:r>
                </w:p>
              </w:tc>
              <w:tc>
                <w:tcPr>
                  <w:tcW w:w="52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1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二十五、债务付息支出</w:t>
                  </w:r>
                </w:p>
              </w:tc>
              <w:tc>
                <w:tcPr>
                  <w:tcW w:w="19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57</w:t>
                  </w:r>
                </w:p>
              </w:tc>
              <w:tc>
                <w:tcPr>
                  <w:tcW w:w="3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151"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9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26</w:t>
                  </w:r>
                </w:p>
              </w:tc>
              <w:tc>
                <w:tcPr>
                  <w:tcW w:w="52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1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二十六、抗疫特别国债安排的支出</w:t>
                  </w:r>
                </w:p>
              </w:tc>
              <w:tc>
                <w:tcPr>
                  <w:tcW w:w="19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58</w:t>
                  </w:r>
                </w:p>
              </w:tc>
              <w:tc>
                <w:tcPr>
                  <w:tcW w:w="3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151"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本年收入合计</w:t>
                  </w:r>
                </w:p>
              </w:tc>
              <w:tc>
                <w:tcPr>
                  <w:tcW w:w="19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27</w:t>
                  </w:r>
                </w:p>
              </w:tc>
              <w:tc>
                <w:tcPr>
                  <w:tcW w:w="52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541.21</w:t>
                  </w:r>
                </w:p>
              </w:tc>
              <w:tc>
                <w:tcPr>
                  <w:tcW w:w="151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本年支出合计</w:t>
                  </w:r>
                </w:p>
              </w:tc>
              <w:tc>
                <w:tcPr>
                  <w:tcW w:w="19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59</w:t>
                  </w:r>
                </w:p>
              </w:tc>
              <w:tc>
                <w:tcPr>
                  <w:tcW w:w="3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541.21</w:t>
                  </w:r>
                </w:p>
              </w:tc>
              <w:tc>
                <w:tcPr>
                  <w:tcW w:w="5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541.21</w:t>
                  </w:r>
                </w:p>
              </w:tc>
              <w:tc>
                <w:tcPr>
                  <w:tcW w:w="43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151"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年初财政拨款结转和结余</w:t>
                  </w:r>
                </w:p>
              </w:tc>
              <w:tc>
                <w:tcPr>
                  <w:tcW w:w="19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28</w:t>
                  </w:r>
                </w:p>
              </w:tc>
              <w:tc>
                <w:tcPr>
                  <w:tcW w:w="52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1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年末财政拨款结转和结余</w:t>
                  </w:r>
                </w:p>
              </w:tc>
              <w:tc>
                <w:tcPr>
                  <w:tcW w:w="19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60</w:t>
                  </w:r>
                </w:p>
              </w:tc>
              <w:tc>
                <w:tcPr>
                  <w:tcW w:w="3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151"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一般公共预算财政拨款</w:t>
                  </w:r>
                </w:p>
              </w:tc>
              <w:tc>
                <w:tcPr>
                  <w:tcW w:w="19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29</w:t>
                  </w:r>
                </w:p>
              </w:tc>
              <w:tc>
                <w:tcPr>
                  <w:tcW w:w="52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1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61</w:t>
                  </w:r>
                </w:p>
              </w:tc>
              <w:tc>
                <w:tcPr>
                  <w:tcW w:w="3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151"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政府性基金预算财政拨款</w:t>
                  </w:r>
                </w:p>
              </w:tc>
              <w:tc>
                <w:tcPr>
                  <w:tcW w:w="19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30</w:t>
                  </w:r>
                </w:p>
              </w:tc>
              <w:tc>
                <w:tcPr>
                  <w:tcW w:w="52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1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9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62</w:t>
                  </w:r>
                </w:p>
              </w:tc>
              <w:tc>
                <w:tcPr>
                  <w:tcW w:w="3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43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151"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总计</w:t>
                  </w:r>
                </w:p>
              </w:tc>
              <w:tc>
                <w:tcPr>
                  <w:tcW w:w="19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31</w:t>
                  </w:r>
                </w:p>
              </w:tc>
              <w:tc>
                <w:tcPr>
                  <w:tcW w:w="520"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541.21</w:t>
                  </w:r>
                </w:p>
              </w:tc>
              <w:tc>
                <w:tcPr>
                  <w:tcW w:w="1510"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b/>
                      <w:bCs/>
                      <w:kern w:val="0"/>
                      <w:sz w:val="22"/>
                      <w:szCs w:val="22"/>
                    </w:rPr>
                  </w:pPr>
                  <w:r>
                    <w:rPr>
                      <w:rFonts w:hint="eastAsia" w:ascii="宋体" w:hAnsi="宋体" w:eastAsia="宋体" w:cs="宋体"/>
                      <w:b/>
                      <w:bCs/>
                      <w:kern w:val="0"/>
                      <w:sz w:val="22"/>
                      <w:szCs w:val="22"/>
                    </w:rPr>
                    <w:t>总计</w:t>
                  </w:r>
                </w:p>
              </w:tc>
              <w:tc>
                <w:tcPr>
                  <w:tcW w:w="19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63</w:t>
                  </w:r>
                </w:p>
              </w:tc>
              <w:tc>
                <w:tcPr>
                  <w:tcW w:w="3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541.21</w:t>
                  </w:r>
                </w:p>
              </w:tc>
              <w:tc>
                <w:tcPr>
                  <w:tcW w:w="52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541.21</w:t>
                  </w:r>
                </w:p>
              </w:tc>
              <w:tc>
                <w:tcPr>
                  <w:tcW w:w="431"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15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4845" w:type="pct"/>
                  <w:gridSpan w:val="8"/>
                  <w:tcBorders>
                    <w:top w:val="single" w:color="000000" w:sz="4" w:space="0"/>
                    <w:left w:val="nil"/>
                    <w:bottom w:val="nil"/>
                    <w:right w:val="nil"/>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注：本表反映部门本年度一般公共预算财政拨款、政府性基金预算财政拨款和国有资本经营预算财政拨款的总收支和年末结转结余情况。</w:t>
                  </w:r>
                </w:p>
              </w:tc>
              <w:tc>
                <w:tcPr>
                  <w:tcW w:w="154" w:type="pct"/>
                  <w:tcBorders>
                    <w:top w:val="nil"/>
                    <w:left w:val="nil"/>
                    <w:bottom w:val="nil"/>
                    <w:right w:val="nil"/>
                  </w:tcBorders>
                  <w:shd w:val="clear" w:color="000000" w:fill="FFFFFF"/>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bl>
          <w:p>
            <w:pPr>
              <w:widowControl/>
              <w:textAlignment w:val="bottom"/>
              <w:rPr>
                <w:rFonts w:ascii="宋体" w:hAnsi="宋体" w:eastAsia="宋体" w:cs="宋体"/>
                <w:sz w:val="30"/>
                <w:szCs w:val="30"/>
              </w:rPr>
            </w:pPr>
          </w:p>
        </w:tc>
      </w:tr>
    </w:tbl>
    <w:p>
      <w:pPr>
        <w:widowControl/>
        <w:jc w:val="center"/>
        <w:textAlignment w:val="bottom"/>
        <w:rPr>
          <w:rFonts w:hint="eastAsia" w:ascii="宋体" w:hAnsi="宋体" w:eastAsia="宋体" w:cs="宋体"/>
          <w:kern w:val="0"/>
          <w:sz w:val="32"/>
          <w:szCs w:val="32"/>
        </w:rPr>
      </w:pPr>
    </w:p>
    <w:p>
      <w:pPr>
        <w:widowControl/>
        <w:jc w:val="center"/>
        <w:textAlignment w:val="bottom"/>
        <w:rPr>
          <w:rFonts w:ascii="宋体" w:hAnsi="宋体" w:eastAsia="宋体" w:cs="宋体"/>
          <w:kern w:val="0"/>
          <w:sz w:val="32"/>
          <w:szCs w:val="32"/>
        </w:rPr>
      </w:pPr>
      <w:r>
        <w:rPr>
          <w:rFonts w:hint="eastAsia" w:ascii="宋体" w:hAnsi="宋体" w:eastAsia="宋体" w:cs="宋体"/>
          <w:kern w:val="0"/>
          <w:sz w:val="32"/>
          <w:szCs w:val="32"/>
        </w:rPr>
        <w:t>表五：一般公共预算财政拨款支出决算表</w:t>
      </w:r>
    </w:p>
    <w:p>
      <w:pPr>
        <w:ind w:firstLine="12800" w:firstLineChars="6400"/>
        <w:jc w:val="left"/>
        <w:rPr>
          <w:rFonts w:ascii="仿宋" w:hAnsi="仿宋" w:eastAsia="仿宋" w:cs="仿宋"/>
          <w:sz w:val="24"/>
        </w:rPr>
      </w:pPr>
      <w:r>
        <w:rPr>
          <w:rFonts w:hint="eastAsia" w:ascii="宋体" w:hAnsi="宋体" w:eastAsia="宋体" w:cs="宋体"/>
          <w:kern w:val="0"/>
          <w:sz w:val="20"/>
          <w:szCs w:val="20"/>
        </w:rPr>
        <w:t>公开05表</w:t>
      </w:r>
    </w:p>
    <w:p>
      <w:pPr>
        <w:rPr>
          <w:rFonts w:ascii="宋体" w:hAnsi="宋体" w:eastAsia="宋体" w:cs="宋体"/>
          <w:kern w:val="0"/>
          <w:sz w:val="30"/>
          <w:szCs w:val="30"/>
        </w:rPr>
      </w:pPr>
      <w:r>
        <w:rPr>
          <w:rFonts w:hint="eastAsia" w:ascii="宋体" w:hAnsi="宋体" w:eastAsia="宋体" w:cs="宋体"/>
          <w:kern w:val="0"/>
          <w:sz w:val="20"/>
          <w:szCs w:val="20"/>
        </w:rPr>
        <w:t>部门：</w:t>
      </w:r>
      <w:r>
        <w:rPr>
          <w:rFonts w:ascii="宋体" w:hAnsi="宋体" w:eastAsia="宋体" w:cs="宋体"/>
          <w:sz w:val="20"/>
        </w:rPr>
        <w:t>环江毛南族自治县第一幼儿园</w:t>
      </w:r>
      <w:r>
        <w:rPr>
          <w:rFonts w:hint="eastAsia" w:ascii="宋体" w:hAnsi="宋体" w:eastAsia="宋体" w:cs="宋体"/>
          <w:sz w:val="20"/>
        </w:rPr>
        <w:t>　　　　　　　　　　　　　　　　　　　　　　　　　　　　　　　　　　　　　　　　　　　　　　</w:t>
      </w:r>
      <w:r>
        <w:rPr>
          <w:rFonts w:hint="eastAsia" w:ascii="宋体" w:hAnsi="宋体" w:eastAsia="宋体" w:cs="宋体"/>
          <w:kern w:val="0"/>
          <w:sz w:val="20"/>
          <w:szCs w:val="20"/>
        </w:rPr>
        <w:t>金额单位：万元</w:t>
      </w:r>
    </w:p>
    <w:tbl>
      <w:tblPr>
        <w:tblStyle w:val="7"/>
        <w:tblW w:w="5000" w:type="pct"/>
        <w:tblInd w:w="0" w:type="dxa"/>
        <w:tblLayout w:type="autofit"/>
        <w:tblCellMar>
          <w:top w:w="0" w:type="dxa"/>
          <w:left w:w="108" w:type="dxa"/>
          <w:bottom w:w="0" w:type="dxa"/>
          <w:right w:w="108" w:type="dxa"/>
        </w:tblCellMar>
      </w:tblPr>
      <w:tblGrid>
        <w:gridCol w:w="986"/>
        <w:gridCol w:w="3771"/>
        <w:gridCol w:w="2872"/>
        <w:gridCol w:w="2756"/>
        <w:gridCol w:w="3789"/>
      </w:tblGrid>
      <w:tr>
        <w:trPr>
          <w:trHeight w:val="300" w:hRule="atLeast"/>
        </w:trPr>
        <w:tc>
          <w:tcPr>
            <w:tcW w:w="1676" w:type="pct"/>
            <w:gridSpan w:val="2"/>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项目</w:t>
            </w:r>
          </w:p>
        </w:tc>
        <w:tc>
          <w:tcPr>
            <w:tcW w:w="3324" w:type="pct"/>
            <w:gridSpan w:val="3"/>
            <w:tcBorders>
              <w:top w:val="single" w:color="000000" w:sz="4" w:space="0"/>
              <w:left w:val="nil"/>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本年支出</w:t>
            </w:r>
          </w:p>
        </w:tc>
      </w:tr>
      <w:tr>
        <w:trPr>
          <w:trHeight w:val="312" w:hRule="atLeast"/>
        </w:trPr>
        <w:tc>
          <w:tcPr>
            <w:tcW w:w="345" w:type="pct"/>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科目代码</w:t>
            </w:r>
          </w:p>
        </w:tc>
        <w:tc>
          <w:tcPr>
            <w:tcW w:w="1331" w:type="pct"/>
            <w:vMerge w:val="restart"/>
            <w:tcBorders>
              <w:top w:val="nil"/>
              <w:left w:val="single" w:color="000000" w:sz="4" w:space="0"/>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科目名称</w:t>
            </w:r>
          </w:p>
        </w:tc>
        <w:tc>
          <w:tcPr>
            <w:tcW w:w="1014" w:type="pct"/>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小计</w:t>
            </w:r>
          </w:p>
        </w:tc>
        <w:tc>
          <w:tcPr>
            <w:tcW w:w="973" w:type="pct"/>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基本支出</w:t>
            </w:r>
          </w:p>
        </w:tc>
        <w:tc>
          <w:tcPr>
            <w:tcW w:w="1338" w:type="pct"/>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项目支出</w:t>
            </w:r>
          </w:p>
        </w:tc>
      </w:tr>
      <w:tr>
        <w:tblPrEx>
          <w:tblCellMar>
            <w:top w:w="0" w:type="dxa"/>
            <w:left w:w="108" w:type="dxa"/>
            <w:bottom w:w="0" w:type="dxa"/>
            <w:right w:w="108" w:type="dxa"/>
          </w:tblCellMar>
        </w:tblPrEx>
        <w:trPr>
          <w:trHeight w:val="312" w:hRule="atLeast"/>
        </w:trPr>
        <w:tc>
          <w:tcPr>
            <w:tcW w:w="345"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133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1014"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9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1338"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312" w:hRule="atLeast"/>
        </w:trPr>
        <w:tc>
          <w:tcPr>
            <w:tcW w:w="345"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1331"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1014"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97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1338"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420" w:hRule="atLeast"/>
        </w:trPr>
        <w:tc>
          <w:tcPr>
            <w:tcW w:w="1676" w:type="pct"/>
            <w:gridSpan w:val="2"/>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栏次</w:t>
            </w:r>
          </w:p>
        </w:tc>
        <w:tc>
          <w:tcPr>
            <w:tcW w:w="1014"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w:t>
            </w:r>
          </w:p>
        </w:tc>
        <w:tc>
          <w:tcPr>
            <w:tcW w:w="973"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w:t>
            </w:r>
          </w:p>
        </w:tc>
        <w:tc>
          <w:tcPr>
            <w:tcW w:w="1338"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w:t>
            </w:r>
          </w:p>
        </w:tc>
      </w:tr>
      <w:tr>
        <w:trPr>
          <w:trHeight w:val="405" w:hRule="atLeast"/>
        </w:trPr>
        <w:tc>
          <w:tcPr>
            <w:tcW w:w="1676" w:type="pct"/>
            <w:gridSpan w:val="2"/>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合计</w:t>
            </w:r>
          </w:p>
        </w:tc>
        <w:tc>
          <w:tcPr>
            <w:tcW w:w="101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541.21</w:t>
            </w:r>
          </w:p>
        </w:tc>
        <w:tc>
          <w:tcPr>
            <w:tcW w:w="97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380.86</w:t>
            </w:r>
          </w:p>
        </w:tc>
        <w:tc>
          <w:tcPr>
            <w:tcW w:w="1338"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160.35</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2012999</w:t>
            </w:r>
          </w:p>
        </w:tc>
        <w:tc>
          <w:tcPr>
            <w:tcW w:w="133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其他群众团体事务支出</w:t>
            </w:r>
          </w:p>
        </w:tc>
        <w:tc>
          <w:tcPr>
            <w:tcW w:w="1014"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rPr>
              <w:t>4.6</w:t>
            </w:r>
            <w:r>
              <w:rPr>
                <w:rFonts w:hint="eastAsia" w:ascii="宋体" w:hAnsi="宋体" w:eastAsia="宋体" w:cs="宋体"/>
                <w:kern w:val="0"/>
                <w:sz w:val="22"/>
                <w:szCs w:val="22"/>
                <w:lang w:val="en-US" w:eastAsia="zh-CN"/>
              </w:rPr>
              <w:t>3</w:t>
            </w:r>
          </w:p>
        </w:tc>
        <w:tc>
          <w:tcPr>
            <w:tcW w:w="973"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rPr>
              <w:t>4.6</w:t>
            </w:r>
            <w:r>
              <w:rPr>
                <w:rFonts w:hint="eastAsia" w:ascii="宋体" w:hAnsi="宋体" w:eastAsia="宋体" w:cs="宋体"/>
                <w:kern w:val="0"/>
                <w:sz w:val="22"/>
                <w:szCs w:val="22"/>
                <w:lang w:val="en-US" w:eastAsia="zh-CN"/>
              </w:rPr>
              <w:t>3</w:t>
            </w:r>
          </w:p>
        </w:tc>
        <w:tc>
          <w:tcPr>
            <w:tcW w:w="1338"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2050201</w:t>
            </w:r>
          </w:p>
        </w:tc>
        <w:tc>
          <w:tcPr>
            <w:tcW w:w="133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学前教育</w:t>
            </w:r>
          </w:p>
        </w:tc>
        <w:tc>
          <w:tcPr>
            <w:tcW w:w="101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429.71</w:t>
            </w:r>
          </w:p>
        </w:tc>
        <w:tc>
          <w:tcPr>
            <w:tcW w:w="97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269.39</w:t>
            </w:r>
          </w:p>
        </w:tc>
        <w:tc>
          <w:tcPr>
            <w:tcW w:w="1338"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160.32</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2050299</w:t>
            </w:r>
          </w:p>
        </w:tc>
        <w:tc>
          <w:tcPr>
            <w:tcW w:w="133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其他普通教育支出</w:t>
            </w:r>
          </w:p>
        </w:tc>
        <w:tc>
          <w:tcPr>
            <w:tcW w:w="101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0.56</w:t>
            </w:r>
          </w:p>
        </w:tc>
        <w:tc>
          <w:tcPr>
            <w:tcW w:w="97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0.53</w:t>
            </w:r>
          </w:p>
        </w:tc>
        <w:tc>
          <w:tcPr>
            <w:tcW w:w="1338"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0.03</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2080505</w:t>
            </w:r>
          </w:p>
        </w:tc>
        <w:tc>
          <w:tcPr>
            <w:tcW w:w="133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机关事业单位基本养老保险缴费支出</w:t>
            </w:r>
          </w:p>
        </w:tc>
        <w:tc>
          <w:tcPr>
            <w:tcW w:w="101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35.69</w:t>
            </w:r>
          </w:p>
        </w:tc>
        <w:tc>
          <w:tcPr>
            <w:tcW w:w="97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35.69</w:t>
            </w:r>
          </w:p>
        </w:tc>
        <w:tc>
          <w:tcPr>
            <w:tcW w:w="1338"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2210201</w:t>
            </w:r>
          </w:p>
        </w:tc>
        <w:tc>
          <w:tcPr>
            <w:tcW w:w="133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住房公积金</w:t>
            </w:r>
          </w:p>
        </w:tc>
        <w:tc>
          <w:tcPr>
            <w:tcW w:w="101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26.52</w:t>
            </w:r>
          </w:p>
        </w:tc>
        <w:tc>
          <w:tcPr>
            <w:tcW w:w="97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26.52</w:t>
            </w:r>
          </w:p>
        </w:tc>
        <w:tc>
          <w:tcPr>
            <w:tcW w:w="1338"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34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2299999</w:t>
            </w:r>
          </w:p>
        </w:tc>
        <w:tc>
          <w:tcPr>
            <w:tcW w:w="1331"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其他支出</w:t>
            </w:r>
          </w:p>
        </w:tc>
        <w:tc>
          <w:tcPr>
            <w:tcW w:w="1014"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44.10</w:t>
            </w:r>
          </w:p>
        </w:tc>
        <w:tc>
          <w:tcPr>
            <w:tcW w:w="97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44.10</w:t>
            </w:r>
          </w:p>
        </w:tc>
        <w:tc>
          <w:tcPr>
            <w:tcW w:w="1338"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rPr>
          <w:trHeight w:val="300" w:hRule="atLeast"/>
        </w:trPr>
        <w:tc>
          <w:tcPr>
            <w:tcW w:w="5000" w:type="pct"/>
            <w:gridSpan w:val="5"/>
            <w:tcBorders>
              <w:top w:val="single" w:color="000000" w:sz="4" w:space="0"/>
              <w:left w:val="nil"/>
              <w:bottom w:val="nil"/>
              <w:right w:val="nil"/>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注：本表反映部门本年度一般公共预算财政拨款支出情况。</w:t>
            </w:r>
          </w:p>
        </w:tc>
      </w:tr>
    </w:tbl>
    <w:p>
      <w:pPr>
        <w:widowControl/>
        <w:jc w:val="center"/>
        <w:textAlignment w:val="bottom"/>
        <w:rPr>
          <w:rFonts w:ascii="宋体" w:hAnsi="宋体" w:eastAsia="宋体" w:cs="宋体"/>
          <w:kern w:val="0"/>
          <w:sz w:val="32"/>
          <w:szCs w:val="32"/>
        </w:rPr>
      </w:pPr>
    </w:p>
    <w:p>
      <w:pPr>
        <w:widowControl/>
        <w:jc w:val="center"/>
        <w:textAlignment w:val="bottom"/>
        <w:rPr>
          <w:rFonts w:ascii="宋体" w:hAnsi="宋体" w:eastAsia="宋体" w:cs="宋体"/>
          <w:kern w:val="0"/>
          <w:sz w:val="32"/>
          <w:szCs w:val="32"/>
        </w:rPr>
      </w:pPr>
    </w:p>
    <w:p>
      <w:pPr>
        <w:widowControl/>
        <w:jc w:val="center"/>
        <w:textAlignment w:val="bottom"/>
        <w:rPr>
          <w:rFonts w:ascii="宋体" w:hAnsi="宋体" w:eastAsia="宋体" w:cs="宋体"/>
          <w:kern w:val="0"/>
          <w:sz w:val="32"/>
          <w:szCs w:val="32"/>
        </w:rPr>
      </w:pPr>
    </w:p>
    <w:p>
      <w:pPr>
        <w:widowControl/>
        <w:jc w:val="center"/>
        <w:textAlignment w:val="bottom"/>
        <w:rPr>
          <w:rFonts w:ascii="宋体" w:hAnsi="宋体" w:eastAsia="宋体" w:cs="宋体"/>
          <w:kern w:val="0"/>
          <w:sz w:val="32"/>
          <w:szCs w:val="32"/>
        </w:rPr>
      </w:pPr>
    </w:p>
    <w:p>
      <w:pPr>
        <w:widowControl/>
        <w:jc w:val="center"/>
        <w:textAlignment w:val="bottom"/>
        <w:rPr>
          <w:rFonts w:ascii="宋体" w:hAnsi="宋体" w:eastAsia="宋体" w:cs="宋体"/>
          <w:kern w:val="0"/>
          <w:sz w:val="32"/>
          <w:szCs w:val="32"/>
        </w:rPr>
      </w:pPr>
      <w:r>
        <w:rPr>
          <w:rFonts w:hint="eastAsia" w:ascii="宋体" w:hAnsi="宋体" w:eastAsia="宋体" w:cs="宋体"/>
          <w:kern w:val="0"/>
          <w:sz w:val="32"/>
          <w:szCs w:val="32"/>
        </w:rPr>
        <w:t>表六：一般公共预算财政拨款基本支出决算明细表</w:t>
      </w:r>
    </w:p>
    <w:p>
      <w:pPr>
        <w:ind w:firstLine="12800" w:firstLineChars="6400"/>
        <w:jc w:val="left"/>
        <w:rPr>
          <w:rFonts w:ascii="仿宋" w:hAnsi="仿宋" w:eastAsia="仿宋" w:cs="仿宋"/>
          <w:sz w:val="24"/>
        </w:rPr>
      </w:pPr>
      <w:r>
        <w:rPr>
          <w:rFonts w:hint="eastAsia" w:ascii="宋体" w:hAnsi="宋体" w:eastAsia="宋体" w:cs="宋体"/>
          <w:kern w:val="0"/>
          <w:sz w:val="20"/>
          <w:szCs w:val="20"/>
        </w:rPr>
        <w:t>公开06表</w:t>
      </w:r>
    </w:p>
    <w:p>
      <w:pPr>
        <w:rPr>
          <w:rFonts w:ascii="宋体" w:hAnsi="宋体" w:eastAsia="宋体" w:cs="宋体"/>
          <w:kern w:val="0"/>
          <w:sz w:val="30"/>
          <w:szCs w:val="30"/>
        </w:rPr>
      </w:pPr>
      <w:r>
        <w:rPr>
          <w:rFonts w:hint="eastAsia" w:ascii="宋体" w:hAnsi="宋体" w:eastAsia="宋体" w:cs="宋体"/>
          <w:kern w:val="0"/>
          <w:sz w:val="20"/>
          <w:szCs w:val="20"/>
        </w:rPr>
        <w:t>部门：</w:t>
      </w:r>
      <w:r>
        <w:rPr>
          <w:rFonts w:ascii="宋体" w:hAnsi="宋体" w:eastAsia="宋体" w:cs="宋体"/>
          <w:sz w:val="20"/>
        </w:rPr>
        <w:t>环江毛南族自治县第一幼儿园</w:t>
      </w:r>
      <w:r>
        <w:rPr>
          <w:rFonts w:hint="eastAsia" w:ascii="宋体" w:hAnsi="宋体" w:eastAsia="宋体" w:cs="宋体"/>
          <w:sz w:val="20"/>
        </w:rPr>
        <w:t>　　　　　　　　　　　　　　　　　　　　　　　　　　　　　　　　　　　　　　　　　　　　　　</w:t>
      </w:r>
      <w:r>
        <w:rPr>
          <w:rFonts w:hint="eastAsia" w:ascii="宋体" w:hAnsi="宋体" w:eastAsia="宋体" w:cs="宋体"/>
          <w:kern w:val="0"/>
          <w:sz w:val="20"/>
          <w:szCs w:val="20"/>
        </w:rPr>
        <w:t>金额单位：万元</w:t>
      </w:r>
    </w:p>
    <w:tbl>
      <w:tblPr>
        <w:tblStyle w:val="7"/>
        <w:tblW w:w="5000" w:type="pct"/>
        <w:tblInd w:w="0" w:type="dxa"/>
        <w:tblLayout w:type="fixed"/>
        <w:tblCellMar>
          <w:top w:w="0" w:type="dxa"/>
          <w:left w:w="108" w:type="dxa"/>
          <w:bottom w:w="0" w:type="dxa"/>
          <w:right w:w="108" w:type="dxa"/>
        </w:tblCellMar>
      </w:tblPr>
      <w:tblGrid>
        <w:gridCol w:w="736"/>
        <w:gridCol w:w="2339"/>
        <w:gridCol w:w="1687"/>
        <w:gridCol w:w="906"/>
        <w:gridCol w:w="1787"/>
        <w:gridCol w:w="1230"/>
        <w:gridCol w:w="840"/>
        <w:gridCol w:w="3877"/>
        <w:gridCol w:w="772"/>
      </w:tblGrid>
      <w:tr>
        <w:tblPrEx>
          <w:tblCellMar>
            <w:top w:w="0" w:type="dxa"/>
            <w:left w:w="108" w:type="dxa"/>
            <w:bottom w:w="0" w:type="dxa"/>
            <w:right w:w="108" w:type="dxa"/>
          </w:tblCellMar>
        </w:tblPrEx>
        <w:trPr>
          <w:trHeight w:val="300" w:hRule="atLeast"/>
        </w:trPr>
        <w:tc>
          <w:tcPr>
            <w:tcW w:w="1679" w:type="pct"/>
            <w:gridSpan w:val="3"/>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人员经费</w:t>
            </w:r>
          </w:p>
        </w:tc>
        <w:tc>
          <w:tcPr>
            <w:tcW w:w="3320" w:type="pct"/>
            <w:gridSpan w:val="6"/>
            <w:tcBorders>
              <w:top w:val="single" w:color="000000" w:sz="4" w:space="0"/>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公用经费</w:t>
            </w:r>
          </w:p>
        </w:tc>
      </w:tr>
      <w:tr>
        <w:tblPrEx>
          <w:tblCellMar>
            <w:top w:w="0" w:type="dxa"/>
            <w:left w:w="108" w:type="dxa"/>
            <w:bottom w:w="0" w:type="dxa"/>
            <w:right w:w="108" w:type="dxa"/>
          </w:tblCellMar>
        </w:tblPrEx>
        <w:trPr>
          <w:trHeight w:val="312" w:hRule="atLeast"/>
        </w:trPr>
        <w:tc>
          <w:tcPr>
            <w:tcW w:w="259" w:type="pct"/>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科目代码</w:t>
            </w:r>
          </w:p>
        </w:tc>
        <w:tc>
          <w:tcPr>
            <w:tcW w:w="825" w:type="pct"/>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科目名称</w:t>
            </w:r>
          </w:p>
        </w:tc>
        <w:tc>
          <w:tcPr>
            <w:tcW w:w="595" w:type="pct"/>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决算数</w:t>
            </w:r>
          </w:p>
        </w:tc>
        <w:tc>
          <w:tcPr>
            <w:tcW w:w="319" w:type="pct"/>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科目代码</w:t>
            </w:r>
          </w:p>
        </w:tc>
        <w:tc>
          <w:tcPr>
            <w:tcW w:w="630" w:type="pct"/>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科目名称</w:t>
            </w:r>
          </w:p>
        </w:tc>
        <w:tc>
          <w:tcPr>
            <w:tcW w:w="433" w:type="pct"/>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决算数</w:t>
            </w:r>
          </w:p>
        </w:tc>
        <w:tc>
          <w:tcPr>
            <w:tcW w:w="296" w:type="pct"/>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科目代码</w:t>
            </w:r>
          </w:p>
        </w:tc>
        <w:tc>
          <w:tcPr>
            <w:tcW w:w="1367" w:type="pct"/>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科目名称</w:t>
            </w:r>
          </w:p>
        </w:tc>
        <w:tc>
          <w:tcPr>
            <w:tcW w:w="272" w:type="pct"/>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决算数</w:t>
            </w:r>
          </w:p>
        </w:tc>
      </w:tr>
      <w:tr>
        <w:tblPrEx>
          <w:tblCellMar>
            <w:top w:w="0" w:type="dxa"/>
            <w:left w:w="108" w:type="dxa"/>
            <w:bottom w:w="0" w:type="dxa"/>
            <w:right w:w="108" w:type="dxa"/>
          </w:tblCellMar>
        </w:tblPrEx>
        <w:trPr>
          <w:trHeight w:val="312" w:hRule="atLeast"/>
        </w:trPr>
        <w:tc>
          <w:tcPr>
            <w:tcW w:w="259"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82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595"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319"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63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433"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296"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1367"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272"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300" w:hRule="atLeast"/>
        </w:trPr>
        <w:tc>
          <w:tcPr>
            <w:tcW w:w="259"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w:t>
            </w:r>
          </w:p>
        </w:tc>
        <w:tc>
          <w:tcPr>
            <w:tcW w:w="825"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工资福利支出</w:t>
            </w:r>
          </w:p>
        </w:tc>
        <w:tc>
          <w:tcPr>
            <w:tcW w:w="59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340.51</w:t>
            </w:r>
          </w:p>
        </w:tc>
        <w:tc>
          <w:tcPr>
            <w:tcW w:w="319"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w:t>
            </w:r>
          </w:p>
        </w:tc>
        <w:tc>
          <w:tcPr>
            <w:tcW w:w="63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商品和服务支出</w:t>
            </w:r>
          </w:p>
        </w:tc>
        <w:tc>
          <w:tcPr>
            <w:tcW w:w="433"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rPr>
              <w:t>4.6</w:t>
            </w:r>
            <w:r>
              <w:rPr>
                <w:rFonts w:hint="eastAsia" w:ascii="宋体" w:hAnsi="宋体" w:eastAsia="宋体" w:cs="宋体"/>
                <w:kern w:val="0"/>
                <w:sz w:val="22"/>
                <w:szCs w:val="22"/>
                <w:lang w:val="en-US" w:eastAsia="zh-CN"/>
              </w:rPr>
              <w:t>3</w:t>
            </w:r>
          </w:p>
        </w:tc>
        <w:tc>
          <w:tcPr>
            <w:tcW w:w="296"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307</w:t>
            </w:r>
          </w:p>
        </w:tc>
        <w:tc>
          <w:tcPr>
            <w:tcW w:w="1367"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债务利息及费用支出</w:t>
            </w:r>
          </w:p>
        </w:tc>
        <w:tc>
          <w:tcPr>
            <w:tcW w:w="27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259"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30101</w:t>
            </w:r>
          </w:p>
        </w:tc>
        <w:tc>
          <w:tcPr>
            <w:tcW w:w="825"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基本工资</w:t>
            </w:r>
          </w:p>
        </w:tc>
        <w:tc>
          <w:tcPr>
            <w:tcW w:w="59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110.85</w:t>
            </w:r>
          </w:p>
        </w:tc>
        <w:tc>
          <w:tcPr>
            <w:tcW w:w="319"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30201</w:t>
            </w:r>
          </w:p>
        </w:tc>
        <w:tc>
          <w:tcPr>
            <w:tcW w:w="63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办公费</w:t>
            </w:r>
          </w:p>
        </w:tc>
        <w:tc>
          <w:tcPr>
            <w:tcW w:w="43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96"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30701</w:t>
            </w:r>
          </w:p>
        </w:tc>
        <w:tc>
          <w:tcPr>
            <w:tcW w:w="1367"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国内债务付息</w:t>
            </w:r>
          </w:p>
        </w:tc>
        <w:tc>
          <w:tcPr>
            <w:tcW w:w="27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259"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30102</w:t>
            </w:r>
          </w:p>
        </w:tc>
        <w:tc>
          <w:tcPr>
            <w:tcW w:w="825"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津贴补贴</w:t>
            </w:r>
          </w:p>
        </w:tc>
        <w:tc>
          <w:tcPr>
            <w:tcW w:w="59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11.14</w:t>
            </w:r>
          </w:p>
        </w:tc>
        <w:tc>
          <w:tcPr>
            <w:tcW w:w="319"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30202</w:t>
            </w:r>
          </w:p>
        </w:tc>
        <w:tc>
          <w:tcPr>
            <w:tcW w:w="63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印刷费</w:t>
            </w:r>
          </w:p>
        </w:tc>
        <w:tc>
          <w:tcPr>
            <w:tcW w:w="43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96"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30702</w:t>
            </w:r>
          </w:p>
        </w:tc>
        <w:tc>
          <w:tcPr>
            <w:tcW w:w="1367"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国外债务付息</w:t>
            </w:r>
          </w:p>
        </w:tc>
        <w:tc>
          <w:tcPr>
            <w:tcW w:w="27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259"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30103</w:t>
            </w:r>
          </w:p>
        </w:tc>
        <w:tc>
          <w:tcPr>
            <w:tcW w:w="825"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奖金</w:t>
            </w:r>
          </w:p>
        </w:tc>
        <w:tc>
          <w:tcPr>
            <w:tcW w:w="59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86.30</w:t>
            </w:r>
          </w:p>
        </w:tc>
        <w:tc>
          <w:tcPr>
            <w:tcW w:w="319"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30203</w:t>
            </w:r>
          </w:p>
        </w:tc>
        <w:tc>
          <w:tcPr>
            <w:tcW w:w="63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咨询费</w:t>
            </w:r>
          </w:p>
        </w:tc>
        <w:tc>
          <w:tcPr>
            <w:tcW w:w="43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96"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310</w:t>
            </w:r>
          </w:p>
        </w:tc>
        <w:tc>
          <w:tcPr>
            <w:tcW w:w="1367"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资本性支出</w:t>
            </w:r>
          </w:p>
        </w:tc>
        <w:tc>
          <w:tcPr>
            <w:tcW w:w="27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259"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30106</w:t>
            </w:r>
          </w:p>
        </w:tc>
        <w:tc>
          <w:tcPr>
            <w:tcW w:w="825"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伙食补助费</w:t>
            </w:r>
          </w:p>
        </w:tc>
        <w:tc>
          <w:tcPr>
            <w:tcW w:w="59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19"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30204</w:t>
            </w:r>
          </w:p>
        </w:tc>
        <w:tc>
          <w:tcPr>
            <w:tcW w:w="63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手续费</w:t>
            </w:r>
          </w:p>
        </w:tc>
        <w:tc>
          <w:tcPr>
            <w:tcW w:w="43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96"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31001</w:t>
            </w:r>
          </w:p>
        </w:tc>
        <w:tc>
          <w:tcPr>
            <w:tcW w:w="1367"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房屋建筑物购建</w:t>
            </w:r>
          </w:p>
        </w:tc>
        <w:tc>
          <w:tcPr>
            <w:tcW w:w="27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259"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30107</w:t>
            </w:r>
          </w:p>
        </w:tc>
        <w:tc>
          <w:tcPr>
            <w:tcW w:w="825"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绩效工资</w:t>
            </w:r>
          </w:p>
        </w:tc>
        <w:tc>
          <w:tcPr>
            <w:tcW w:w="59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55.29</w:t>
            </w:r>
          </w:p>
        </w:tc>
        <w:tc>
          <w:tcPr>
            <w:tcW w:w="319"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30205</w:t>
            </w:r>
          </w:p>
        </w:tc>
        <w:tc>
          <w:tcPr>
            <w:tcW w:w="63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水费</w:t>
            </w:r>
          </w:p>
        </w:tc>
        <w:tc>
          <w:tcPr>
            <w:tcW w:w="43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96"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31002</w:t>
            </w:r>
          </w:p>
        </w:tc>
        <w:tc>
          <w:tcPr>
            <w:tcW w:w="1367"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办公设备购置</w:t>
            </w:r>
          </w:p>
        </w:tc>
        <w:tc>
          <w:tcPr>
            <w:tcW w:w="27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259"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30108</w:t>
            </w:r>
          </w:p>
        </w:tc>
        <w:tc>
          <w:tcPr>
            <w:tcW w:w="825"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机关事业单位基本养老保险缴费</w:t>
            </w:r>
          </w:p>
        </w:tc>
        <w:tc>
          <w:tcPr>
            <w:tcW w:w="59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35.69</w:t>
            </w:r>
          </w:p>
        </w:tc>
        <w:tc>
          <w:tcPr>
            <w:tcW w:w="319"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30206</w:t>
            </w:r>
          </w:p>
        </w:tc>
        <w:tc>
          <w:tcPr>
            <w:tcW w:w="63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电费</w:t>
            </w:r>
          </w:p>
        </w:tc>
        <w:tc>
          <w:tcPr>
            <w:tcW w:w="43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96"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31003</w:t>
            </w:r>
          </w:p>
        </w:tc>
        <w:tc>
          <w:tcPr>
            <w:tcW w:w="1367"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专用设备购置</w:t>
            </w:r>
          </w:p>
        </w:tc>
        <w:tc>
          <w:tcPr>
            <w:tcW w:w="27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259"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30109</w:t>
            </w:r>
          </w:p>
        </w:tc>
        <w:tc>
          <w:tcPr>
            <w:tcW w:w="825"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职业年金缴费</w:t>
            </w:r>
          </w:p>
        </w:tc>
        <w:tc>
          <w:tcPr>
            <w:tcW w:w="59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19"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30207</w:t>
            </w:r>
          </w:p>
        </w:tc>
        <w:tc>
          <w:tcPr>
            <w:tcW w:w="63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邮电费</w:t>
            </w:r>
          </w:p>
        </w:tc>
        <w:tc>
          <w:tcPr>
            <w:tcW w:w="43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96"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31005</w:t>
            </w:r>
          </w:p>
        </w:tc>
        <w:tc>
          <w:tcPr>
            <w:tcW w:w="1367"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基础设施建设</w:t>
            </w:r>
          </w:p>
        </w:tc>
        <w:tc>
          <w:tcPr>
            <w:tcW w:w="27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259"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30110</w:t>
            </w:r>
          </w:p>
        </w:tc>
        <w:tc>
          <w:tcPr>
            <w:tcW w:w="825"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职工基本医疗保险缴费</w:t>
            </w:r>
          </w:p>
        </w:tc>
        <w:tc>
          <w:tcPr>
            <w:tcW w:w="59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12.95</w:t>
            </w:r>
          </w:p>
        </w:tc>
        <w:tc>
          <w:tcPr>
            <w:tcW w:w="319"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30208</w:t>
            </w:r>
          </w:p>
        </w:tc>
        <w:tc>
          <w:tcPr>
            <w:tcW w:w="63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取暖费</w:t>
            </w:r>
          </w:p>
        </w:tc>
        <w:tc>
          <w:tcPr>
            <w:tcW w:w="43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96"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31006</w:t>
            </w:r>
          </w:p>
        </w:tc>
        <w:tc>
          <w:tcPr>
            <w:tcW w:w="1367"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大型修缮</w:t>
            </w:r>
          </w:p>
        </w:tc>
        <w:tc>
          <w:tcPr>
            <w:tcW w:w="27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259"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30111</w:t>
            </w:r>
          </w:p>
        </w:tc>
        <w:tc>
          <w:tcPr>
            <w:tcW w:w="825"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公务员医疗补助缴费</w:t>
            </w:r>
          </w:p>
        </w:tc>
        <w:tc>
          <w:tcPr>
            <w:tcW w:w="59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19"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30209</w:t>
            </w:r>
          </w:p>
        </w:tc>
        <w:tc>
          <w:tcPr>
            <w:tcW w:w="63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物业管理费</w:t>
            </w:r>
          </w:p>
        </w:tc>
        <w:tc>
          <w:tcPr>
            <w:tcW w:w="43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96"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31007</w:t>
            </w:r>
          </w:p>
        </w:tc>
        <w:tc>
          <w:tcPr>
            <w:tcW w:w="1367"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信息网络及软件购置更新</w:t>
            </w:r>
          </w:p>
        </w:tc>
        <w:tc>
          <w:tcPr>
            <w:tcW w:w="27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259"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30112</w:t>
            </w:r>
          </w:p>
        </w:tc>
        <w:tc>
          <w:tcPr>
            <w:tcW w:w="825"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其他社会保障缴费</w:t>
            </w:r>
          </w:p>
        </w:tc>
        <w:tc>
          <w:tcPr>
            <w:tcW w:w="59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1.78</w:t>
            </w:r>
          </w:p>
        </w:tc>
        <w:tc>
          <w:tcPr>
            <w:tcW w:w="319"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30211</w:t>
            </w:r>
          </w:p>
        </w:tc>
        <w:tc>
          <w:tcPr>
            <w:tcW w:w="63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差旅费</w:t>
            </w:r>
          </w:p>
        </w:tc>
        <w:tc>
          <w:tcPr>
            <w:tcW w:w="43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96"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31008</w:t>
            </w:r>
          </w:p>
        </w:tc>
        <w:tc>
          <w:tcPr>
            <w:tcW w:w="1367"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物资储备</w:t>
            </w:r>
          </w:p>
        </w:tc>
        <w:tc>
          <w:tcPr>
            <w:tcW w:w="27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259"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30113</w:t>
            </w:r>
          </w:p>
        </w:tc>
        <w:tc>
          <w:tcPr>
            <w:tcW w:w="825"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住房公积金</w:t>
            </w:r>
          </w:p>
        </w:tc>
        <w:tc>
          <w:tcPr>
            <w:tcW w:w="59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26.52</w:t>
            </w:r>
          </w:p>
        </w:tc>
        <w:tc>
          <w:tcPr>
            <w:tcW w:w="319"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30212</w:t>
            </w:r>
          </w:p>
        </w:tc>
        <w:tc>
          <w:tcPr>
            <w:tcW w:w="63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因公出国（境）费用</w:t>
            </w:r>
          </w:p>
        </w:tc>
        <w:tc>
          <w:tcPr>
            <w:tcW w:w="43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96"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31009</w:t>
            </w:r>
          </w:p>
        </w:tc>
        <w:tc>
          <w:tcPr>
            <w:tcW w:w="1367"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土地补偿</w:t>
            </w:r>
          </w:p>
        </w:tc>
        <w:tc>
          <w:tcPr>
            <w:tcW w:w="27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259"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30114</w:t>
            </w:r>
          </w:p>
        </w:tc>
        <w:tc>
          <w:tcPr>
            <w:tcW w:w="825"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医疗费</w:t>
            </w:r>
          </w:p>
        </w:tc>
        <w:tc>
          <w:tcPr>
            <w:tcW w:w="59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19"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30213</w:t>
            </w:r>
          </w:p>
        </w:tc>
        <w:tc>
          <w:tcPr>
            <w:tcW w:w="63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维修（护）费</w:t>
            </w:r>
          </w:p>
        </w:tc>
        <w:tc>
          <w:tcPr>
            <w:tcW w:w="43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96"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31010</w:t>
            </w:r>
          </w:p>
        </w:tc>
        <w:tc>
          <w:tcPr>
            <w:tcW w:w="1367"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安置补助</w:t>
            </w:r>
          </w:p>
        </w:tc>
        <w:tc>
          <w:tcPr>
            <w:tcW w:w="27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259"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30199</w:t>
            </w:r>
          </w:p>
        </w:tc>
        <w:tc>
          <w:tcPr>
            <w:tcW w:w="825"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其他工资福利支出</w:t>
            </w:r>
          </w:p>
        </w:tc>
        <w:tc>
          <w:tcPr>
            <w:tcW w:w="59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19"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30214</w:t>
            </w:r>
          </w:p>
        </w:tc>
        <w:tc>
          <w:tcPr>
            <w:tcW w:w="63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租赁费</w:t>
            </w:r>
          </w:p>
        </w:tc>
        <w:tc>
          <w:tcPr>
            <w:tcW w:w="43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96"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31011</w:t>
            </w:r>
          </w:p>
        </w:tc>
        <w:tc>
          <w:tcPr>
            <w:tcW w:w="1367"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地上附着物和青苗补偿</w:t>
            </w:r>
          </w:p>
        </w:tc>
        <w:tc>
          <w:tcPr>
            <w:tcW w:w="27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259"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w:t>
            </w:r>
          </w:p>
        </w:tc>
        <w:tc>
          <w:tcPr>
            <w:tcW w:w="825"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对个人和家庭的补助</w:t>
            </w:r>
          </w:p>
        </w:tc>
        <w:tc>
          <w:tcPr>
            <w:tcW w:w="59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35.72</w:t>
            </w:r>
          </w:p>
        </w:tc>
        <w:tc>
          <w:tcPr>
            <w:tcW w:w="319"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30215</w:t>
            </w:r>
          </w:p>
        </w:tc>
        <w:tc>
          <w:tcPr>
            <w:tcW w:w="63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会议费</w:t>
            </w:r>
          </w:p>
        </w:tc>
        <w:tc>
          <w:tcPr>
            <w:tcW w:w="43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96"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31012</w:t>
            </w:r>
          </w:p>
        </w:tc>
        <w:tc>
          <w:tcPr>
            <w:tcW w:w="1367"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拆迁补偿</w:t>
            </w:r>
          </w:p>
        </w:tc>
        <w:tc>
          <w:tcPr>
            <w:tcW w:w="27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259"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30301</w:t>
            </w:r>
          </w:p>
        </w:tc>
        <w:tc>
          <w:tcPr>
            <w:tcW w:w="825"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离休费</w:t>
            </w:r>
          </w:p>
        </w:tc>
        <w:tc>
          <w:tcPr>
            <w:tcW w:w="59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19"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30216</w:t>
            </w:r>
          </w:p>
        </w:tc>
        <w:tc>
          <w:tcPr>
            <w:tcW w:w="63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培训费</w:t>
            </w:r>
          </w:p>
        </w:tc>
        <w:tc>
          <w:tcPr>
            <w:tcW w:w="43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96"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31013</w:t>
            </w:r>
          </w:p>
        </w:tc>
        <w:tc>
          <w:tcPr>
            <w:tcW w:w="1367"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公务用车购置</w:t>
            </w:r>
          </w:p>
        </w:tc>
        <w:tc>
          <w:tcPr>
            <w:tcW w:w="27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259"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30302</w:t>
            </w:r>
          </w:p>
        </w:tc>
        <w:tc>
          <w:tcPr>
            <w:tcW w:w="825"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退休费</w:t>
            </w:r>
          </w:p>
        </w:tc>
        <w:tc>
          <w:tcPr>
            <w:tcW w:w="59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19"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30217</w:t>
            </w:r>
          </w:p>
        </w:tc>
        <w:tc>
          <w:tcPr>
            <w:tcW w:w="63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公务接待费</w:t>
            </w:r>
          </w:p>
        </w:tc>
        <w:tc>
          <w:tcPr>
            <w:tcW w:w="43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96"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31019</w:t>
            </w:r>
          </w:p>
        </w:tc>
        <w:tc>
          <w:tcPr>
            <w:tcW w:w="1367"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其他交通工具购置</w:t>
            </w:r>
          </w:p>
        </w:tc>
        <w:tc>
          <w:tcPr>
            <w:tcW w:w="27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259"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30303</w:t>
            </w:r>
          </w:p>
        </w:tc>
        <w:tc>
          <w:tcPr>
            <w:tcW w:w="825"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退职（役）费</w:t>
            </w:r>
          </w:p>
        </w:tc>
        <w:tc>
          <w:tcPr>
            <w:tcW w:w="59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19"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30218</w:t>
            </w:r>
          </w:p>
        </w:tc>
        <w:tc>
          <w:tcPr>
            <w:tcW w:w="63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专用材料费</w:t>
            </w:r>
          </w:p>
        </w:tc>
        <w:tc>
          <w:tcPr>
            <w:tcW w:w="43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96"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31021</w:t>
            </w:r>
          </w:p>
        </w:tc>
        <w:tc>
          <w:tcPr>
            <w:tcW w:w="1367"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文物和陈列品购置</w:t>
            </w:r>
          </w:p>
        </w:tc>
        <w:tc>
          <w:tcPr>
            <w:tcW w:w="27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259"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30304</w:t>
            </w:r>
          </w:p>
        </w:tc>
        <w:tc>
          <w:tcPr>
            <w:tcW w:w="825"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抚恤金</w:t>
            </w:r>
          </w:p>
        </w:tc>
        <w:tc>
          <w:tcPr>
            <w:tcW w:w="59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19"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30224</w:t>
            </w:r>
          </w:p>
        </w:tc>
        <w:tc>
          <w:tcPr>
            <w:tcW w:w="63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被装购置费</w:t>
            </w:r>
          </w:p>
        </w:tc>
        <w:tc>
          <w:tcPr>
            <w:tcW w:w="43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96"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31022</w:t>
            </w:r>
          </w:p>
        </w:tc>
        <w:tc>
          <w:tcPr>
            <w:tcW w:w="1367"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无形资产购置</w:t>
            </w:r>
          </w:p>
        </w:tc>
        <w:tc>
          <w:tcPr>
            <w:tcW w:w="27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259"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30305</w:t>
            </w:r>
          </w:p>
        </w:tc>
        <w:tc>
          <w:tcPr>
            <w:tcW w:w="825"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生活补助</w:t>
            </w:r>
          </w:p>
        </w:tc>
        <w:tc>
          <w:tcPr>
            <w:tcW w:w="59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35.70</w:t>
            </w:r>
          </w:p>
        </w:tc>
        <w:tc>
          <w:tcPr>
            <w:tcW w:w="319"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30225</w:t>
            </w:r>
          </w:p>
        </w:tc>
        <w:tc>
          <w:tcPr>
            <w:tcW w:w="63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专用燃料费</w:t>
            </w:r>
          </w:p>
        </w:tc>
        <w:tc>
          <w:tcPr>
            <w:tcW w:w="43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96"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31099</w:t>
            </w:r>
          </w:p>
        </w:tc>
        <w:tc>
          <w:tcPr>
            <w:tcW w:w="1367"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其他资本性支出</w:t>
            </w:r>
          </w:p>
        </w:tc>
        <w:tc>
          <w:tcPr>
            <w:tcW w:w="27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259"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30306</w:t>
            </w:r>
          </w:p>
        </w:tc>
        <w:tc>
          <w:tcPr>
            <w:tcW w:w="825"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救济费</w:t>
            </w:r>
          </w:p>
        </w:tc>
        <w:tc>
          <w:tcPr>
            <w:tcW w:w="59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19"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30226</w:t>
            </w:r>
          </w:p>
        </w:tc>
        <w:tc>
          <w:tcPr>
            <w:tcW w:w="63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劳务费</w:t>
            </w:r>
          </w:p>
        </w:tc>
        <w:tc>
          <w:tcPr>
            <w:tcW w:w="43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96"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399</w:t>
            </w:r>
          </w:p>
        </w:tc>
        <w:tc>
          <w:tcPr>
            <w:tcW w:w="1367"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其他支出</w:t>
            </w:r>
          </w:p>
        </w:tc>
        <w:tc>
          <w:tcPr>
            <w:tcW w:w="27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259"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30307</w:t>
            </w:r>
          </w:p>
        </w:tc>
        <w:tc>
          <w:tcPr>
            <w:tcW w:w="825"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医疗费补助</w:t>
            </w:r>
          </w:p>
        </w:tc>
        <w:tc>
          <w:tcPr>
            <w:tcW w:w="59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19"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30227</w:t>
            </w:r>
          </w:p>
        </w:tc>
        <w:tc>
          <w:tcPr>
            <w:tcW w:w="63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委托业务费</w:t>
            </w:r>
          </w:p>
        </w:tc>
        <w:tc>
          <w:tcPr>
            <w:tcW w:w="43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96"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39907</w:t>
            </w:r>
          </w:p>
        </w:tc>
        <w:tc>
          <w:tcPr>
            <w:tcW w:w="1367"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国家赔偿费用支出</w:t>
            </w:r>
          </w:p>
        </w:tc>
        <w:tc>
          <w:tcPr>
            <w:tcW w:w="27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259"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30308</w:t>
            </w:r>
          </w:p>
        </w:tc>
        <w:tc>
          <w:tcPr>
            <w:tcW w:w="825"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助学金</w:t>
            </w:r>
          </w:p>
        </w:tc>
        <w:tc>
          <w:tcPr>
            <w:tcW w:w="59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19"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30228</w:t>
            </w:r>
          </w:p>
        </w:tc>
        <w:tc>
          <w:tcPr>
            <w:tcW w:w="63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工会经费</w:t>
            </w:r>
          </w:p>
        </w:tc>
        <w:tc>
          <w:tcPr>
            <w:tcW w:w="433"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rPr>
              <w:t>4.6</w:t>
            </w:r>
            <w:r>
              <w:rPr>
                <w:rFonts w:hint="eastAsia" w:ascii="宋体" w:hAnsi="宋体" w:eastAsia="宋体" w:cs="宋体"/>
                <w:kern w:val="0"/>
                <w:sz w:val="22"/>
                <w:szCs w:val="22"/>
                <w:lang w:val="en-US" w:eastAsia="zh-CN"/>
              </w:rPr>
              <w:t>3</w:t>
            </w:r>
          </w:p>
        </w:tc>
        <w:tc>
          <w:tcPr>
            <w:tcW w:w="296"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39908</w:t>
            </w:r>
          </w:p>
        </w:tc>
        <w:tc>
          <w:tcPr>
            <w:tcW w:w="1367"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对民间非营利组织和群众性自治组织补贴</w:t>
            </w:r>
          </w:p>
        </w:tc>
        <w:tc>
          <w:tcPr>
            <w:tcW w:w="27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259"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30309</w:t>
            </w:r>
          </w:p>
        </w:tc>
        <w:tc>
          <w:tcPr>
            <w:tcW w:w="825"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奖励金</w:t>
            </w:r>
          </w:p>
        </w:tc>
        <w:tc>
          <w:tcPr>
            <w:tcW w:w="59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19"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30229</w:t>
            </w:r>
          </w:p>
        </w:tc>
        <w:tc>
          <w:tcPr>
            <w:tcW w:w="63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福利费</w:t>
            </w:r>
          </w:p>
        </w:tc>
        <w:tc>
          <w:tcPr>
            <w:tcW w:w="43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96"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39909</w:t>
            </w:r>
          </w:p>
        </w:tc>
        <w:tc>
          <w:tcPr>
            <w:tcW w:w="1367"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经常性赠与</w:t>
            </w:r>
          </w:p>
        </w:tc>
        <w:tc>
          <w:tcPr>
            <w:tcW w:w="27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259"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30310</w:t>
            </w:r>
          </w:p>
        </w:tc>
        <w:tc>
          <w:tcPr>
            <w:tcW w:w="825"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个人农业生产补贴</w:t>
            </w:r>
          </w:p>
        </w:tc>
        <w:tc>
          <w:tcPr>
            <w:tcW w:w="59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19"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30231</w:t>
            </w:r>
          </w:p>
        </w:tc>
        <w:tc>
          <w:tcPr>
            <w:tcW w:w="63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公务用车运行维护费</w:t>
            </w:r>
          </w:p>
        </w:tc>
        <w:tc>
          <w:tcPr>
            <w:tcW w:w="43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96"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39910</w:t>
            </w:r>
          </w:p>
        </w:tc>
        <w:tc>
          <w:tcPr>
            <w:tcW w:w="1367"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资本性赠与</w:t>
            </w:r>
          </w:p>
        </w:tc>
        <w:tc>
          <w:tcPr>
            <w:tcW w:w="27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259"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30311</w:t>
            </w:r>
          </w:p>
        </w:tc>
        <w:tc>
          <w:tcPr>
            <w:tcW w:w="825"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代缴社会保险费</w:t>
            </w:r>
          </w:p>
        </w:tc>
        <w:tc>
          <w:tcPr>
            <w:tcW w:w="59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19"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30239</w:t>
            </w:r>
          </w:p>
        </w:tc>
        <w:tc>
          <w:tcPr>
            <w:tcW w:w="63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其他交通费用</w:t>
            </w:r>
          </w:p>
        </w:tc>
        <w:tc>
          <w:tcPr>
            <w:tcW w:w="43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96"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39999</w:t>
            </w:r>
          </w:p>
        </w:tc>
        <w:tc>
          <w:tcPr>
            <w:tcW w:w="1367"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其他支出</w:t>
            </w:r>
          </w:p>
        </w:tc>
        <w:tc>
          <w:tcPr>
            <w:tcW w:w="27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259"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30399</w:t>
            </w:r>
          </w:p>
        </w:tc>
        <w:tc>
          <w:tcPr>
            <w:tcW w:w="825"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其他对个人和家庭的补助</w:t>
            </w:r>
          </w:p>
        </w:tc>
        <w:tc>
          <w:tcPr>
            <w:tcW w:w="59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0.02</w:t>
            </w:r>
          </w:p>
        </w:tc>
        <w:tc>
          <w:tcPr>
            <w:tcW w:w="319"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30240</w:t>
            </w:r>
          </w:p>
        </w:tc>
        <w:tc>
          <w:tcPr>
            <w:tcW w:w="63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税金及附加费用</w:t>
            </w:r>
          </w:p>
        </w:tc>
        <w:tc>
          <w:tcPr>
            <w:tcW w:w="43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96"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367"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7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259" w:type="pct"/>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825"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9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319"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30299</w:t>
            </w:r>
          </w:p>
        </w:tc>
        <w:tc>
          <w:tcPr>
            <w:tcW w:w="630"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xml:space="preserve">  其他商品和服务支出</w:t>
            </w:r>
          </w:p>
        </w:tc>
        <w:tc>
          <w:tcPr>
            <w:tcW w:w="433"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296"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367" w:type="pct"/>
            <w:tcBorders>
              <w:top w:val="nil"/>
              <w:left w:val="nil"/>
              <w:bottom w:val="single" w:color="000000" w:sz="4" w:space="0"/>
              <w:right w:val="single" w:color="000000" w:sz="4" w:space="0"/>
            </w:tcBorders>
            <w:shd w:val="clear" w:color="000000" w:fill="F1F1F1"/>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272"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1084" w:type="pct"/>
            <w:gridSpan w:val="2"/>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人员经费合计</w:t>
            </w:r>
          </w:p>
        </w:tc>
        <w:tc>
          <w:tcPr>
            <w:tcW w:w="595"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376.23</w:t>
            </w:r>
          </w:p>
        </w:tc>
        <w:tc>
          <w:tcPr>
            <w:tcW w:w="3047" w:type="pct"/>
            <w:gridSpan w:val="5"/>
            <w:tcBorders>
              <w:top w:val="single" w:color="000000" w:sz="4" w:space="0"/>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公用经费合计</w:t>
            </w:r>
          </w:p>
        </w:tc>
        <w:tc>
          <w:tcPr>
            <w:tcW w:w="272" w:type="pct"/>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kern w:val="0"/>
                <w:sz w:val="22"/>
                <w:szCs w:val="22"/>
                <w:lang w:val="en-US" w:eastAsia="zh-CN"/>
              </w:rPr>
            </w:pPr>
            <w:r>
              <w:rPr>
                <w:rFonts w:hint="eastAsia" w:ascii="宋体" w:hAnsi="宋体" w:eastAsia="宋体" w:cs="宋体"/>
                <w:kern w:val="0"/>
                <w:sz w:val="22"/>
                <w:szCs w:val="22"/>
              </w:rPr>
              <w:t>4.6</w:t>
            </w:r>
            <w:r>
              <w:rPr>
                <w:rFonts w:hint="eastAsia" w:ascii="宋体" w:hAnsi="宋体" w:eastAsia="宋体" w:cs="宋体"/>
                <w:kern w:val="0"/>
                <w:sz w:val="22"/>
                <w:szCs w:val="22"/>
                <w:lang w:val="en-US" w:eastAsia="zh-CN"/>
              </w:rPr>
              <w:t>3</w:t>
            </w:r>
          </w:p>
        </w:tc>
      </w:tr>
      <w:tr>
        <w:tblPrEx>
          <w:tblCellMar>
            <w:top w:w="0" w:type="dxa"/>
            <w:left w:w="108" w:type="dxa"/>
            <w:bottom w:w="0" w:type="dxa"/>
            <w:right w:w="108" w:type="dxa"/>
          </w:tblCellMar>
        </w:tblPrEx>
        <w:trPr>
          <w:trHeight w:val="300" w:hRule="atLeast"/>
        </w:trPr>
        <w:tc>
          <w:tcPr>
            <w:tcW w:w="5000" w:type="pct"/>
            <w:gridSpan w:val="9"/>
            <w:tcBorders>
              <w:top w:val="single" w:color="000000" w:sz="4" w:space="0"/>
              <w:left w:val="nil"/>
              <w:bottom w:val="nil"/>
              <w:right w:val="nil"/>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注：本表反映部门本年度一般公共预算财政拨款基本支出明细情况。</w:t>
            </w:r>
          </w:p>
        </w:tc>
      </w:tr>
    </w:tbl>
    <w:p>
      <w:pPr>
        <w:widowControl/>
        <w:textAlignment w:val="bottom"/>
        <w:rPr>
          <w:rFonts w:ascii="宋体" w:hAnsi="宋体" w:eastAsia="宋体" w:cs="宋体"/>
          <w:kern w:val="0"/>
          <w:sz w:val="32"/>
          <w:szCs w:val="32"/>
        </w:rPr>
      </w:pPr>
    </w:p>
    <w:p>
      <w:pPr>
        <w:widowControl/>
        <w:jc w:val="both"/>
        <w:textAlignment w:val="bottom"/>
        <w:rPr>
          <w:rFonts w:hint="eastAsia" w:ascii="宋体" w:hAnsi="宋体" w:eastAsia="宋体" w:cs="宋体"/>
          <w:kern w:val="0"/>
          <w:sz w:val="32"/>
          <w:szCs w:val="32"/>
        </w:rPr>
      </w:pPr>
    </w:p>
    <w:p>
      <w:pPr>
        <w:widowControl/>
        <w:jc w:val="both"/>
        <w:textAlignment w:val="bottom"/>
        <w:rPr>
          <w:rFonts w:hint="eastAsia" w:ascii="宋体" w:hAnsi="宋体" w:eastAsia="宋体" w:cs="宋体"/>
          <w:kern w:val="0"/>
          <w:sz w:val="32"/>
          <w:szCs w:val="32"/>
        </w:rPr>
      </w:pPr>
    </w:p>
    <w:p>
      <w:pPr>
        <w:widowControl/>
        <w:jc w:val="both"/>
        <w:textAlignment w:val="bottom"/>
        <w:rPr>
          <w:rFonts w:hint="eastAsia" w:ascii="宋体" w:hAnsi="宋体" w:eastAsia="宋体" w:cs="宋体"/>
          <w:kern w:val="0"/>
          <w:sz w:val="32"/>
          <w:szCs w:val="32"/>
        </w:rPr>
      </w:pPr>
    </w:p>
    <w:p>
      <w:pPr>
        <w:widowControl/>
        <w:jc w:val="both"/>
        <w:textAlignment w:val="bottom"/>
        <w:rPr>
          <w:rFonts w:hint="eastAsia" w:ascii="宋体" w:hAnsi="宋体" w:eastAsia="宋体" w:cs="宋体"/>
          <w:kern w:val="0"/>
          <w:sz w:val="32"/>
          <w:szCs w:val="32"/>
        </w:rPr>
      </w:pPr>
    </w:p>
    <w:p>
      <w:pPr>
        <w:widowControl/>
        <w:jc w:val="both"/>
        <w:textAlignment w:val="bottom"/>
        <w:rPr>
          <w:rFonts w:hint="eastAsia" w:ascii="宋体" w:hAnsi="宋体" w:eastAsia="宋体" w:cs="宋体"/>
          <w:kern w:val="0"/>
          <w:sz w:val="32"/>
          <w:szCs w:val="32"/>
        </w:rPr>
      </w:pPr>
    </w:p>
    <w:p>
      <w:pPr>
        <w:widowControl/>
        <w:jc w:val="both"/>
        <w:textAlignment w:val="bottom"/>
        <w:rPr>
          <w:rFonts w:hint="eastAsia" w:ascii="宋体" w:hAnsi="宋体" w:eastAsia="宋体" w:cs="宋体"/>
          <w:kern w:val="0"/>
          <w:sz w:val="32"/>
          <w:szCs w:val="32"/>
        </w:rPr>
      </w:pPr>
    </w:p>
    <w:p>
      <w:pPr>
        <w:widowControl/>
        <w:jc w:val="center"/>
        <w:textAlignment w:val="bottom"/>
        <w:rPr>
          <w:rFonts w:ascii="宋体" w:hAnsi="宋体" w:eastAsia="宋体" w:cs="宋体"/>
          <w:kern w:val="0"/>
          <w:sz w:val="32"/>
          <w:szCs w:val="32"/>
        </w:rPr>
      </w:pPr>
      <w:r>
        <w:rPr>
          <w:rFonts w:hint="eastAsia" w:ascii="宋体" w:hAnsi="宋体" w:eastAsia="宋体" w:cs="宋体"/>
          <w:kern w:val="0"/>
          <w:sz w:val="32"/>
          <w:szCs w:val="32"/>
        </w:rPr>
        <w:t>表七：国有资本经营预算财政拨款支出决算表</w:t>
      </w:r>
    </w:p>
    <w:p>
      <w:pPr>
        <w:ind w:firstLine="12800" w:firstLineChars="6400"/>
        <w:jc w:val="left"/>
        <w:rPr>
          <w:rFonts w:ascii="仿宋" w:hAnsi="仿宋" w:eastAsia="仿宋" w:cs="仿宋"/>
          <w:sz w:val="24"/>
        </w:rPr>
      </w:pPr>
      <w:r>
        <w:rPr>
          <w:rFonts w:hint="eastAsia" w:ascii="宋体" w:hAnsi="宋体" w:eastAsia="宋体" w:cs="宋体"/>
          <w:kern w:val="0"/>
          <w:sz w:val="20"/>
          <w:szCs w:val="20"/>
        </w:rPr>
        <w:t>公开07表</w:t>
      </w:r>
    </w:p>
    <w:p>
      <w:pPr>
        <w:rPr>
          <w:rFonts w:ascii="宋体" w:hAnsi="宋体" w:eastAsia="宋体" w:cs="宋体"/>
          <w:kern w:val="0"/>
          <w:sz w:val="30"/>
          <w:szCs w:val="30"/>
        </w:rPr>
      </w:pPr>
      <w:r>
        <w:rPr>
          <w:rFonts w:hint="eastAsia" w:ascii="宋体" w:hAnsi="宋体" w:eastAsia="宋体" w:cs="宋体"/>
          <w:kern w:val="0"/>
          <w:sz w:val="20"/>
          <w:szCs w:val="20"/>
        </w:rPr>
        <w:t>部门：</w:t>
      </w:r>
      <w:r>
        <w:rPr>
          <w:rFonts w:ascii="宋体" w:hAnsi="宋体" w:eastAsia="宋体" w:cs="宋体"/>
          <w:sz w:val="20"/>
        </w:rPr>
        <w:t>环江毛南族自治县第一幼儿园</w:t>
      </w:r>
      <w:r>
        <w:rPr>
          <w:rFonts w:hint="eastAsia" w:ascii="宋体" w:hAnsi="宋体" w:eastAsia="宋体" w:cs="宋体"/>
          <w:sz w:val="20"/>
        </w:rPr>
        <w:t>　　　　　　　　　　　　　　　　　　　　　　　　　　　　　　　　　　　　　　　　　　　　　　</w:t>
      </w:r>
      <w:r>
        <w:rPr>
          <w:rFonts w:hint="eastAsia" w:ascii="宋体" w:hAnsi="宋体" w:eastAsia="宋体" w:cs="宋体"/>
          <w:kern w:val="0"/>
          <w:sz w:val="20"/>
          <w:szCs w:val="20"/>
        </w:rPr>
        <w:t>金额单位：万元</w:t>
      </w:r>
    </w:p>
    <w:tbl>
      <w:tblPr>
        <w:tblStyle w:val="7"/>
        <w:tblW w:w="5000" w:type="pct"/>
        <w:tblInd w:w="0" w:type="dxa"/>
        <w:tblLayout w:type="autofit"/>
        <w:tblCellMar>
          <w:top w:w="0" w:type="dxa"/>
          <w:left w:w="108" w:type="dxa"/>
          <w:bottom w:w="0" w:type="dxa"/>
          <w:right w:w="108" w:type="dxa"/>
        </w:tblCellMar>
      </w:tblPr>
      <w:tblGrid>
        <w:gridCol w:w="960"/>
        <w:gridCol w:w="3713"/>
        <w:gridCol w:w="1585"/>
        <w:gridCol w:w="1585"/>
        <w:gridCol w:w="1585"/>
        <w:gridCol w:w="1585"/>
        <w:gridCol w:w="1585"/>
        <w:gridCol w:w="1576"/>
      </w:tblGrid>
      <w:tr>
        <w:trPr>
          <w:trHeight w:val="300" w:hRule="atLeast"/>
        </w:trPr>
        <w:tc>
          <w:tcPr>
            <w:tcW w:w="1649" w:type="pct"/>
            <w:gridSpan w:val="2"/>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项目</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年初结转和结余</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本年收入</w:t>
            </w:r>
          </w:p>
        </w:tc>
        <w:tc>
          <w:tcPr>
            <w:tcW w:w="1676" w:type="pct"/>
            <w:gridSpan w:val="3"/>
            <w:tcBorders>
              <w:top w:val="single" w:color="000000" w:sz="4" w:space="0"/>
              <w:left w:val="nil"/>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年末结转和结余</w:t>
            </w:r>
          </w:p>
        </w:tc>
      </w:tr>
      <w:tr>
        <w:tblPrEx>
          <w:tblCellMar>
            <w:top w:w="0" w:type="dxa"/>
            <w:left w:w="108" w:type="dxa"/>
            <w:bottom w:w="0" w:type="dxa"/>
            <w:right w:w="108" w:type="dxa"/>
          </w:tblCellMar>
        </w:tblPrEx>
        <w:trPr>
          <w:trHeight w:val="312" w:hRule="atLeast"/>
        </w:trPr>
        <w:tc>
          <w:tcPr>
            <w:tcW w:w="339" w:type="pct"/>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科目代码</w:t>
            </w:r>
          </w:p>
        </w:tc>
        <w:tc>
          <w:tcPr>
            <w:tcW w:w="1310" w:type="pct"/>
            <w:vMerge w:val="restart"/>
            <w:tcBorders>
              <w:top w:val="nil"/>
              <w:left w:val="single" w:color="000000" w:sz="4" w:space="0"/>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科目名称</w:t>
            </w:r>
          </w:p>
        </w:tc>
        <w:tc>
          <w:tcPr>
            <w:tcW w:w="55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55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559" w:type="pct"/>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小计</w:t>
            </w:r>
          </w:p>
        </w:tc>
        <w:tc>
          <w:tcPr>
            <w:tcW w:w="559" w:type="pct"/>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基本支出</w:t>
            </w:r>
          </w:p>
        </w:tc>
        <w:tc>
          <w:tcPr>
            <w:tcW w:w="559" w:type="pct"/>
            <w:vMerge w:val="restart"/>
            <w:tcBorders>
              <w:top w:val="nil"/>
              <w:left w:val="single" w:color="000000" w:sz="4" w:space="0"/>
              <w:bottom w:val="single" w:color="000000" w:sz="4" w:space="0"/>
              <w:right w:val="single" w:color="000000" w:sz="4" w:space="0"/>
            </w:tcBorders>
            <w:shd w:val="clear" w:color="000000" w:fill="F1F1F1"/>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项目支出</w:t>
            </w:r>
          </w:p>
        </w:tc>
        <w:tc>
          <w:tcPr>
            <w:tcW w:w="55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312" w:hRule="atLeast"/>
        </w:trPr>
        <w:tc>
          <w:tcPr>
            <w:tcW w:w="33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131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55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55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559"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559"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559"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55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312" w:hRule="atLeast"/>
        </w:trPr>
        <w:tc>
          <w:tcPr>
            <w:tcW w:w="33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1310"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55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55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559"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559"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559" w:type="pct"/>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c>
          <w:tcPr>
            <w:tcW w:w="559" w:type="pct"/>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kern w:val="0"/>
                <w:sz w:val="22"/>
                <w:szCs w:val="22"/>
              </w:rPr>
            </w:pPr>
          </w:p>
        </w:tc>
      </w:tr>
      <w:tr>
        <w:tblPrEx>
          <w:tblCellMar>
            <w:top w:w="0" w:type="dxa"/>
            <w:left w:w="108" w:type="dxa"/>
            <w:bottom w:w="0" w:type="dxa"/>
            <w:right w:w="108" w:type="dxa"/>
          </w:tblCellMar>
        </w:tblPrEx>
        <w:trPr>
          <w:trHeight w:val="300" w:hRule="atLeast"/>
        </w:trPr>
        <w:tc>
          <w:tcPr>
            <w:tcW w:w="1649" w:type="pct"/>
            <w:gridSpan w:val="2"/>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栏次</w:t>
            </w:r>
          </w:p>
        </w:tc>
        <w:tc>
          <w:tcPr>
            <w:tcW w:w="559"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1</w:t>
            </w:r>
          </w:p>
        </w:tc>
        <w:tc>
          <w:tcPr>
            <w:tcW w:w="559"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2</w:t>
            </w:r>
          </w:p>
        </w:tc>
        <w:tc>
          <w:tcPr>
            <w:tcW w:w="559"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3</w:t>
            </w:r>
          </w:p>
        </w:tc>
        <w:tc>
          <w:tcPr>
            <w:tcW w:w="559"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4</w:t>
            </w:r>
          </w:p>
        </w:tc>
        <w:tc>
          <w:tcPr>
            <w:tcW w:w="559"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5</w:t>
            </w:r>
          </w:p>
        </w:tc>
        <w:tc>
          <w:tcPr>
            <w:tcW w:w="559" w:type="pct"/>
            <w:tcBorders>
              <w:top w:val="nil"/>
              <w:left w:val="nil"/>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6</w:t>
            </w:r>
          </w:p>
        </w:tc>
      </w:tr>
      <w:tr>
        <w:tblPrEx>
          <w:tblCellMar>
            <w:top w:w="0" w:type="dxa"/>
            <w:left w:w="108" w:type="dxa"/>
            <w:bottom w:w="0" w:type="dxa"/>
            <w:right w:w="108" w:type="dxa"/>
          </w:tblCellMar>
        </w:tblPrEx>
        <w:trPr>
          <w:trHeight w:val="300" w:hRule="atLeast"/>
        </w:trPr>
        <w:tc>
          <w:tcPr>
            <w:tcW w:w="1649" w:type="pct"/>
            <w:gridSpan w:val="2"/>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合计</w:t>
            </w:r>
          </w:p>
        </w:tc>
        <w:tc>
          <w:tcPr>
            <w:tcW w:w="55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b/>
                <w:bCs/>
                <w:kern w:val="0"/>
                <w:sz w:val="22"/>
                <w:szCs w:val="22"/>
              </w:rPr>
            </w:pPr>
            <w:r>
              <w:rPr>
                <w:rFonts w:hint="eastAsia" w:ascii="宋体" w:hAnsi="宋体" w:eastAsia="宋体" w:cs="宋体"/>
                <w:b/>
                <w:bCs/>
                <w:kern w:val="0"/>
                <w:sz w:val="22"/>
                <w:szCs w:val="22"/>
              </w:rPr>
              <w:t>　</w:t>
            </w:r>
          </w:p>
        </w:tc>
      </w:tr>
      <w:tr>
        <w:tblPrEx>
          <w:tblCellMar>
            <w:top w:w="0" w:type="dxa"/>
            <w:left w:w="108" w:type="dxa"/>
            <w:bottom w:w="0" w:type="dxa"/>
            <w:right w:w="108" w:type="dxa"/>
          </w:tblCellMar>
        </w:tblPrEx>
        <w:trPr>
          <w:trHeight w:val="300" w:hRule="atLeast"/>
        </w:trPr>
        <w:tc>
          <w:tcPr>
            <w:tcW w:w="33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1310" w:type="pct"/>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c>
          <w:tcPr>
            <w:tcW w:w="559" w:type="pct"/>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eastAsia="宋体" w:cs="宋体"/>
                <w:kern w:val="0"/>
                <w:sz w:val="22"/>
                <w:szCs w:val="22"/>
              </w:rPr>
            </w:pPr>
            <w:r>
              <w:rPr>
                <w:rFonts w:hint="eastAsia" w:ascii="宋体" w:hAnsi="宋体" w:eastAsia="宋体" w:cs="宋体"/>
                <w:kern w:val="0"/>
                <w:sz w:val="22"/>
                <w:szCs w:val="22"/>
              </w:rPr>
              <w:t>　</w:t>
            </w:r>
          </w:p>
        </w:tc>
      </w:tr>
      <w:tr>
        <w:tblPrEx>
          <w:tblCellMar>
            <w:top w:w="0" w:type="dxa"/>
            <w:left w:w="108" w:type="dxa"/>
            <w:bottom w:w="0" w:type="dxa"/>
            <w:right w:w="108" w:type="dxa"/>
          </w:tblCellMar>
        </w:tblPrEx>
        <w:trPr>
          <w:trHeight w:val="300" w:hRule="atLeast"/>
        </w:trPr>
        <w:tc>
          <w:tcPr>
            <w:tcW w:w="5000" w:type="pct"/>
            <w:gridSpan w:val="8"/>
            <w:tcBorders>
              <w:top w:val="single" w:color="000000" w:sz="4" w:space="0"/>
              <w:left w:val="nil"/>
              <w:bottom w:val="nil"/>
              <w:right w:val="nil"/>
            </w:tcBorders>
            <w:shd w:val="clear" w:color="000000" w:fill="FFFFFF"/>
            <w:noWrap/>
            <w:vAlign w:val="center"/>
          </w:tcPr>
          <w:p>
            <w:pPr>
              <w:widowControl/>
              <w:jc w:val="left"/>
              <w:rPr>
                <w:rFonts w:ascii="宋体" w:hAnsi="宋体" w:eastAsia="宋体" w:cs="宋体"/>
                <w:kern w:val="0"/>
                <w:sz w:val="22"/>
                <w:szCs w:val="22"/>
              </w:rPr>
            </w:pPr>
            <w:r>
              <w:rPr>
                <w:rFonts w:hint="eastAsia" w:ascii="宋体" w:hAnsi="宋体" w:eastAsia="宋体" w:cs="宋体"/>
                <w:kern w:val="0"/>
                <w:sz w:val="22"/>
                <w:szCs w:val="22"/>
              </w:rPr>
              <w:t>注：本表反映部门本年度政府性基金预算财政拨款收入、支出及结转和结余情况。</w:t>
            </w:r>
          </w:p>
          <w:p>
            <w:pPr>
              <w:widowControl/>
              <w:jc w:val="left"/>
              <w:rPr>
                <w:rFonts w:ascii="宋体" w:hAnsi="宋体" w:eastAsia="宋体" w:cs="宋体"/>
                <w:kern w:val="0"/>
                <w:sz w:val="22"/>
                <w:szCs w:val="22"/>
              </w:rPr>
            </w:pPr>
            <w:r>
              <w:rPr>
                <w:rFonts w:hint="eastAsia" w:ascii="宋体" w:hAnsi="宋体" w:eastAsia="宋体" w:cs="宋体"/>
                <w:kern w:val="0"/>
                <w:sz w:val="22"/>
                <w:szCs w:val="22"/>
              </w:rPr>
              <w:t>本部门2023年度没有政府性基金预算财政拨款收入，也没有政府性基金预算财政拨款安排的支出，故本表无数据。</w:t>
            </w:r>
          </w:p>
        </w:tc>
      </w:tr>
    </w:tbl>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p>
      <w:pPr>
        <w:jc w:val="left"/>
        <w:rPr>
          <w:rFonts w:ascii="仿宋" w:hAnsi="仿宋" w:eastAsia="仿宋" w:cs="仿宋"/>
          <w:sz w:val="24"/>
        </w:rPr>
      </w:pPr>
    </w:p>
    <w:tbl>
      <w:tblPr>
        <w:tblStyle w:val="7"/>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widowControl/>
              <w:textAlignment w:val="bottom"/>
              <w:rPr>
                <w:rFonts w:ascii="宋体" w:hAnsi="宋体" w:eastAsia="宋体" w:cs="宋体"/>
                <w:kern w:val="0"/>
                <w:sz w:val="32"/>
                <w:szCs w:val="32"/>
              </w:rPr>
            </w:pPr>
          </w:p>
          <w:p>
            <w:pPr>
              <w:widowControl/>
              <w:jc w:val="center"/>
              <w:textAlignment w:val="bottom"/>
              <w:rPr>
                <w:rFonts w:ascii="宋体" w:hAnsi="宋体" w:eastAsia="宋体" w:cs="宋体"/>
                <w:sz w:val="30"/>
                <w:szCs w:val="30"/>
              </w:rPr>
            </w:pPr>
            <w:r>
              <w:rPr>
                <w:rFonts w:hint="eastAsia" w:ascii="宋体" w:hAnsi="宋体" w:eastAsia="宋体" w:cs="宋体"/>
                <w:kern w:val="0"/>
                <w:sz w:val="32"/>
                <w:szCs w:val="32"/>
              </w:rPr>
              <w:t>表八：国有资本经营预算财政拨款支出决算表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rPr>
                <w:rFonts w:ascii="Arial" w:hAnsi="Arial" w:cs="Arial"/>
                <w:sz w:val="20"/>
                <w:szCs w:val="20"/>
              </w:rPr>
            </w:pPr>
          </w:p>
        </w:tc>
        <w:tc>
          <w:tcPr>
            <w:tcW w:w="285" w:type="dxa"/>
            <w:tcBorders>
              <w:top w:val="nil"/>
              <w:left w:val="nil"/>
              <w:bottom w:val="nil"/>
              <w:right w:val="nil"/>
            </w:tcBorders>
            <w:shd w:val="clear" w:color="auto" w:fill="auto"/>
            <w:noWrap/>
            <w:vAlign w:val="bottom"/>
          </w:tcPr>
          <w:p>
            <w:pPr>
              <w:rPr>
                <w:rFonts w:ascii="Arial" w:hAnsi="Arial" w:cs="Arial"/>
                <w:sz w:val="20"/>
                <w:szCs w:val="20"/>
              </w:rPr>
            </w:pPr>
          </w:p>
        </w:tc>
        <w:tc>
          <w:tcPr>
            <w:tcW w:w="363" w:type="dxa"/>
            <w:tcBorders>
              <w:top w:val="nil"/>
              <w:left w:val="nil"/>
              <w:bottom w:val="nil"/>
              <w:right w:val="nil"/>
            </w:tcBorders>
            <w:shd w:val="clear" w:color="auto" w:fill="auto"/>
            <w:noWrap/>
            <w:vAlign w:val="bottom"/>
          </w:tcPr>
          <w:p>
            <w:pPr>
              <w:rPr>
                <w:rFonts w:ascii="Arial" w:hAnsi="Arial" w:cs="Arial"/>
                <w:sz w:val="20"/>
                <w:szCs w:val="20"/>
              </w:rPr>
            </w:pPr>
          </w:p>
        </w:tc>
        <w:tc>
          <w:tcPr>
            <w:tcW w:w="1960" w:type="dxa"/>
            <w:tcBorders>
              <w:top w:val="nil"/>
              <w:left w:val="nil"/>
              <w:bottom w:val="nil"/>
              <w:right w:val="nil"/>
            </w:tcBorders>
            <w:shd w:val="clear" w:color="auto" w:fill="auto"/>
            <w:noWrap/>
            <w:vAlign w:val="bottom"/>
          </w:tcPr>
          <w:p>
            <w:pPr>
              <w:rPr>
                <w:rFonts w:ascii="Arial" w:hAnsi="Arial" w:cs="Arial"/>
                <w:sz w:val="20"/>
                <w:szCs w:val="20"/>
              </w:rPr>
            </w:pPr>
          </w:p>
        </w:tc>
        <w:tc>
          <w:tcPr>
            <w:tcW w:w="2993" w:type="dxa"/>
            <w:tcBorders>
              <w:top w:val="nil"/>
              <w:left w:val="nil"/>
              <w:bottom w:val="nil"/>
              <w:right w:val="nil"/>
            </w:tcBorders>
            <w:shd w:val="clear" w:color="auto" w:fill="auto"/>
            <w:noWrap/>
            <w:vAlign w:val="bottom"/>
          </w:tcPr>
          <w:p>
            <w:pPr>
              <w:rPr>
                <w:rFonts w:ascii="Arial" w:hAnsi="Arial" w:cs="Arial"/>
                <w:sz w:val="20"/>
                <w:szCs w:val="20"/>
              </w:rPr>
            </w:pPr>
          </w:p>
        </w:tc>
        <w:tc>
          <w:tcPr>
            <w:tcW w:w="3135" w:type="dxa"/>
            <w:tcBorders>
              <w:top w:val="nil"/>
              <w:left w:val="nil"/>
              <w:bottom w:val="nil"/>
              <w:right w:val="nil"/>
            </w:tcBorders>
            <w:shd w:val="clear" w:color="auto" w:fill="auto"/>
            <w:noWrap/>
            <w:vAlign w:val="bottom"/>
          </w:tcPr>
          <w:p>
            <w:pPr>
              <w:rPr>
                <w:rFonts w:ascii="Arial" w:hAnsi="Arial" w:cs="Arial"/>
                <w:sz w:val="20"/>
                <w:szCs w:val="20"/>
              </w:rPr>
            </w:pPr>
          </w:p>
        </w:tc>
        <w:tc>
          <w:tcPr>
            <w:tcW w:w="306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公开08表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rPr>
                <w:rFonts w:ascii="Arial" w:hAnsi="Arial" w:cs="Arial"/>
                <w:sz w:val="20"/>
                <w:szCs w:val="20"/>
              </w:rPr>
            </w:pPr>
            <w:r>
              <w:rPr>
                <w:rFonts w:hint="eastAsia" w:ascii="宋体" w:hAnsi="宋体" w:eastAsia="宋体" w:cs="宋体"/>
                <w:kern w:val="0"/>
                <w:sz w:val="20"/>
                <w:szCs w:val="20"/>
              </w:rPr>
              <w:t>部门：</w:t>
            </w:r>
            <w:r>
              <w:rPr>
                <w:rFonts w:ascii="宋体" w:hAnsi="宋体" w:eastAsia="宋体" w:cs="宋体"/>
                <w:sz w:val="20"/>
              </w:rPr>
              <w:t>环江毛南族自治县第一幼儿园</w:t>
            </w:r>
          </w:p>
        </w:tc>
        <w:tc>
          <w:tcPr>
            <w:tcW w:w="3135" w:type="dxa"/>
            <w:tcBorders>
              <w:top w:val="nil"/>
              <w:left w:val="nil"/>
              <w:bottom w:val="nil"/>
              <w:right w:val="nil"/>
            </w:tcBorders>
            <w:shd w:val="clear" w:color="auto" w:fill="auto"/>
            <w:noWrap/>
            <w:vAlign w:val="bottom"/>
          </w:tcPr>
          <w:p>
            <w:pPr>
              <w:rPr>
                <w:rFonts w:ascii="Arial" w:hAnsi="Arial" w:cs="Arial"/>
                <w:sz w:val="20"/>
                <w:szCs w:val="20"/>
              </w:rPr>
            </w:pPr>
          </w:p>
        </w:tc>
        <w:tc>
          <w:tcPr>
            <w:tcW w:w="3065"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sz w:val="22"/>
                <w:szCs w:val="22"/>
              </w:rPr>
            </w:pPr>
          </w:p>
        </w:tc>
        <w:tc>
          <w:tcPr>
            <w:tcW w:w="299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13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06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ascii="宋体" w:hAnsi="宋体" w:eastAsia="宋体" w:cs="宋体"/>
                <w:sz w:val="22"/>
                <w:szCs w:val="22"/>
              </w:rPr>
            </w:pPr>
          </w:p>
        </w:tc>
        <w:tc>
          <w:tcPr>
            <w:tcW w:w="299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13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306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栏次</w:t>
            </w:r>
          </w:p>
        </w:tc>
        <w:tc>
          <w:tcPr>
            <w:tcW w:w="2993"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w:t>
            </w:r>
          </w:p>
        </w:tc>
        <w:tc>
          <w:tcPr>
            <w:tcW w:w="313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c>
          <w:tcPr>
            <w:tcW w:w="306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合计</w:t>
            </w: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b/>
                <w:bCs/>
                <w:sz w:val="22"/>
                <w:szCs w:val="22"/>
              </w:rPr>
            </w:pPr>
            <w:r>
              <w:rPr>
                <w:rFonts w:hint="eastAsia" w:ascii="宋体" w:hAnsi="宋体" w:eastAsia="宋体" w:cs="宋体"/>
                <w:b/>
                <w:bCs/>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ascii="宋体" w:hAnsi="宋体" w:eastAsia="宋体" w:cs="宋体"/>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p>
        </w:tc>
      </w:tr>
    </w:tbl>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注：本表反映部门本年度国有资本经营预算财政拨款支出情况。</w:t>
      </w:r>
    </w:p>
    <w:p>
      <w:pPr>
        <w:widowControl/>
        <w:jc w:val="left"/>
        <w:textAlignment w:val="center"/>
        <w:rPr>
          <w:rFonts w:ascii="宋体" w:hAnsi="宋体" w:eastAsia="宋体" w:cs="宋体"/>
          <w:szCs w:val="21"/>
        </w:rPr>
      </w:pPr>
      <w:r>
        <w:rPr>
          <w:rFonts w:hint="eastAsia" w:ascii="宋体" w:hAnsi="宋体" w:eastAsia="宋体" w:cs="宋体"/>
          <w:kern w:val="0"/>
          <w:sz w:val="22"/>
          <w:szCs w:val="22"/>
        </w:rPr>
        <w:t>本部门2023年度没有国有资本经营预算财政拨款收入，也没有国有资本经营预算财政拨款安排的支出，故本表无数据。</w:t>
      </w:r>
    </w:p>
    <w:p>
      <w:pPr>
        <w:widowControl/>
        <w:jc w:val="left"/>
        <w:textAlignment w:val="center"/>
        <w:rPr>
          <w:rFonts w:ascii="宋体" w:hAnsi="宋体" w:eastAsia="宋体" w:cs="宋体"/>
          <w:szCs w:val="21"/>
        </w:rPr>
      </w:pPr>
    </w:p>
    <w:p>
      <w:pPr>
        <w:widowControl/>
        <w:jc w:val="left"/>
        <w:textAlignment w:val="center"/>
        <w:rPr>
          <w:rFonts w:ascii="宋体" w:hAnsi="宋体" w:eastAsia="宋体" w:cs="宋体"/>
          <w:kern w:val="0"/>
          <w:sz w:val="22"/>
          <w:szCs w:val="22"/>
        </w:rPr>
      </w:pPr>
    </w:p>
    <w:tbl>
      <w:tblPr>
        <w:tblStyle w:val="7"/>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widowControl/>
              <w:jc w:val="left"/>
              <w:textAlignment w:val="center"/>
              <w:rPr>
                <w:rFonts w:ascii="宋体" w:hAnsi="宋体" w:eastAsia="宋体" w:cs="宋体"/>
                <w:kern w:val="0"/>
                <w:sz w:val="22"/>
                <w:szCs w:val="22"/>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widowControl/>
              <w:textAlignment w:val="bottom"/>
              <w:rPr>
                <w:rFonts w:ascii="宋体" w:hAnsi="宋体" w:eastAsia="宋体" w:cs="宋体"/>
                <w:kern w:val="0"/>
                <w:sz w:val="30"/>
                <w:szCs w:val="30"/>
              </w:rPr>
            </w:pPr>
          </w:p>
          <w:p>
            <w:pPr>
              <w:widowControl/>
              <w:jc w:val="center"/>
              <w:textAlignment w:val="bottom"/>
              <w:rPr>
                <w:rFonts w:ascii="宋体" w:hAnsi="宋体" w:eastAsia="宋体" w:cs="宋体"/>
                <w:sz w:val="30"/>
                <w:szCs w:val="30"/>
              </w:rPr>
            </w:pPr>
            <w:r>
              <w:rPr>
                <w:rFonts w:hint="eastAsia" w:ascii="宋体" w:hAnsi="宋体" w:eastAsia="宋体" w:cs="宋体"/>
                <w:kern w:val="0"/>
                <w:sz w:val="32"/>
                <w:szCs w:val="32"/>
              </w:rPr>
              <w:t>表九：财政拨款“三公”经费支出决算表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rPr>
                <w:rFonts w:ascii="Arial" w:hAnsi="Arial" w:cs="Arial"/>
                <w:sz w:val="20"/>
                <w:szCs w:val="20"/>
              </w:rPr>
            </w:pPr>
          </w:p>
        </w:tc>
        <w:tc>
          <w:tcPr>
            <w:tcW w:w="1425" w:type="dxa"/>
            <w:tcBorders>
              <w:top w:val="nil"/>
              <w:left w:val="nil"/>
              <w:bottom w:val="nil"/>
              <w:right w:val="nil"/>
            </w:tcBorders>
            <w:shd w:val="clear" w:color="auto" w:fill="auto"/>
            <w:noWrap/>
            <w:vAlign w:val="bottom"/>
          </w:tcPr>
          <w:p>
            <w:pPr>
              <w:rPr>
                <w:rFonts w:ascii="Arial" w:hAnsi="Arial" w:cs="Arial"/>
                <w:sz w:val="20"/>
                <w:szCs w:val="20"/>
              </w:rPr>
            </w:pPr>
          </w:p>
        </w:tc>
        <w:tc>
          <w:tcPr>
            <w:tcW w:w="1094" w:type="dxa"/>
            <w:tcBorders>
              <w:top w:val="nil"/>
              <w:left w:val="nil"/>
              <w:bottom w:val="nil"/>
              <w:right w:val="nil"/>
            </w:tcBorders>
            <w:shd w:val="clear" w:color="auto" w:fill="auto"/>
            <w:noWrap/>
            <w:vAlign w:val="bottom"/>
          </w:tcPr>
          <w:p>
            <w:pPr>
              <w:rPr>
                <w:rFonts w:ascii="Arial" w:hAnsi="Arial" w:cs="Arial"/>
                <w:sz w:val="20"/>
                <w:szCs w:val="20"/>
              </w:rPr>
            </w:pPr>
          </w:p>
        </w:tc>
        <w:tc>
          <w:tcPr>
            <w:tcW w:w="1159" w:type="dxa"/>
            <w:tcBorders>
              <w:top w:val="nil"/>
              <w:left w:val="nil"/>
              <w:bottom w:val="nil"/>
              <w:right w:val="nil"/>
            </w:tcBorders>
            <w:shd w:val="clear" w:color="auto" w:fill="auto"/>
            <w:noWrap/>
            <w:vAlign w:val="bottom"/>
          </w:tcPr>
          <w:p>
            <w:pPr>
              <w:rPr>
                <w:rFonts w:ascii="Arial" w:hAnsi="Arial" w:cs="Arial"/>
                <w:sz w:val="20"/>
                <w:szCs w:val="20"/>
              </w:rPr>
            </w:pPr>
          </w:p>
        </w:tc>
        <w:tc>
          <w:tcPr>
            <w:tcW w:w="1133" w:type="dxa"/>
            <w:tcBorders>
              <w:top w:val="nil"/>
              <w:left w:val="nil"/>
              <w:bottom w:val="nil"/>
              <w:right w:val="nil"/>
            </w:tcBorders>
            <w:shd w:val="clear" w:color="auto" w:fill="auto"/>
            <w:noWrap/>
            <w:vAlign w:val="bottom"/>
          </w:tcPr>
          <w:p>
            <w:pPr>
              <w:rPr>
                <w:rFonts w:ascii="Arial" w:hAnsi="Arial" w:cs="Arial"/>
                <w:sz w:val="20"/>
                <w:szCs w:val="20"/>
              </w:rPr>
            </w:pPr>
          </w:p>
        </w:tc>
        <w:tc>
          <w:tcPr>
            <w:tcW w:w="1040" w:type="dxa"/>
            <w:tcBorders>
              <w:top w:val="nil"/>
              <w:left w:val="nil"/>
              <w:bottom w:val="nil"/>
              <w:right w:val="nil"/>
            </w:tcBorders>
            <w:shd w:val="clear" w:color="auto" w:fill="auto"/>
            <w:noWrap/>
            <w:vAlign w:val="bottom"/>
          </w:tcPr>
          <w:p>
            <w:pPr>
              <w:rPr>
                <w:rFonts w:ascii="Arial" w:hAnsi="Arial" w:cs="Arial"/>
                <w:sz w:val="20"/>
                <w:szCs w:val="20"/>
              </w:rPr>
            </w:pPr>
          </w:p>
        </w:tc>
        <w:tc>
          <w:tcPr>
            <w:tcW w:w="1066" w:type="dxa"/>
            <w:tcBorders>
              <w:top w:val="nil"/>
              <w:left w:val="nil"/>
              <w:bottom w:val="nil"/>
              <w:right w:val="nil"/>
            </w:tcBorders>
            <w:shd w:val="clear" w:color="auto" w:fill="auto"/>
            <w:noWrap/>
            <w:vAlign w:val="bottom"/>
          </w:tcPr>
          <w:p>
            <w:pPr>
              <w:rPr>
                <w:rFonts w:ascii="Arial" w:hAnsi="Arial" w:cs="Arial"/>
                <w:sz w:val="20"/>
                <w:szCs w:val="20"/>
              </w:rPr>
            </w:pPr>
          </w:p>
        </w:tc>
        <w:tc>
          <w:tcPr>
            <w:tcW w:w="1161" w:type="dxa"/>
            <w:tcBorders>
              <w:top w:val="nil"/>
              <w:left w:val="nil"/>
              <w:bottom w:val="nil"/>
              <w:right w:val="nil"/>
            </w:tcBorders>
            <w:shd w:val="clear" w:color="auto" w:fill="auto"/>
            <w:noWrap/>
            <w:vAlign w:val="bottom"/>
          </w:tcPr>
          <w:p>
            <w:pPr>
              <w:rPr>
                <w:rFonts w:ascii="Arial" w:hAnsi="Arial" w:cs="Arial"/>
                <w:sz w:val="20"/>
                <w:szCs w:val="20"/>
              </w:rPr>
            </w:pPr>
          </w:p>
        </w:tc>
        <w:tc>
          <w:tcPr>
            <w:tcW w:w="1053" w:type="dxa"/>
            <w:tcBorders>
              <w:top w:val="nil"/>
              <w:left w:val="nil"/>
              <w:bottom w:val="nil"/>
              <w:right w:val="nil"/>
            </w:tcBorders>
            <w:shd w:val="clear" w:color="auto" w:fill="auto"/>
            <w:noWrap/>
            <w:vAlign w:val="bottom"/>
          </w:tcPr>
          <w:p>
            <w:pPr>
              <w:rPr>
                <w:rFonts w:ascii="Arial" w:hAnsi="Arial" w:cs="Arial"/>
                <w:sz w:val="20"/>
                <w:szCs w:val="20"/>
              </w:rPr>
            </w:pPr>
          </w:p>
        </w:tc>
        <w:tc>
          <w:tcPr>
            <w:tcW w:w="1148" w:type="dxa"/>
            <w:tcBorders>
              <w:top w:val="nil"/>
              <w:left w:val="nil"/>
              <w:bottom w:val="nil"/>
              <w:right w:val="nil"/>
            </w:tcBorders>
            <w:shd w:val="clear" w:color="auto" w:fill="auto"/>
            <w:noWrap/>
            <w:vAlign w:val="bottom"/>
          </w:tcPr>
          <w:p>
            <w:pPr>
              <w:rPr>
                <w:rFonts w:ascii="Arial" w:hAnsi="Arial" w:cs="Arial"/>
                <w:sz w:val="20"/>
                <w:szCs w:val="20"/>
              </w:rPr>
            </w:pPr>
          </w:p>
        </w:tc>
        <w:tc>
          <w:tcPr>
            <w:tcW w:w="1133" w:type="dxa"/>
            <w:tcBorders>
              <w:top w:val="nil"/>
              <w:left w:val="nil"/>
              <w:bottom w:val="nil"/>
              <w:right w:val="nil"/>
            </w:tcBorders>
            <w:shd w:val="clear" w:color="auto" w:fill="auto"/>
            <w:noWrap/>
            <w:vAlign w:val="bottom"/>
          </w:tcPr>
          <w:p>
            <w:pPr>
              <w:rPr>
                <w:rFonts w:ascii="Arial" w:hAnsi="Arial" w:cs="Arial"/>
                <w:sz w:val="20"/>
                <w:szCs w:val="20"/>
              </w:rPr>
            </w:pPr>
          </w:p>
        </w:tc>
        <w:tc>
          <w:tcPr>
            <w:tcW w:w="1073" w:type="dxa"/>
            <w:tcBorders>
              <w:top w:val="nil"/>
              <w:left w:val="nil"/>
              <w:bottom w:val="nil"/>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公开09表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rPr>
                <w:rFonts w:ascii="Arial" w:hAnsi="Arial" w:cs="Arial"/>
                <w:sz w:val="20"/>
                <w:szCs w:val="20"/>
              </w:rPr>
            </w:pPr>
            <w:r>
              <w:rPr>
                <w:rFonts w:hint="eastAsia" w:ascii="宋体" w:hAnsi="宋体" w:eastAsia="宋体" w:cs="宋体"/>
                <w:kern w:val="0"/>
                <w:sz w:val="20"/>
                <w:szCs w:val="20"/>
              </w:rPr>
              <w:t>部门：</w:t>
            </w:r>
            <w:r>
              <w:rPr>
                <w:rFonts w:ascii="宋体" w:hAnsi="宋体" w:eastAsia="宋体" w:cs="宋体"/>
                <w:sz w:val="20"/>
              </w:rPr>
              <w:t>环江毛南族自治县第一幼儿园</w:t>
            </w:r>
          </w:p>
        </w:tc>
        <w:tc>
          <w:tcPr>
            <w:tcW w:w="1066" w:type="dxa"/>
            <w:tcBorders>
              <w:top w:val="nil"/>
              <w:left w:val="nil"/>
              <w:bottom w:val="nil"/>
              <w:right w:val="nil"/>
            </w:tcBorders>
            <w:shd w:val="clear" w:color="auto" w:fill="auto"/>
            <w:noWrap/>
            <w:vAlign w:val="bottom"/>
          </w:tcPr>
          <w:p>
            <w:pPr>
              <w:rPr>
                <w:rFonts w:ascii="Arial" w:hAnsi="Arial" w:cs="Arial"/>
                <w:sz w:val="20"/>
                <w:szCs w:val="20"/>
              </w:rPr>
            </w:pPr>
          </w:p>
        </w:tc>
        <w:tc>
          <w:tcPr>
            <w:tcW w:w="1161" w:type="dxa"/>
            <w:tcBorders>
              <w:top w:val="nil"/>
              <w:left w:val="nil"/>
              <w:bottom w:val="nil"/>
              <w:right w:val="nil"/>
            </w:tcBorders>
            <w:shd w:val="clear" w:color="auto" w:fill="auto"/>
            <w:noWrap/>
            <w:vAlign w:val="bottom"/>
          </w:tcPr>
          <w:p>
            <w:pPr>
              <w:rPr>
                <w:rFonts w:ascii="Arial" w:hAnsi="Arial" w:cs="Arial"/>
                <w:sz w:val="20"/>
                <w:szCs w:val="20"/>
              </w:rPr>
            </w:pPr>
          </w:p>
        </w:tc>
        <w:tc>
          <w:tcPr>
            <w:tcW w:w="1053" w:type="dxa"/>
            <w:tcBorders>
              <w:top w:val="nil"/>
              <w:left w:val="nil"/>
              <w:bottom w:val="nil"/>
              <w:right w:val="nil"/>
            </w:tcBorders>
            <w:shd w:val="clear" w:color="auto" w:fill="auto"/>
            <w:noWrap/>
            <w:vAlign w:val="bottom"/>
          </w:tcPr>
          <w:p>
            <w:pPr>
              <w:rPr>
                <w:rFonts w:ascii="Arial" w:hAnsi="Arial" w:cs="Arial"/>
                <w:sz w:val="20"/>
                <w:szCs w:val="20"/>
              </w:rPr>
            </w:pPr>
          </w:p>
        </w:tc>
        <w:tc>
          <w:tcPr>
            <w:tcW w:w="1148" w:type="dxa"/>
            <w:tcBorders>
              <w:top w:val="nil"/>
              <w:left w:val="nil"/>
              <w:bottom w:val="nil"/>
              <w:right w:val="nil"/>
            </w:tcBorders>
            <w:shd w:val="clear" w:color="auto" w:fill="auto"/>
            <w:noWrap/>
            <w:vAlign w:val="bottom"/>
          </w:tcPr>
          <w:p>
            <w:pPr>
              <w:rPr>
                <w:rFonts w:ascii="Arial" w:hAnsi="Arial" w:cs="Arial"/>
                <w:sz w:val="20"/>
                <w:szCs w:val="20"/>
              </w:rPr>
            </w:pPr>
          </w:p>
        </w:tc>
        <w:tc>
          <w:tcPr>
            <w:tcW w:w="2206" w:type="dxa"/>
            <w:gridSpan w:val="2"/>
            <w:tcBorders>
              <w:top w:val="nil"/>
              <w:left w:val="nil"/>
              <w:bottom w:val="nil"/>
              <w:right w:val="nil"/>
            </w:tcBorders>
            <w:shd w:val="clear" w:color="auto" w:fill="auto"/>
            <w:noWrap/>
            <w:vAlign w:val="bottom"/>
          </w:tcPr>
          <w:p>
            <w:pPr>
              <w:widowControl/>
              <w:jc w:val="right"/>
              <w:textAlignment w:val="bottom"/>
              <w:rPr>
                <w:rFonts w:ascii="宋体" w:hAnsi="宋体" w:eastAsia="宋体" w:cs="宋体"/>
                <w:sz w:val="20"/>
                <w:szCs w:val="20"/>
              </w:rPr>
            </w:pPr>
            <w:r>
              <w:rPr>
                <w:rFonts w:hint="eastAsia" w:ascii="宋体" w:hAnsi="宋体" w:eastAsia="宋体" w:cs="宋体"/>
                <w:kern w:val="0"/>
                <w:sz w:val="20"/>
                <w:szCs w:val="20"/>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425"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09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小计</w:t>
            </w:r>
          </w:p>
        </w:tc>
        <w:tc>
          <w:tcPr>
            <w:tcW w:w="115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066"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161"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c>
          <w:tcPr>
            <w:tcW w:w="105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小计</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jc w:val="center"/>
              <w:rPr>
                <w:rFonts w:ascii="宋体" w:hAnsi="宋体" w:eastAsia="宋体" w:cs="宋体"/>
                <w:sz w:val="22"/>
                <w:szCs w:val="22"/>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kern w:val="0"/>
                <w:sz w:val="22"/>
                <w:szCs w:val="22"/>
              </w:rPr>
            </w:pPr>
            <w:r>
              <w:rPr>
                <w:rFonts w:hint="eastAsia" w:ascii="宋体" w:hAnsi="宋体" w:eastAsia="宋体" w:cs="宋体"/>
                <w:kern w:val="0"/>
                <w:sz w:val="22"/>
                <w:szCs w:val="22"/>
              </w:rPr>
              <w:t>1</w:t>
            </w:r>
          </w:p>
          <w:p>
            <w:pPr>
              <w:widowControl/>
              <w:jc w:val="center"/>
              <w:textAlignment w:val="center"/>
              <w:rPr>
                <w:rFonts w:ascii="宋体" w:hAnsi="宋体" w:eastAsia="宋体" w:cs="宋体"/>
                <w:sz w:val="22"/>
                <w:szCs w:val="22"/>
              </w:rPr>
            </w:pPr>
          </w:p>
        </w:tc>
        <w:tc>
          <w:tcPr>
            <w:tcW w:w="14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2</w:t>
            </w:r>
          </w:p>
        </w:tc>
        <w:tc>
          <w:tcPr>
            <w:tcW w:w="109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3</w:t>
            </w:r>
          </w:p>
        </w:tc>
        <w:tc>
          <w:tcPr>
            <w:tcW w:w="115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4</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5</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6</w:t>
            </w:r>
          </w:p>
        </w:tc>
        <w:tc>
          <w:tcPr>
            <w:tcW w:w="106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7</w:t>
            </w:r>
          </w:p>
        </w:tc>
        <w:tc>
          <w:tcPr>
            <w:tcW w:w="1161"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8</w:t>
            </w:r>
          </w:p>
        </w:tc>
        <w:tc>
          <w:tcPr>
            <w:tcW w:w="105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9</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10</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11</w:t>
            </w:r>
          </w:p>
        </w:tc>
        <w:tc>
          <w:tcPr>
            <w:tcW w:w="107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425"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1094"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1159"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113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ascii="宋体" w:hAnsi="宋体" w:eastAsia="宋体" w:cs="宋体"/>
                <w:sz w:val="22"/>
                <w:szCs w:val="22"/>
              </w:rPr>
              <w:t>0.00</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06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ascii="宋体" w:hAnsi="宋体" w:eastAsia="宋体" w:cs="宋体"/>
                <w:kern w:val="0"/>
                <w:sz w:val="22"/>
                <w:szCs w:val="22"/>
              </w:rPr>
            </w:pPr>
            <w:r>
              <w:rPr>
                <w:rFonts w:hint="eastAsia" w:ascii="宋体" w:hAnsi="宋体" w:eastAsia="宋体" w:cs="宋体"/>
                <w:kern w:val="0"/>
                <w:sz w:val="22"/>
                <w:szCs w:val="22"/>
              </w:rPr>
              <w:t>0.00</w:t>
            </w:r>
          </w:p>
        </w:tc>
        <w:tc>
          <w:tcPr>
            <w:tcW w:w="1161"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1053"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1148" w:type="dxa"/>
            <w:tcBorders>
              <w:top w:val="nil"/>
              <w:left w:val="nil"/>
              <w:bottom w:val="single" w:color="000000" w:sz="4" w:space="0"/>
              <w:right w:val="single" w:color="000000" w:sz="4" w:space="0"/>
            </w:tcBorders>
            <w:shd w:val="clear" w:color="auto" w:fill="auto"/>
            <w:noWrap/>
            <w:vAlign w:val="center"/>
          </w:tcPr>
          <w:p>
            <w:pPr>
              <w:jc w:val="right"/>
              <w:rPr>
                <w:rFonts w:ascii="宋体" w:hAnsi="宋体" w:eastAsia="宋体" w:cs="宋体"/>
                <w:sz w:val="22"/>
                <w:szCs w:val="22"/>
              </w:rPr>
            </w:pPr>
            <w:r>
              <w:rPr>
                <w:rFonts w:hint="eastAsia" w:ascii="宋体" w:hAnsi="宋体" w:eastAsia="宋体" w:cs="宋体"/>
                <w:sz w:val="22"/>
                <w:szCs w:val="22"/>
              </w:rPr>
              <w:t>0.00</w:t>
            </w:r>
          </w:p>
        </w:tc>
        <w:tc>
          <w:tcPr>
            <w:tcW w:w="1133" w:type="dxa"/>
            <w:tcBorders>
              <w:top w:val="nil"/>
              <w:left w:val="nil"/>
              <w:bottom w:val="single" w:color="000000" w:sz="4" w:space="0"/>
              <w:right w:val="single" w:color="000000" w:sz="4" w:space="0"/>
            </w:tcBorders>
            <w:shd w:val="clear" w:color="auto" w:fill="auto"/>
            <w:noWrap/>
          </w:tcPr>
          <w:p>
            <w:pPr>
              <w:jc w:val="right"/>
            </w:pPr>
            <w:r>
              <w:t>0.00</w:t>
            </w:r>
          </w:p>
        </w:tc>
        <w:tc>
          <w:tcPr>
            <w:tcW w:w="1073" w:type="dxa"/>
            <w:tcBorders>
              <w:top w:val="nil"/>
              <w:left w:val="nil"/>
              <w:bottom w:val="single" w:color="000000" w:sz="4" w:space="0"/>
              <w:right w:val="single" w:color="000000" w:sz="4" w:space="0"/>
            </w:tcBorders>
            <w:shd w:val="clear" w:color="auto" w:fill="auto"/>
            <w:noWrap/>
          </w:tcPr>
          <w:p>
            <w:pPr>
              <w:jc w:val="right"/>
            </w:pPr>
            <w:r>
              <w:rPr>
                <w:rFonts w:hint="eastAsia" w:ascii="宋体" w:hAnsi="宋体" w:eastAsia="宋体" w:cs="宋体"/>
                <w:kern w:val="0"/>
                <w:sz w:val="22"/>
                <w:szCs w:val="22"/>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widowControl/>
              <w:jc w:val="left"/>
              <w:textAlignment w:val="center"/>
              <w:rPr>
                <w:rFonts w:ascii="宋体" w:hAnsi="宋体" w:eastAsia="宋体" w:cs="宋体"/>
                <w:kern w:val="0"/>
                <w:sz w:val="22"/>
                <w:szCs w:val="22"/>
              </w:rPr>
            </w:pPr>
            <w:r>
              <w:rPr>
                <w:rFonts w:hint="eastAsia" w:ascii="宋体" w:hAnsi="宋体" w:eastAsia="宋体" w:cs="宋体"/>
                <w:kern w:val="0"/>
                <w:sz w:val="22"/>
                <w:szCs w:val="22"/>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textAlignment w:val="center"/>
              <w:rPr>
                <w:rFonts w:ascii="宋体" w:hAnsi="宋体" w:eastAsia="宋体" w:cs="宋体"/>
                <w:szCs w:val="21"/>
              </w:rPr>
            </w:pPr>
            <w:r>
              <w:rPr>
                <w:rFonts w:hint="eastAsia" w:ascii="宋体" w:hAnsi="宋体" w:eastAsia="宋体" w:cs="宋体"/>
                <w:kern w:val="0"/>
                <w:sz w:val="22"/>
                <w:szCs w:val="22"/>
              </w:rPr>
              <w:t>本部门2023年度没有一般公共预算财政拨款“三公”经费收入，也没有一般公共预算财政拨款“三公”经费安排的支出，故本表无数据。</w:t>
            </w:r>
          </w:p>
          <w:p>
            <w:pPr>
              <w:widowControl/>
              <w:jc w:val="left"/>
              <w:textAlignment w:val="center"/>
              <w:rPr>
                <w:rFonts w:ascii="宋体" w:hAnsi="宋体" w:eastAsia="宋体" w:cs="宋体"/>
                <w:kern w:val="0"/>
                <w:sz w:val="22"/>
                <w:szCs w:val="22"/>
              </w:rPr>
            </w:pPr>
          </w:p>
        </w:tc>
      </w:tr>
    </w:tbl>
    <w:p>
      <w:pPr>
        <w:ind w:firstLine="420"/>
        <w:jc w:val="left"/>
        <w:rPr>
          <w:rFonts w:ascii="仿宋" w:hAnsi="仿宋" w:eastAsia="仿宋" w:cs="仿宋"/>
          <w:sz w:val="24"/>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rPr>
      </w:pPr>
    </w:p>
    <w:p>
      <w:pPr>
        <w:jc w:val="center"/>
        <w:rPr>
          <w:rFonts w:ascii="仿宋" w:hAnsi="仿宋" w:eastAsia="仿宋" w:cs="仿宋"/>
          <w:sz w:val="32"/>
          <w:szCs w:val="32"/>
        </w:rPr>
      </w:pPr>
      <w:r>
        <w:rPr>
          <w:rFonts w:hint="eastAsia" w:ascii="黑体" w:hAnsi="黑体" w:eastAsia="黑体" w:cs="黑体"/>
          <w:sz w:val="32"/>
          <w:szCs w:val="32"/>
        </w:rPr>
        <w:t>第三部分：</w:t>
      </w:r>
      <w:r>
        <w:rPr>
          <w:rFonts w:ascii="黑体" w:hAnsi="黑体" w:eastAsia="黑体" w:cs="黑体"/>
          <w:sz w:val="32"/>
        </w:rPr>
        <w:t>环江毛南族自治县第一幼儿园</w:t>
      </w:r>
      <w:r>
        <w:rPr>
          <w:rFonts w:hint="eastAsia" w:ascii="黑体" w:hAnsi="黑体" w:eastAsia="黑体" w:cs="黑体"/>
          <w:sz w:val="32"/>
          <w:szCs w:val="32"/>
        </w:rPr>
        <w:t>2023年度部门决算情况说明</w:t>
      </w:r>
    </w:p>
    <w:p>
      <w:pPr>
        <w:jc w:val="left"/>
        <w:rPr>
          <w:rFonts w:ascii="黑体" w:hAnsi="黑体" w:eastAsia="黑体" w:cs="黑体"/>
          <w:sz w:val="32"/>
          <w:szCs w:val="32"/>
        </w:rPr>
      </w:pPr>
      <w:r>
        <w:rPr>
          <w:rFonts w:hint="eastAsia" w:ascii="黑体" w:hAnsi="黑体" w:eastAsia="黑体" w:cs="黑体"/>
          <w:sz w:val="32"/>
          <w:szCs w:val="32"/>
        </w:rPr>
        <w:t>一、2023年度收入支出决算总体情况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（一）本部门2023年度总收入</w:t>
      </w:r>
      <w:r>
        <w:rPr>
          <w:rFonts w:ascii="仿宋" w:hAnsi="仿宋" w:eastAsia="仿宋" w:cs="仿宋"/>
          <w:sz w:val="32"/>
          <w:szCs w:val="32"/>
        </w:rPr>
        <w:t xml:space="preserve">541.21 </w:t>
      </w:r>
      <w:r>
        <w:rPr>
          <w:rFonts w:hint="eastAsia" w:ascii="仿宋" w:hAnsi="仿宋" w:eastAsia="仿宋" w:cs="仿宋"/>
          <w:sz w:val="32"/>
          <w:szCs w:val="32"/>
        </w:rPr>
        <w:t>，较2022年度决算数</w:t>
      </w:r>
      <w:r>
        <w:rPr>
          <w:rFonts w:hint="eastAsia" w:ascii="仿宋" w:hAnsi="仿宋" w:eastAsia="仿宋" w:cs="仿宋"/>
          <w:sz w:val="32"/>
        </w:rPr>
        <w:t>减少62.64</w:t>
      </w:r>
      <w:r>
        <w:rPr>
          <w:rFonts w:hint="eastAsia" w:ascii="仿宋" w:hAnsi="仿宋" w:eastAsia="仿宋" w:cs="仿宋"/>
          <w:sz w:val="32"/>
          <w:szCs w:val="32"/>
        </w:rPr>
        <w:t>万元，下降</w:t>
      </w:r>
      <w:r>
        <w:rPr>
          <w:rFonts w:hint="eastAsia" w:ascii="仿宋" w:hAnsi="仿宋" w:eastAsia="仿宋" w:cs="仿宋"/>
          <w:sz w:val="32"/>
        </w:rPr>
        <w:t>10.37</w:t>
      </w:r>
      <w:r>
        <w:rPr>
          <w:rFonts w:ascii="仿宋" w:hAnsi="仿宋" w:eastAsia="仿宋" w:cs="仿宋"/>
          <w:sz w:val="32"/>
        </w:rPr>
        <w:t>%</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本年收入具体情况如下。</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1.一般公共预算财政拨款收入</w:t>
      </w:r>
      <w:r>
        <w:rPr>
          <w:rFonts w:ascii="仿宋" w:hAnsi="仿宋" w:eastAsia="仿宋" w:cs="仿宋"/>
          <w:sz w:val="32"/>
          <w:szCs w:val="32"/>
        </w:rPr>
        <w:t>541.21</w:t>
      </w:r>
      <w:r>
        <w:rPr>
          <w:rFonts w:hint="eastAsia" w:ascii="仿宋" w:hAnsi="仿宋" w:eastAsia="仿宋" w:cs="仿宋"/>
          <w:sz w:val="32"/>
          <w:szCs w:val="32"/>
        </w:rPr>
        <w:t>万元，为环江毛南族自治县本级财政当年拨付的资金。较2022年度决算数</w:t>
      </w:r>
      <w:r>
        <w:rPr>
          <w:rFonts w:hint="eastAsia" w:ascii="仿宋" w:hAnsi="仿宋" w:eastAsia="仿宋" w:cs="仿宋"/>
          <w:sz w:val="32"/>
        </w:rPr>
        <w:t>减少62.64</w:t>
      </w:r>
      <w:r>
        <w:rPr>
          <w:rFonts w:hint="eastAsia" w:ascii="仿宋" w:hAnsi="仿宋" w:eastAsia="仿宋" w:cs="仿宋"/>
          <w:sz w:val="32"/>
          <w:szCs w:val="32"/>
        </w:rPr>
        <w:t>万元，下降</w:t>
      </w:r>
      <w:r>
        <w:rPr>
          <w:rFonts w:hint="eastAsia" w:ascii="仿宋" w:hAnsi="仿宋" w:eastAsia="仿宋" w:cs="仿宋"/>
          <w:sz w:val="32"/>
        </w:rPr>
        <w:t>10.37</w:t>
      </w:r>
      <w:r>
        <w:rPr>
          <w:rFonts w:ascii="仿宋" w:hAnsi="仿宋" w:eastAsia="仿宋" w:cs="仿宋"/>
          <w:sz w:val="32"/>
        </w:rPr>
        <w:t>%</w:t>
      </w:r>
      <w:r>
        <w:rPr>
          <w:rFonts w:hint="eastAsia" w:ascii="仿宋" w:hAnsi="仿宋" w:eastAsia="仿宋" w:cs="仿宋"/>
          <w:sz w:val="32"/>
          <w:szCs w:val="32"/>
        </w:rPr>
        <w:t>。主要原因：单位在职人员减少，拨款减少。</w:t>
      </w:r>
    </w:p>
    <w:p>
      <w:pPr>
        <w:ind w:firstLine="640" w:firstLineChars="200"/>
        <w:jc w:val="left"/>
        <w:rPr>
          <w:rFonts w:ascii="仿宋" w:hAnsi="仿宋" w:eastAsia="仿宋" w:cs="Times New Roman"/>
          <w:sz w:val="32"/>
          <w:szCs w:val="32"/>
        </w:rPr>
      </w:pPr>
      <w:r>
        <w:rPr>
          <w:rFonts w:hint="eastAsia" w:ascii="仿宋" w:hAnsi="仿宋" w:eastAsia="仿宋" w:cs="仿宋"/>
          <w:sz w:val="32"/>
          <w:szCs w:val="32"/>
        </w:rPr>
        <w:t>2.政府性基金预算财政拨款收入</w:t>
      </w:r>
      <w:r>
        <w:rPr>
          <w:rFonts w:ascii="仿宋" w:hAnsi="仿宋" w:eastAsia="仿宋" w:cs="仿宋"/>
          <w:sz w:val="32"/>
        </w:rPr>
        <w:t>0.00</w:t>
      </w:r>
      <w:r>
        <w:rPr>
          <w:rFonts w:hint="eastAsia" w:ascii="仿宋" w:hAnsi="仿宋" w:eastAsia="仿宋" w:cs="仿宋"/>
          <w:sz w:val="32"/>
          <w:szCs w:val="32"/>
        </w:rPr>
        <w:t>万元，较2022年度决算数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。本部门无政府性基金预算财政拨款收入。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3.国有资本经营预算财政拨款收入</w:t>
      </w:r>
      <w:r>
        <w:rPr>
          <w:rFonts w:ascii="仿宋" w:hAnsi="仿宋" w:eastAsia="仿宋" w:cs="仿宋"/>
          <w:sz w:val="32"/>
        </w:rPr>
        <w:t>0.00</w:t>
      </w:r>
      <w:r>
        <w:rPr>
          <w:rFonts w:hint="eastAsia" w:ascii="仿宋" w:hAnsi="仿宋" w:eastAsia="仿宋" w:cs="仿宋"/>
          <w:sz w:val="32"/>
          <w:szCs w:val="32"/>
        </w:rPr>
        <w:t>万元</w:t>
      </w:r>
      <w:r>
        <w:rPr>
          <w:rFonts w:hint="eastAsia" w:ascii="仿宋" w:hAnsi="仿宋" w:eastAsia="仿宋" w:cs="仿宋"/>
          <w:sz w:val="32"/>
          <w:szCs w:val="32"/>
          <w:lang w:val="en-US" w:eastAsia="zh-CN"/>
        </w:rPr>
        <w:t>,</w:t>
      </w:r>
      <w:r>
        <w:rPr>
          <w:rFonts w:hint="eastAsia" w:ascii="仿宋" w:hAnsi="仿宋" w:eastAsia="仿宋" w:cs="仿宋"/>
          <w:sz w:val="32"/>
          <w:szCs w:val="32"/>
        </w:rPr>
        <w:t>较2022年度决算数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。主要原因是：本部门无国有资本经营预算财政拨款收入。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4.上级补助收入</w:t>
      </w:r>
      <w:r>
        <w:rPr>
          <w:rFonts w:ascii="仿宋" w:hAnsi="仿宋" w:eastAsia="仿宋" w:cs="仿宋"/>
          <w:sz w:val="32"/>
        </w:rPr>
        <w:t>0.00</w:t>
      </w:r>
      <w:r>
        <w:rPr>
          <w:rFonts w:hint="eastAsia" w:ascii="仿宋" w:hAnsi="仿宋" w:eastAsia="仿宋" w:cs="仿宋"/>
          <w:sz w:val="32"/>
          <w:szCs w:val="32"/>
        </w:rPr>
        <w:t>万元</w:t>
      </w:r>
      <w:r>
        <w:rPr>
          <w:rFonts w:hint="eastAsia" w:ascii="仿宋" w:hAnsi="仿宋" w:eastAsia="仿宋" w:cs="仿宋"/>
          <w:sz w:val="32"/>
          <w:szCs w:val="32"/>
          <w:lang w:val="en-US" w:eastAsia="zh-CN"/>
        </w:rPr>
        <w:t>,</w:t>
      </w:r>
      <w:r>
        <w:rPr>
          <w:rFonts w:hint="eastAsia" w:ascii="仿宋" w:hAnsi="仿宋" w:eastAsia="仿宋" w:cs="仿宋"/>
          <w:sz w:val="32"/>
          <w:szCs w:val="32"/>
        </w:rPr>
        <w:t>较2022年度决算数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。主要原因是：本单位没有上级补助收入。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5.事业收入</w:t>
      </w:r>
      <w:r>
        <w:rPr>
          <w:rFonts w:ascii="仿宋" w:hAnsi="仿宋" w:eastAsia="仿宋" w:cs="仿宋"/>
          <w:sz w:val="32"/>
        </w:rPr>
        <w:t>0.00</w:t>
      </w:r>
      <w:r>
        <w:rPr>
          <w:rFonts w:hint="eastAsia" w:ascii="仿宋" w:hAnsi="仿宋" w:eastAsia="仿宋" w:cs="仿宋"/>
          <w:sz w:val="32"/>
          <w:szCs w:val="32"/>
        </w:rPr>
        <w:t>万元</w:t>
      </w:r>
      <w:r>
        <w:rPr>
          <w:rFonts w:hint="eastAsia" w:ascii="仿宋" w:hAnsi="仿宋" w:eastAsia="仿宋" w:cs="仿宋"/>
          <w:sz w:val="32"/>
          <w:szCs w:val="32"/>
          <w:lang w:val="en-US" w:eastAsia="zh-CN"/>
        </w:rPr>
        <w:t>,</w:t>
      </w:r>
      <w:r>
        <w:rPr>
          <w:rFonts w:hint="eastAsia" w:ascii="仿宋" w:hAnsi="仿宋" w:eastAsia="仿宋" w:cs="仿宋"/>
          <w:sz w:val="32"/>
          <w:szCs w:val="32"/>
        </w:rPr>
        <w:t>较2022年度决算数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。主要原因：事业收入全部纳入一般公共预算财政收入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6.经营收入0.00万</w:t>
      </w:r>
      <w:r>
        <w:rPr>
          <w:rFonts w:hint="eastAsia" w:ascii="仿宋" w:hAnsi="仿宋" w:eastAsia="仿宋" w:cs="仿宋"/>
          <w:sz w:val="32"/>
          <w:szCs w:val="32"/>
          <w:lang w:val="en-US" w:eastAsia="zh-CN"/>
        </w:rPr>
        <w:t>,</w:t>
      </w:r>
      <w:r>
        <w:rPr>
          <w:rFonts w:hint="eastAsia" w:ascii="仿宋" w:hAnsi="仿宋" w:eastAsia="仿宋" w:cs="仿宋"/>
          <w:sz w:val="32"/>
          <w:szCs w:val="32"/>
        </w:rPr>
        <w:t>较2022年度决算数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。主要原因是：本单位没有经营性收入。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7.附属单位上缴收入</w:t>
      </w:r>
      <w:r>
        <w:rPr>
          <w:rFonts w:ascii="仿宋" w:hAnsi="仿宋" w:eastAsia="仿宋" w:cs="仿宋"/>
          <w:sz w:val="32"/>
        </w:rPr>
        <w:t>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。主要原因是：本单位无附属单位上缴收入。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8.其他收入</w:t>
      </w:r>
      <w:r>
        <w:rPr>
          <w:rFonts w:ascii="仿宋" w:hAnsi="仿宋" w:eastAsia="仿宋" w:cs="仿宋"/>
          <w:sz w:val="32"/>
        </w:rPr>
        <w:t>0.00</w:t>
      </w:r>
      <w:r>
        <w:rPr>
          <w:rFonts w:hint="eastAsia" w:ascii="仿宋" w:hAnsi="仿宋" w:eastAsia="仿宋" w:cs="仿宋"/>
          <w:sz w:val="32"/>
          <w:szCs w:val="32"/>
        </w:rPr>
        <w:t>万元,较2022年度决算数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。主要原因是：本单位没有其他收入。</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9.使用非财政拨款结余</w:t>
      </w:r>
      <w:r>
        <w:rPr>
          <w:rFonts w:ascii="仿宋" w:hAnsi="仿宋" w:eastAsia="仿宋" w:cs="仿宋"/>
          <w:sz w:val="32"/>
        </w:rPr>
        <w:t>0.00</w:t>
      </w:r>
      <w:r>
        <w:rPr>
          <w:rFonts w:hint="eastAsia" w:ascii="仿宋" w:hAnsi="仿宋" w:eastAsia="仿宋" w:cs="仿宋"/>
          <w:sz w:val="32"/>
          <w:szCs w:val="32"/>
        </w:rPr>
        <w:t>万元,较2022年度决算数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。主要原因是：本单位没有非财政拨款结余。</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10.上年结转和结余</w:t>
      </w:r>
      <w:r>
        <w:rPr>
          <w:rFonts w:ascii="仿宋" w:hAnsi="仿宋" w:eastAsia="仿宋" w:cs="仿宋"/>
          <w:sz w:val="32"/>
        </w:rPr>
        <w:t>0.00</w:t>
      </w:r>
      <w:r>
        <w:rPr>
          <w:rFonts w:hint="eastAsia" w:ascii="仿宋" w:hAnsi="仿宋" w:eastAsia="仿宋" w:cs="仿宋"/>
          <w:sz w:val="32"/>
          <w:szCs w:val="32"/>
        </w:rPr>
        <w:t>万元，较2022年度决算数</w:t>
      </w:r>
      <w:r>
        <w:rPr>
          <w:rFonts w:ascii="仿宋" w:hAnsi="仿宋" w:eastAsia="仿宋" w:cs="仿宋"/>
          <w:sz w:val="32"/>
        </w:rPr>
        <w:t>减少</w:t>
      </w:r>
      <w:r>
        <w:rPr>
          <w:rFonts w:hint="eastAsia" w:ascii="仿宋" w:hAnsi="仿宋" w:eastAsia="仿宋" w:cs="仿宋"/>
          <w:sz w:val="32"/>
        </w:rPr>
        <w:t>0</w:t>
      </w:r>
      <w:r>
        <w:rPr>
          <w:rFonts w:hint="eastAsia" w:ascii="仿宋" w:hAnsi="仿宋" w:eastAsia="仿宋" w:cs="仿宋"/>
          <w:sz w:val="32"/>
          <w:szCs w:val="32"/>
        </w:rPr>
        <w:t>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5080000" cy="3810000"/>
            <wp:effectExtent l="4445" t="4445" r="5715" b="107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rPr>
      </w:pPr>
      <w:r>
        <w:rPr>
          <w:rFonts w:hint="eastAsia" w:ascii="仿宋" w:hAnsi="仿宋" w:eastAsia="仿宋" w:cs="仿宋"/>
          <w:sz w:val="32"/>
          <w:szCs w:val="32"/>
        </w:rPr>
        <w:t>（二）本部门2023年度总支出</w:t>
      </w:r>
      <w:r>
        <w:rPr>
          <w:rFonts w:ascii="仿宋" w:hAnsi="仿宋" w:eastAsia="仿宋" w:cs="仿宋"/>
          <w:sz w:val="32"/>
          <w:szCs w:val="32"/>
        </w:rPr>
        <w:t>541.21</w:t>
      </w:r>
      <w:r>
        <w:rPr>
          <w:rFonts w:hint="eastAsia" w:ascii="仿宋" w:hAnsi="仿宋" w:eastAsia="仿宋" w:cs="仿宋"/>
          <w:sz w:val="32"/>
          <w:szCs w:val="32"/>
        </w:rPr>
        <w:t>万元，其中本年支出</w:t>
      </w:r>
      <w:r>
        <w:rPr>
          <w:rFonts w:ascii="仿宋" w:hAnsi="仿宋" w:eastAsia="仿宋" w:cs="仿宋"/>
          <w:sz w:val="32"/>
          <w:szCs w:val="32"/>
        </w:rPr>
        <w:t>541.21</w:t>
      </w:r>
      <w:r>
        <w:rPr>
          <w:rFonts w:hint="eastAsia" w:ascii="仿宋" w:hAnsi="仿宋" w:eastAsia="仿宋" w:cs="仿宋"/>
          <w:sz w:val="32"/>
          <w:szCs w:val="32"/>
        </w:rPr>
        <w:t>万元，较2022年度决算数</w:t>
      </w:r>
      <w:r>
        <w:rPr>
          <w:rFonts w:hint="eastAsia" w:ascii="仿宋" w:hAnsi="仿宋" w:eastAsia="仿宋" w:cs="仿宋"/>
          <w:sz w:val="32"/>
        </w:rPr>
        <w:t>减少62.64</w:t>
      </w:r>
      <w:r>
        <w:rPr>
          <w:rFonts w:hint="eastAsia" w:ascii="仿宋" w:hAnsi="仿宋" w:eastAsia="仿宋" w:cs="仿宋"/>
          <w:sz w:val="32"/>
          <w:szCs w:val="32"/>
        </w:rPr>
        <w:t>万元，下降</w:t>
      </w:r>
      <w:r>
        <w:rPr>
          <w:rFonts w:hint="eastAsia" w:ascii="仿宋" w:hAnsi="仿宋" w:eastAsia="仿宋" w:cs="仿宋"/>
          <w:sz w:val="32"/>
        </w:rPr>
        <w:t>10.37</w:t>
      </w:r>
      <w:r>
        <w:rPr>
          <w:rFonts w:ascii="仿宋" w:hAnsi="仿宋" w:eastAsia="仿宋" w:cs="仿宋"/>
          <w:sz w:val="32"/>
        </w:rPr>
        <w:t>%</w:t>
      </w:r>
      <w:r>
        <w:rPr>
          <w:rFonts w:hint="eastAsia" w:ascii="仿宋" w:hAnsi="仿宋" w:eastAsia="仿宋" w:cs="仿宋"/>
          <w:sz w:val="32"/>
          <w:szCs w:val="32"/>
        </w:rPr>
        <w:t>。支出具体情况如下：</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rPr>
        <w:t>.</w:t>
      </w:r>
      <w:r>
        <w:rPr>
          <w:rFonts w:hint="eastAsia" w:ascii="仿宋" w:hAnsi="仿宋" w:eastAsia="仿宋" w:cs="仿宋"/>
          <w:sz w:val="32"/>
          <w:szCs w:val="32"/>
        </w:rPr>
        <w:t>一般公共服务支出（201</w:t>
      </w:r>
      <w:r>
        <w:rPr>
          <w:rFonts w:ascii="Calibri" w:hAnsi="Calibri" w:eastAsia="宋体" w:cs="Times New Roman"/>
        </w:rPr>
        <w:t xml:space="preserve"> </w:t>
      </w:r>
      <w:r>
        <w:rPr>
          <w:rFonts w:hint="eastAsia" w:ascii="仿宋" w:hAnsi="仿宋" w:eastAsia="仿宋" w:cs="仿宋"/>
          <w:sz w:val="32"/>
          <w:szCs w:val="32"/>
        </w:rPr>
        <w:t>类）4.6</w:t>
      </w:r>
      <w:r>
        <w:rPr>
          <w:rFonts w:hint="eastAsia" w:ascii="仿宋" w:hAnsi="仿宋" w:eastAsia="仿宋" w:cs="仿宋"/>
          <w:sz w:val="32"/>
          <w:szCs w:val="32"/>
          <w:lang w:val="en-US" w:eastAsia="zh-CN"/>
        </w:rPr>
        <w:t>3</w:t>
      </w:r>
      <w:r>
        <w:rPr>
          <w:rFonts w:hint="eastAsia" w:ascii="仿宋" w:hAnsi="仿宋" w:eastAsia="仿宋" w:cs="仿宋"/>
          <w:sz w:val="32"/>
          <w:szCs w:val="32"/>
        </w:rPr>
        <w:t>万元：主要用于：工会经费支出。较2022年度决算数增加0.0</w:t>
      </w:r>
      <w:r>
        <w:rPr>
          <w:rFonts w:hint="eastAsia" w:ascii="仿宋" w:hAnsi="仿宋" w:eastAsia="仿宋" w:cs="仿宋"/>
          <w:sz w:val="32"/>
          <w:szCs w:val="32"/>
          <w:lang w:val="en-US" w:eastAsia="zh-CN"/>
        </w:rPr>
        <w:t>4</w:t>
      </w:r>
      <w:r>
        <w:rPr>
          <w:rFonts w:hint="eastAsia" w:ascii="仿宋" w:hAnsi="仿宋" w:eastAsia="仿宋" w:cs="仿宋"/>
          <w:sz w:val="32"/>
          <w:szCs w:val="32"/>
        </w:rPr>
        <w:t>万元，增长</w:t>
      </w:r>
      <w:r>
        <w:rPr>
          <w:rFonts w:hint="eastAsia" w:ascii="仿宋" w:hAnsi="仿宋" w:eastAsia="仿宋" w:cs="仿宋"/>
          <w:sz w:val="32"/>
          <w:szCs w:val="32"/>
          <w:lang w:val="en-US" w:eastAsia="zh-CN"/>
        </w:rPr>
        <w:t>0.87</w:t>
      </w:r>
      <w:r>
        <w:rPr>
          <w:rFonts w:hint="eastAsia" w:ascii="仿宋" w:hAnsi="仿宋" w:eastAsia="仿宋" w:cs="仿宋"/>
          <w:sz w:val="32"/>
          <w:szCs w:val="32"/>
        </w:rPr>
        <w:t>%，主要原因是：经费开支增加。</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rPr>
        <w:t>.</w:t>
      </w:r>
      <w:r>
        <w:rPr>
          <w:rFonts w:hint="eastAsia" w:ascii="仿宋" w:hAnsi="仿宋" w:eastAsia="仿宋" w:cs="仿宋"/>
          <w:sz w:val="32"/>
          <w:szCs w:val="32"/>
        </w:rPr>
        <w:t>教育支出（205</w:t>
      </w:r>
      <w:r>
        <w:rPr>
          <w:rFonts w:ascii="Calibri" w:hAnsi="Calibri" w:eastAsia="宋体" w:cs="Times New Roman"/>
        </w:rPr>
        <w:t xml:space="preserve"> </w:t>
      </w:r>
      <w:r>
        <w:rPr>
          <w:rFonts w:hint="eastAsia" w:ascii="仿宋" w:hAnsi="仿宋" w:eastAsia="仿宋" w:cs="仿宋"/>
          <w:sz w:val="32"/>
          <w:szCs w:val="32"/>
        </w:rPr>
        <w:t>类）</w:t>
      </w:r>
      <w:r>
        <w:rPr>
          <w:rFonts w:ascii="仿宋" w:hAnsi="仿宋" w:eastAsia="仿宋" w:cs="仿宋"/>
          <w:sz w:val="32"/>
          <w:szCs w:val="32"/>
        </w:rPr>
        <w:t>430.27</w:t>
      </w:r>
      <w:r>
        <w:rPr>
          <w:rFonts w:hint="eastAsia" w:ascii="仿宋" w:hAnsi="仿宋" w:eastAsia="仿宋" w:cs="仿宋"/>
          <w:sz w:val="32"/>
          <w:szCs w:val="32"/>
        </w:rPr>
        <w:t>万元：主要用于：人员工资、日常运转办公经费等支出。较2022年度决算数减少56.68万元，下降11.62%，主要原因是：单位在职人员减少，支出减少。</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rPr>
        <w:t>.</w:t>
      </w:r>
      <w:r>
        <w:rPr>
          <w:rFonts w:hint="eastAsia" w:ascii="仿宋" w:hAnsi="仿宋" w:eastAsia="仿宋" w:cs="仿宋"/>
          <w:sz w:val="32"/>
          <w:szCs w:val="32"/>
        </w:rPr>
        <w:t>社会保障和就业支出（208</w:t>
      </w:r>
      <w:r>
        <w:rPr>
          <w:rFonts w:ascii="Calibri" w:hAnsi="Calibri" w:eastAsia="宋体" w:cs="Times New Roman"/>
        </w:rPr>
        <w:t xml:space="preserve"> </w:t>
      </w:r>
      <w:r>
        <w:rPr>
          <w:rFonts w:hint="eastAsia" w:ascii="仿宋" w:hAnsi="仿宋" w:eastAsia="仿宋" w:cs="仿宋"/>
          <w:sz w:val="32"/>
          <w:szCs w:val="32"/>
        </w:rPr>
        <w:t>类）</w:t>
      </w:r>
      <w:r>
        <w:rPr>
          <w:rFonts w:ascii="仿宋" w:hAnsi="仿宋" w:eastAsia="仿宋" w:cs="仿宋"/>
          <w:sz w:val="32"/>
          <w:szCs w:val="32"/>
        </w:rPr>
        <w:t>35.69</w:t>
      </w:r>
      <w:r>
        <w:rPr>
          <w:rFonts w:hint="eastAsia" w:ascii="仿宋" w:hAnsi="仿宋" w:eastAsia="仿宋" w:cs="仿宋"/>
          <w:sz w:val="32"/>
          <w:szCs w:val="32"/>
        </w:rPr>
        <w:t>万元：主要用于：主要用于缴纳教职工社保费单位部分。较2022年度决算数增加3.31万元，增长10.22%，主要原因是：社保缴纳基数提高。</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rPr>
        <w:t>.</w:t>
      </w:r>
      <w:r>
        <w:rPr>
          <w:rFonts w:hint="eastAsia" w:ascii="仿宋" w:hAnsi="仿宋" w:eastAsia="仿宋" w:cs="仿宋"/>
          <w:sz w:val="32"/>
          <w:szCs w:val="32"/>
        </w:rPr>
        <w:t>住房保障支出（221</w:t>
      </w:r>
      <w:r>
        <w:rPr>
          <w:rFonts w:ascii="Calibri" w:hAnsi="Calibri" w:eastAsia="宋体" w:cs="Times New Roman"/>
        </w:rPr>
        <w:t xml:space="preserve"> </w:t>
      </w:r>
      <w:r>
        <w:rPr>
          <w:rFonts w:hint="eastAsia" w:ascii="仿宋" w:hAnsi="仿宋" w:eastAsia="仿宋" w:cs="仿宋"/>
          <w:sz w:val="32"/>
          <w:szCs w:val="32"/>
        </w:rPr>
        <w:t>类）</w:t>
      </w:r>
      <w:r>
        <w:rPr>
          <w:rFonts w:ascii="仿宋" w:hAnsi="仿宋" w:eastAsia="仿宋" w:cs="仿宋"/>
          <w:sz w:val="32"/>
          <w:szCs w:val="32"/>
        </w:rPr>
        <w:t>26.52</w:t>
      </w:r>
      <w:r>
        <w:rPr>
          <w:rFonts w:hint="eastAsia" w:ascii="仿宋" w:hAnsi="仿宋" w:eastAsia="仿宋" w:cs="仿宋"/>
          <w:sz w:val="32"/>
          <w:szCs w:val="32"/>
        </w:rPr>
        <w:t>万元：主要用于：缴纳教职员工住房公积金单位部分。较2022年度决算数增加2.38万元，增长9.86%，主要原因是：人员年总收入增加，缴纳基数提高。</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rPr>
        <w:t>.</w:t>
      </w:r>
      <w:r>
        <w:rPr>
          <w:rFonts w:hint="eastAsia" w:ascii="仿宋" w:hAnsi="仿宋" w:eastAsia="仿宋" w:cs="仿宋"/>
          <w:sz w:val="32"/>
          <w:szCs w:val="32"/>
        </w:rPr>
        <w:t>其他支出（229</w:t>
      </w:r>
      <w:r>
        <w:rPr>
          <w:rFonts w:ascii="Calibri" w:hAnsi="Calibri" w:eastAsia="宋体" w:cs="Times New Roman"/>
        </w:rPr>
        <w:t xml:space="preserve"> </w:t>
      </w:r>
      <w:r>
        <w:rPr>
          <w:rFonts w:hint="eastAsia" w:ascii="仿宋" w:hAnsi="仿宋" w:eastAsia="仿宋" w:cs="仿宋"/>
          <w:sz w:val="32"/>
          <w:szCs w:val="32"/>
        </w:rPr>
        <w:t>类）</w:t>
      </w:r>
      <w:r>
        <w:rPr>
          <w:rFonts w:ascii="仿宋" w:hAnsi="仿宋" w:eastAsia="仿宋" w:cs="仿宋"/>
          <w:sz w:val="32"/>
          <w:szCs w:val="32"/>
        </w:rPr>
        <w:t>44.1</w:t>
      </w:r>
      <w:r>
        <w:rPr>
          <w:rFonts w:hint="eastAsia" w:ascii="仿宋" w:hAnsi="仿宋" w:eastAsia="仿宋" w:cs="仿宋"/>
          <w:sz w:val="32"/>
          <w:szCs w:val="32"/>
        </w:rPr>
        <w:t>0万元：主要用于：其他工资福利支出。较2022年度决算数减少11.78万元，下降21.08%，主要原因是：主要原因是：其他聘用人员减少。</w:t>
      </w:r>
    </w:p>
    <w:p>
      <w:pPr>
        <w:ind w:firstLine="620" w:firstLineChars="200"/>
        <w:jc w:val="left"/>
        <w:rPr>
          <w:rFonts w:ascii="仿宋" w:hAnsi="仿宋" w:eastAsia="仿宋_GB2312" w:cs="仿宋"/>
          <w:sz w:val="32"/>
          <w:szCs w:val="32"/>
        </w:rPr>
      </w:pPr>
      <w:r>
        <w:rPr>
          <w:rFonts w:ascii="仿宋_GB2312" w:hAnsi="微软雅黑" w:eastAsia="仿宋_GB2312" w:cs="仿宋_GB2312"/>
          <w:sz w:val="31"/>
          <w:szCs w:val="31"/>
          <w:shd w:val="clear" w:color="auto" w:fill="FFFFFF"/>
        </w:rPr>
        <w:t>结余分配</w:t>
      </w:r>
      <w:r>
        <w:rPr>
          <w:rFonts w:hint="eastAsia" w:ascii="仿宋_GB2312" w:hAnsi="微软雅黑" w:eastAsia="仿宋_GB2312" w:cs="仿宋_GB2312"/>
          <w:sz w:val="31"/>
          <w:szCs w:val="31"/>
          <w:shd w:val="clear" w:color="auto" w:fill="FFFFFF"/>
        </w:rPr>
        <w:t>0.00</w:t>
      </w:r>
      <w:r>
        <w:rPr>
          <w:rFonts w:ascii="仿宋_GB2312" w:hAnsi="微软雅黑" w:eastAsia="仿宋_GB2312" w:cs="仿宋_GB2312"/>
          <w:sz w:val="31"/>
          <w:szCs w:val="31"/>
          <w:shd w:val="clear" w:color="auto" w:fill="FFFFFF"/>
        </w:rPr>
        <w:t>万元，为事业单位按规定提取的专用结余、缴纳所得税和转入非财政拨款结余等。较202</w:t>
      </w:r>
      <w:r>
        <w:rPr>
          <w:rFonts w:hint="eastAsia" w:ascii="仿宋_GB2312" w:hAnsi="微软雅黑" w:eastAsia="仿宋_GB2312" w:cs="仿宋_GB2312"/>
          <w:sz w:val="31"/>
          <w:szCs w:val="31"/>
          <w:shd w:val="clear" w:color="auto" w:fill="FFFFFF"/>
        </w:rPr>
        <w:t>2</w:t>
      </w:r>
      <w:r>
        <w:rPr>
          <w:rFonts w:ascii="仿宋_GB2312" w:hAnsi="微软雅黑" w:eastAsia="仿宋_GB2312" w:cs="仿宋_GB2312"/>
          <w:sz w:val="31"/>
          <w:szCs w:val="31"/>
          <w:shd w:val="clear" w:color="auto" w:fill="FFFFFF"/>
        </w:rPr>
        <w:t>年决算</w:t>
      </w:r>
      <w:r>
        <w:rPr>
          <w:rFonts w:hint="eastAsia" w:ascii="仿宋_GB2312" w:hAnsi="微软雅黑" w:eastAsia="仿宋_GB2312" w:cs="仿宋_GB2312"/>
          <w:sz w:val="31"/>
          <w:szCs w:val="31"/>
          <w:shd w:val="clear" w:color="auto" w:fill="FFFFFF"/>
        </w:rPr>
        <w:t>0.00</w:t>
      </w:r>
      <w:r>
        <w:rPr>
          <w:rFonts w:ascii="仿宋_GB2312" w:hAnsi="微软雅黑" w:eastAsia="仿宋_GB2312" w:cs="仿宋_GB2312"/>
          <w:sz w:val="31"/>
          <w:szCs w:val="31"/>
          <w:shd w:val="clear" w:color="auto" w:fill="FFFFFF"/>
        </w:rPr>
        <w:t>万元</w:t>
      </w:r>
      <w:r>
        <w:rPr>
          <w:rFonts w:hint="eastAsia" w:ascii="仿宋_GB2312" w:hAnsi="微软雅黑" w:eastAsia="仿宋_GB2312" w:cs="仿宋_GB2312"/>
          <w:sz w:val="31"/>
          <w:szCs w:val="31"/>
          <w:shd w:val="clear" w:color="auto" w:fill="FFFFFF"/>
        </w:rPr>
        <w:t>,增加0.00</w:t>
      </w:r>
      <w:r>
        <w:rPr>
          <w:rFonts w:ascii="仿宋_GB2312" w:hAnsi="微软雅黑" w:eastAsia="仿宋_GB2312" w:cs="仿宋_GB2312"/>
          <w:sz w:val="31"/>
          <w:szCs w:val="31"/>
          <w:shd w:val="clear" w:color="auto" w:fill="FFFFFF"/>
        </w:rPr>
        <w:t>万元，</w:t>
      </w:r>
      <w:r>
        <w:rPr>
          <w:rFonts w:hint="eastAsia" w:ascii="仿宋_GB2312" w:hAnsi="微软雅黑" w:eastAsia="仿宋_GB2312" w:cs="仿宋_GB2312"/>
          <w:sz w:val="31"/>
          <w:szCs w:val="31"/>
          <w:shd w:val="clear" w:color="auto" w:fill="FFFFFF"/>
        </w:rPr>
        <w:t>增长0%</w:t>
      </w:r>
      <w:r>
        <w:rPr>
          <w:rFonts w:ascii="仿宋_GB2312" w:hAnsi="微软雅黑" w:eastAsia="仿宋_GB2312" w:cs="仿宋_GB2312"/>
          <w:sz w:val="31"/>
          <w:szCs w:val="31"/>
          <w:shd w:val="clear" w:color="auto" w:fill="FFFFFF"/>
        </w:rPr>
        <w:t>，主要原因是</w:t>
      </w:r>
      <w:r>
        <w:rPr>
          <w:rFonts w:hint="eastAsia" w:ascii="仿宋" w:hAnsi="仿宋" w:eastAsia="仿宋" w:cs="仿宋"/>
          <w:sz w:val="32"/>
          <w:szCs w:val="32"/>
        </w:rPr>
        <w:t>：</w:t>
      </w:r>
      <w:bookmarkStart w:id="1" w:name="_Hlk151197655"/>
      <w:r>
        <w:rPr>
          <w:rFonts w:hint="eastAsia" w:ascii="仿宋" w:hAnsi="仿宋" w:eastAsia="仿宋" w:cs="仿宋"/>
          <w:sz w:val="32"/>
          <w:szCs w:val="32"/>
        </w:rPr>
        <w:t>本部门2023年度无结余分配资金。</w:t>
      </w:r>
      <w:bookmarkEnd w:id="1"/>
    </w:p>
    <w:p>
      <w:pPr>
        <w:ind w:firstLine="640" w:firstLineChars="200"/>
        <w:jc w:val="left"/>
        <w:rPr>
          <w:rFonts w:ascii="仿宋" w:hAnsi="仿宋" w:eastAsia="仿宋" w:cs="仿宋"/>
          <w:sz w:val="32"/>
          <w:szCs w:val="32"/>
        </w:rPr>
      </w:pPr>
      <w:r>
        <w:rPr>
          <w:rFonts w:hint="eastAsia" w:ascii="仿宋" w:hAnsi="仿宋" w:eastAsia="仿宋" w:cs="仿宋"/>
          <w:sz w:val="32"/>
          <w:szCs w:val="32"/>
        </w:rPr>
        <w:t>年末结转和结余</w:t>
      </w:r>
      <w:r>
        <w:rPr>
          <w:rFonts w:ascii="仿宋" w:hAnsi="仿宋" w:eastAsia="仿宋" w:cs="仿宋"/>
          <w:sz w:val="32"/>
        </w:rPr>
        <w:t>0.00</w:t>
      </w:r>
      <w:r>
        <w:rPr>
          <w:rFonts w:hint="eastAsia" w:ascii="仿宋" w:hAnsi="仿宋" w:eastAsia="仿宋" w:cs="仿宋"/>
          <w:sz w:val="32"/>
          <w:szCs w:val="32"/>
        </w:rPr>
        <w:t>万元，较2022年度决算数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，主要原因是：本部门无结余分配资金。</w:t>
      </w:r>
      <w:r>
        <w:rPr>
          <w:rFonts w:hint="eastAsia" w:ascii="仿宋" w:hAnsi="仿宋" w:eastAsia="仿宋" w:cs="仿宋"/>
          <w:sz w:val="32"/>
          <w:szCs w:val="32"/>
        </w:rPr>
        <w:drawing>
          <wp:inline distT="0" distB="0" distL="114300" distR="114300">
            <wp:extent cx="5229225" cy="2266950"/>
            <wp:effectExtent l="4445" t="4445" r="5080"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rPr>
      </w:pPr>
      <w:r>
        <w:rPr>
          <w:rFonts w:hint="eastAsia" w:ascii="黑体" w:hAnsi="黑体" w:eastAsia="黑体" w:cs="黑体"/>
          <w:sz w:val="32"/>
          <w:szCs w:val="32"/>
        </w:rPr>
        <w:t>二、2023 年度</w:t>
      </w:r>
      <w:bookmarkStart w:id="2" w:name="OLE_LINK1"/>
      <w:r>
        <w:rPr>
          <w:rFonts w:hint="eastAsia" w:ascii="黑体" w:hAnsi="黑体" w:eastAsia="黑体" w:cs="黑体"/>
          <w:sz w:val="32"/>
          <w:szCs w:val="32"/>
        </w:rPr>
        <w:t>一般公共预算财政拨款支出决算情况</w:t>
      </w:r>
      <w:bookmarkEnd w:id="2"/>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环江毛南族自治县第一幼儿园2023年度一般公共预算财政拨款支出</w:t>
      </w:r>
      <w:r>
        <w:rPr>
          <w:rFonts w:ascii="仿宋" w:hAnsi="仿宋" w:eastAsia="仿宋" w:cs="仿宋"/>
          <w:sz w:val="32"/>
          <w:szCs w:val="32"/>
        </w:rPr>
        <w:t>541.21</w:t>
      </w:r>
      <w:r>
        <w:rPr>
          <w:rFonts w:hint="eastAsia" w:ascii="仿宋" w:hAnsi="仿宋" w:eastAsia="仿宋" w:cs="仿宋"/>
          <w:sz w:val="32"/>
          <w:szCs w:val="32"/>
        </w:rPr>
        <w:t>万元，较2022年度决算数</w:t>
      </w:r>
      <w:r>
        <w:rPr>
          <w:rFonts w:hint="eastAsia" w:ascii="仿宋" w:hAnsi="仿宋" w:eastAsia="仿宋" w:cs="仿宋"/>
          <w:sz w:val="32"/>
        </w:rPr>
        <w:t>减少62.64</w:t>
      </w:r>
      <w:r>
        <w:rPr>
          <w:rFonts w:hint="eastAsia" w:ascii="仿宋" w:hAnsi="仿宋" w:eastAsia="仿宋" w:cs="仿宋"/>
          <w:sz w:val="32"/>
          <w:szCs w:val="32"/>
        </w:rPr>
        <w:t>万元，下降</w:t>
      </w:r>
      <w:r>
        <w:rPr>
          <w:rFonts w:hint="eastAsia" w:ascii="仿宋" w:hAnsi="仿宋" w:eastAsia="仿宋" w:cs="仿宋"/>
          <w:sz w:val="32"/>
        </w:rPr>
        <w:t>10.37</w:t>
      </w:r>
      <w:r>
        <w:rPr>
          <w:rFonts w:ascii="仿宋" w:hAnsi="仿宋" w:eastAsia="仿宋" w:cs="仿宋"/>
          <w:sz w:val="32"/>
        </w:rPr>
        <w:t>%</w:t>
      </w:r>
      <w:r>
        <w:rPr>
          <w:rFonts w:hint="eastAsia" w:ascii="仿宋" w:hAnsi="仿宋" w:eastAsia="仿宋" w:cs="仿宋"/>
          <w:sz w:val="32"/>
          <w:szCs w:val="32"/>
        </w:rPr>
        <w:t>。其中：基本支出</w:t>
      </w:r>
      <w:r>
        <w:rPr>
          <w:rFonts w:ascii="仿宋" w:hAnsi="仿宋" w:eastAsia="仿宋" w:cs="仿宋"/>
          <w:sz w:val="32"/>
        </w:rPr>
        <w:t>380.86</w:t>
      </w:r>
      <w:r>
        <w:rPr>
          <w:rFonts w:hint="eastAsia" w:ascii="仿宋" w:hAnsi="仿宋" w:eastAsia="仿宋" w:cs="仿宋"/>
          <w:sz w:val="32"/>
          <w:szCs w:val="32"/>
        </w:rPr>
        <w:t>万元，项目支出</w:t>
      </w:r>
      <w:r>
        <w:rPr>
          <w:rFonts w:ascii="仿宋" w:hAnsi="仿宋" w:eastAsia="仿宋" w:cs="仿宋"/>
          <w:sz w:val="32"/>
        </w:rPr>
        <w:t>160.35</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环江毛南族自治县第一幼儿园2023 年度一般公共预算财政拨款支出年初预算为490.40万元，支出决算为</w:t>
      </w:r>
      <w:r>
        <w:rPr>
          <w:rFonts w:ascii="仿宋" w:hAnsi="仿宋" w:eastAsia="仿宋" w:cs="仿宋"/>
          <w:sz w:val="32"/>
          <w:szCs w:val="32"/>
        </w:rPr>
        <w:t>541.21</w:t>
      </w:r>
      <w:r>
        <w:rPr>
          <w:rFonts w:hint="eastAsia" w:ascii="仿宋" w:hAnsi="仿宋" w:eastAsia="仿宋" w:cs="仿宋"/>
          <w:sz w:val="32"/>
          <w:szCs w:val="32"/>
        </w:rPr>
        <w:t>万元，完成年初预算的</w:t>
      </w:r>
      <w:r>
        <w:rPr>
          <w:rFonts w:hint="eastAsia" w:ascii="仿宋" w:hAnsi="仿宋" w:eastAsia="仿宋" w:cs="仿宋"/>
          <w:sz w:val="32"/>
        </w:rPr>
        <w:t>110.36</w:t>
      </w:r>
      <w:r>
        <w:rPr>
          <w:rFonts w:ascii="仿宋" w:hAnsi="仿宋" w:eastAsia="仿宋" w:cs="仿宋"/>
          <w:sz w:val="32"/>
        </w:rPr>
        <w:t>%</w:t>
      </w:r>
      <w:r>
        <w:rPr>
          <w:rFonts w:hint="eastAsia" w:ascii="仿宋" w:hAnsi="仿宋" w:eastAsia="仿宋" w:cs="仿宋"/>
          <w:sz w:val="32"/>
          <w:szCs w:val="32"/>
        </w:rPr>
        <w:t>。</w:t>
      </w:r>
      <w:bookmarkStart w:id="3" w:name="OLE_LINK2"/>
      <w:bookmarkEnd w:id="3"/>
    </w:p>
    <w:p>
      <w:pPr>
        <w:numPr>
          <w:ilvl w:val="0"/>
          <w:numId w:val="1"/>
        </w:numPr>
        <w:jc w:val="left"/>
        <w:rPr>
          <w:rFonts w:eastAsia="仿宋"/>
        </w:rPr>
      </w:pPr>
      <w:r>
        <w:rPr>
          <w:rFonts w:hint="eastAsia" w:ascii="仿宋" w:hAnsi="仿宋" w:eastAsia="仿宋"/>
          <w:sz w:val="32"/>
          <w:szCs w:val="32"/>
        </w:rPr>
        <w:t>一般公共服务支出</w:t>
      </w:r>
      <w:r>
        <w:rPr>
          <w:rFonts w:ascii="仿宋" w:hAnsi="仿宋" w:eastAsia="仿宋"/>
          <w:sz w:val="32"/>
        </w:rPr>
        <w:t>（201</w:t>
      </w:r>
      <w:r>
        <w:rPr>
          <w:rFonts w:hint="eastAsia" w:ascii="仿宋" w:hAnsi="仿宋" w:eastAsia="仿宋"/>
          <w:sz w:val="32"/>
          <w:szCs w:val="32"/>
        </w:rPr>
        <w:t>类）年初预算为</w:t>
      </w:r>
      <w:r>
        <w:rPr>
          <w:rFonts w:ascii="仿宋" w:hAnsi="仿宋" w:eastAsia="仿宋"/>
          <w:sz w:val="32"/>
          <w:szCs w:val="32"/>
        </w:rPr>
        <w:t>4.6</w:t>
      </w:r>
      <w:r>
        <w:rPr>
          <w:rFonts w:hint="eastAsia" w:ascii="仿宋" w:hAnsi="仿宋" w:eastAsia="仿宋"/>
          <w:sz w:val="32"/>
          <w:szCs w:val="32"/>
          <w:lang w:val="en-US" w:eastAsia="zh-CN"/>
        </w:rPr>
        <w:t>3</w:t>
      </w:r>
      <w:r>
        <w:rPr>
          <w:rFonts w:hint="eastAsia" w:ascii="仿宋" w:hAnsi="仿宋" w:eastAsia="仿宋"/>
          <w:sz w:val="32"/>
          <w:szCs w:val="32"/>
        </w:rPr>
        <w:t>万元，支出决算为</w:t>
      </w:r>
      <w:r>
        <w:rPr>
          <w:rFonts w:ascii="仿宋" w:hAnsi="仿宋" w:eastAsia="仿宋"/>
          <w:sz w:val="32"/>
          <w:szCs w:val="32"/>
        </w:rPr>
        <w:t>4.6</w:t>
      </w:r>
      <w:r>
        <w:rPr>
          <w:rFonts w:hint="eastAsia" w:ascii="仿宋" w:hAnsi="仿宋" w:eastAsia="仿宋"/>
          <w:sz w:val="32"/>
          <w:szCs w:val="32"/>
          <w:lang w:val="en-US" w:eastAsia="zh-CN"/>
        </w:rPr>
        <w:t>3</w:t>
      </w:r>
      <w:r>
        <w:rPr>
          <w:rFonts w:hint="eastAsia" w:ascii="仿宋" w:hAnsi="仿宋" w:eastAsia="仿宋"/>
          <w:sz w:val="32"/>
          <w:szCs w:val="32"/>
        </w:rPr>
        <w:t>万元，完成年初预算的100</w:t>
      </w:r>
      <w:r>
        <w:rPr>
          <w:rFonts w:ascii="仿宋" w:hAnsi="仿宋" w:eastAsia="仿宋"/>
          <w:sz w:val="32"/>
          <w:szCs w:val="32"/>
        </w:rPr>
        <w:t>%</w:t>
      </w:r>
      <w:r>
        <w:rPr>
          <w:rFonts w:hint="eastAsia" w:ascii="仿宋" w:hAnsi="仿宋" w:eastAsia="仿宋"/>
          <w:sz w:val="32"/>
          <w:szCs w:val="32"/>
        </w:rPr>
        <w:t>。预决算存无差异</w:t>
      </w:r>
      <w:r>
        <w:rPr>
          <w:rFonts w:hint="eastAsia" w:ascii="仿宋" w:hAnsi="仿宋" w:eastAsia="仿宋" w:cs="仿宋"/>
          <w:sz w:val="32"/>
          <w:szCs w:val="32"/>
        </w:rPr>
        <w:t>。</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rPr>
              <w:t>4.</w:t>
            </w:r>
            <w:r>
              <w:rPr>
                <w:rFonts w:hint="eastAsia" w:ascii="宋体" w:hAnsi="宋体" w:eastAsia="宋体" w:cs="宋体"/>
                <w:sz w:val="18"/>
                <w:szCs w:val="18"/>
                <w:lang w:val="en-US" w:eastAsia="zh-CN"/>
              </w:rPr>
              <w:t>63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4.6</w:t>
            </w:r>
            <w:r>
              <w:rPr>
                <w:rFonts w:hint="eastAsia" w:ascii="宋体" w:hAnsi="宋体" w:eastAsia="宋体" w:cs="宋体"/>
                <w:sz w:val="18"/>
                <w:szCs w:val="18"/>
                <w:lang w:val="en-US" w:eastAsia="zh-CN"/>
              </w:rPr>
              <w:t>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工会活动经费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无差异</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rPr>
              <w:t>4.</w:t>
            </w:r>
            <w:r>
              <w:rPr>
                <w:rFonts w:hint="eastAsia" w:ascii="宋体" w:hAnsi="宋体" w:eastAsia="宋体" w:cs="宋体"/>
                <w:sz w:val="18"/>
                <w:szCs w:val="18"/>
                <w:lang w:val="en-US" w:eastAsia="zh-CN"/>
              </w:rPr>
              <w:t>63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4.6</w:t>
            </w:r>
            <w:r>
              <w:rPr>
                <w:rFonts w:hint="eastAsia" w:ascii="宋体" w:hAnsi="宋体" w:eastAsia="宋体" w:cs="宋体"/>
                <w:sz w:val="18"/>
                <w:szCs w:val="18"/>
                <w:lang w:val="en-US" w:eastAsia="zh-CN"/>
              </w:rPr>
              <w:t>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工会活动经费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无差异</w:t>
            </w: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numPr>
          <w:ilvl w:val="0"/>
          <w:numId w:val="1"/>
        </w:numPr>
        <w:jc w:val="left"/>
        <w:rPr>
          <w:rFonts w:eastAsia="仿宋"/>
        </w:rPr>
      </w:pPr>
      <w:r>
        <w:rPr>
          <w:rFonts w:hint="eastAsia" w:ascii="仿宋" w:hAnsi="仿宋" w:eastAsia="仿宋"/>
          <w:sz w:val="32"/>
          <w:szCs w:val="32"/>
        </w:rPr>
        <w:t>教育支出</w:t>
      </w:r>
      <w:r>
        <w:rPr>
          <w:rFonts w:ascii="仿宋" w:hAnsi="仿宋" w:eastAsia="仿宋"/>
          <w:sz w:val="32"/>
        </w:rPr>
        <w:t>（205</w:t>
      </w:r>
      <w:r>
        <w:rPr>
          <w:rFonts w:hint="eastAsia" w:ascii="仿宋" w:hAnsi="仿宋" w:eastAsia="仿宋"/>
          <w:sz w:val="32"/>
          <w:szCs w:val="32"/>
        </w:rPr>
        <w:t>类）年初预算为407.39万元，支出决算为</w:t>
      </w:r>
      <w:r>
        <w:rPr>
          <w:rFonts w:ascii="仿宋" w:hAnsi="仿宋" w:eastAsia="仿宋"/>
          <w:sz w:val="32"/>
          <w:szCs w:val="32"/>
        </w:rPr>
        <w:t>430.27</w:t>
      </w:r>
      <w:r>
        <w:rPr>
          <w:rFonts w:hint="eastAsia" w:ascii="仿宋" w:hAnsi="仿宋" w:eastAsia="仿宋"/>
          <w:sz w:val="32"/>
          <w:szCs w:val="32"/>
        </w:rPr>
        <w:t>万元，完成年初预算的105.62</w:t>
      </w:r>
      <w:r>
        <w:rPr>
          <w:rFonts w:ascii="仿宋" w:hAnsi="仿宋" w:eastAsia="仿宋"/>
          <w:sz w:val="32"/>
          <w:szCs w:val="32"/>
        </w:rPr>
        <w:t>%</w:t>
      </w:r>
      <w:r>
        <w:rPr>
          <w:rFonts w:hint="eastAsia" w:ascii="仿宋" w:hAnsi="仿宋" w:eastAsia="仿宋"/>
          <w:sz w:val="32"/>
          <w:szCs w:val="32"/>
        </w:rPr>
        <w:t>。预决算存有差异原因是：</w:t>
      </w:r>
      <w:r>
        <w:rPr>
          <w:rFonts w:hint="eastAsia" w:ascii="仿宋" w:hAnsi="仿宋" w:eastAsia="仿宋" w:cs="仿宋"/>
          <w:sz w:val="32"/>
          <w:szCs w:val="32"/>
        </w:rPr>
        <w:t>调整工资标准，支出增加。</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jc w:val="right"/>
              <w:rPr>
                <w:rFonts w:ascii="楷体_GB2312" w:hAnsi="宋体" w:eastAsia="楷体_GB2312" w:cs="宋体"/>
                <w:sz w:val="18"/>
                <w:szCs w:val="18"/>
              </w:rPr>
            </w:pPr>
            <w:r>
              <w:rPr>
                <w:rFonts w:hint="eastAsia" w:ascii="楷体_GB2312" w:eastAsia="楷体_GB2312"/>
                <w:sz w:val="18"/>
                <w:szCs w:val="18"/>
              </w:rPr>
              <w:t>407.39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jc w:val="right"/>
              <w:rPr>
                <w:rFonts w:ascii="楷体_GB2312" w:hAnsi="宋体" w:eastAsia="楷体_GB2312" w:cs="宋体"/>
                <w:sz w:val="18"/>
                <w:szCs w:val="18"/>
              </w:rPr>
            </w:pPr>
            <w:r>
              <w:rPr>
                <w:rFonts w:hint="eastAsia" w:ascii="楷体_GB2312" w:eastAsia="楷体_GB2312"/>
                <w:sz w:val="18"/>
                <w:szCs w:val="18"/>
              </w:rPr>
              <w:t>429.71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105.48%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人员</w:t>
            </w:r>
            <w:r>
              <w:rPr>
                <w:rFonts w:hint="eastAsia" w:ascii="仿宋" w:hAnsi="仿宋" w:eastAsia="仿宋" w:cs="仿宋"/>
                <w:szCs w:val="21"/>
                <w:lang w:val="en-US" w:eastAsia="zh-CN"/>
              </w:rPr>
              <w:t>工资福利及</w:t>
            </w:r>
            <w:r>
              <w:rPr>
                <w:rFonts w:hint="eastAsia" w:ascii="仿宋" w:hAnsi="仿宋" w:eastAsia="仿宋" w:cs="仿宋"/>
                <w:szCs w:val="21"/>
              </w:rPr>
              <w:t>，商品服务支出。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 w:val="18"/>
                <w:szCs w:val="18"/>
              </w:rPr>
              <w:t>调整工资标准，支出增加。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仿宋_GB2312" w:hAnsi="宋体" w:eastAsia="仿宋_GB2312" w:cs="宋体"/>
                <w:sz w:val="18"/>
                <w:szCs w:val="18"/>
              </w:rPr>
            </w:pPr>
            <w:r>
              <w:rPr>
                <w:rFonts w:hint="eastAsia" w:ascii="仿宋_GB2312" w:hAnsi="宋体" w:eastAsia="仿宋_GB2312" w:cs="宋体"/>
                <w:sz w:val="18"/>
                <w:szCs w:val="18"/>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仿宋_GB2312" w:hAnsi="宋体" w:eastAsia="仿宋_GB2312" w:cs="宋体"/>
                <w:sz w:val="18"/>
                <w:szCs w:val="18"/>
              </w:rPr>
            </w:pPr>
            <w:r>
              <w:rPr>
                <w:rFonts w:hint="eastAsia" w:ascii="仿宋_GB2312" w:hAnsi="宋体" w:eastAsia="仿宋_GB2312" w:cs="宋体"/>
                <w:sz w:val="18"/>
                <w:szCs w:val="18"/>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jc w:val="right"/>
              <w:rPr>
                <w:rFonts w:ascii="仿宋_GB2312" w:hAnsi="宋体" w:eastAsia="仿宋_GB2312" w:cs="宋体"/>
                <w:sz w:val="18"/>
                <w:szCs w:val="18"/>
              </w:rPr>
            </w:pPr>
            <w:r>
              <w:rPr>
                <w:rFonts w:hint="eastAsia" w:ascii="仿宋_GB2312" w:eastAsia="仿宋_GB2312"/>
                <w:sz w:val="18"/>
                <w:szCs w:val="18"/>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jc w:val="right"/>
              <w:rPr>
                <w:rFonts w:ascii="仿宋_GB2312" w:hAnsi="宋体" w:eastAsia="仿宋_GB2312" w:cs="宋体"/>
                <w:sz w:val="18"/>
                <w:szCs w:val="18"/>
              </w:rPr>
            </w:pPr>
            <w:r>
              <w:rPr>
                <w:rFonts w:hint="eastAsia" w:ascii="仿宋_GB2312" w:eastAsia="仿宋_GB2312"/>
                <w:sz w:val="18"/>
                <w:szCs w:val="18"/>
              </w:rPr>
              <w:t>0.56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_GB2312" w:hAnsi="宋体" w:eastAsia="仿宋_GB2312" w:cs="宋体"/>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_GB2312" w:hAnsi="宋体" w:eastAsia="仿宋_GB2312"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_GB2312" w:hAnsi="宋体" w:eastAsia="仿宋_GB2312" w:cs="宋体"/>
                <w:sz w:val="18"/>
                <w:szCs w:val="18"/>
              </w:rPr>
            </w:pPr>
            <w:r>
              <w:rPr>
                <w:rFonts w:hint="eastAsia" w:ascii="仿宋" w:hAnsi="仿宋" w:eastAsia="仿宋" w:cs="仿宋"/>
                <w:sz w:val="18"/>
                <w:szCs w:val="18"/>
              </w:rPr>
              <w:t>此部分资金每年上级部门都做有预算，直接下达，本部门无需做预算</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楷体_GB2312" w:eastAsia="楷体_GB2312"/>
                <w:sz w:val="18"/>
                <w:szCs w:val="18"/>
              </w:rPr>
              <w:t>407.39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430.27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lang w:val="en-US" w:eastAsia="zh-CN"/>
              </w:rPr>
            </w:pPr>
            <w:r>
              <w:rPr>
                <w:rFonts w:hint="eastAsia" w:ascii="宋体" w:hAnsi="宋体" w:eastAsia="宋体" w:cs="宋体"/>
                <w:sz w:val="18"/>
                <w:szCs w:val="18"/>
              </w:rPr>
              <w:t>105.62</w:t>
            </w:r>
            <w:r>
              <w:rPr>
                <w:rFonts w:hint="eastAsia" w:ascii="宋体" w:hAnsi="宋体" w:eastAsia="宋体" w:cs="宋体"/>
                <w:sz w:val="18"/>
                <w:szCs w:val="18"/>
                <w:lang w:val="en-US" w:eastAsia="zh-CN"/>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jc w:val="left"/>
        <w:rPr>
          <w:rFonts w:ascii="仿宋" w:hAnsi="仿宋" w:eastAsia="仿宋"/>
          <w:sz w:val="32"/>
          <w:szCs w:val="32"/>
        </w:rPr>
      </w:pPr>
    </w:p>
    <w:p>
      <w:pPr>
        <w:jc w:val="center"/>
        <w:rPr>
          <w:rFonts w:ascii="仿宋" w:hAnsi="仿宋" w:eastAsia="仿宋"/>
          <w:sz w:val="32"/>
          <w:szCs w:val="32"/>
        </w:rPr>
      </w:pPr>
      <w:r>
        <w:drawing>
          <wp:inline distT="0" distB="0" distL="114300" distR="114300">
            <wp:extent cx="4581525" cy="3028950"/>
            <wp:effectExtent l="4445" t="4445" r="5080" b="14605"/>
            <wp:docPr id="105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numPr>
          <w:ilvl w:val="0"/>
          <w:numId w:val="1"/>
        </w:numPr>
        <w:jc w:val="left"/>
        <w:rPr>
          <w:rFonts w:eastAsia="仿宋"/>
        </w:rPr>
      </w:pPr>
      <w:r>
        <w:rPr>
          <w:rFonts w:hint="eastAsia" w:ascii="仿宋" w:hAnsi="仿宋" w:eastAsia="仿宋"/>
          <w:sz w:val="32"/>
          <w:szCs w:val="32"/>
        </w:rPr>
        <w:t>社会保障和就业支出</w:t>
      </w:r>
      <w:r>
        <w:rPr>
          <w:rFonts w:ascii="仿宋" w:hAnsi="仿宋" w:eastAsia="仿宋"/>
          <w:sz w:val="32"/>
        </w:rPr>
        <w:t>（208</w:t>
      </w:r>
      <w:r>
        <w:rPr>
          <w:rFonts w:hint="eastAsia" w:ascii="仿宋" w:hAnsi="仿宋" w:eastAsia="仿宋"/>
          <w:sz w:val="32"/>
          <w:szCs w:val="32"/>
        </w:rPr>
        <w:t>类）年初预算为38.42万元，支出决算为</w:t>
      </w:r>
      <w:r>
        <w:rPr>
          <w:rFonts w:ascii="仿宋" w:hAnsi="仿宋" w:eastAsia="仿宋"/>
          <w:sz w:val="32"/>
          <w:szCs w:val="32"/>
        </w:rPr>
        <w:t>35.69</w:t>
      </w:r>
      <w:r>
        <w:rPr>
          <w:rFonts w:hint="eastAsia" w:ascii="仿宋" w:hAnsi="仿宋" w:eastAsia="仿宋"/>
          <w:sz w:val="32"/>
          <w:szCs w:val="32"/>
        </w:rPr>
        <w:t>万元，完成年初预算的92.89</w:t>
      </w:r>
      <w:r>
        <w:rPr>
          <w:rFonts w:ascii="仿宋" w:hAnsi="仿宋" w:eastAsia="仿宋"/>
          <w:sz w:val="32"/>
          <w:szCs w:val="32"/>
        </w:rPr>
        <w:t>%</w:t>
      </w:r>
      <w:r>
        <w:rPr>
          <w:rFonts w:hint="eastAsia" w:ascii="仿宋" w:hAnsi="仿宋" w:eastAsia="仿宋"/>
          <w:sz w:val="32"/>
          <w:szCs w:val="32"/>
        </w:rPr>
        <w:t>。预决算存有差异原因是：</w:t>
      </w:r>
      <w:r>
        <w:rPr>
          <w:rFonts w:hint="eastAsia" w:ascii="仿宋" w:hAnsi="仿宋" w:eastAsia="仿宋" w:cs="仿宋"/>
          <w:sz w:val="32"/>
          <w:szCs w:val="32"/>
        </w:rPr>
        <w:t>年初预算缴费基数过高。</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38.42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35.69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92.89%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教职工基本养老保险缴费支出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bookmarkStart w:id="4" w:name="_Hlk151198286"/>
            <w:r>
              <w:rPr>
                <w:rFonts w:hint="eastAsia" w:ascii="仿宋" w:hAnsi="仿宋" w:eastAsia="仿宋" w:cs="仿宋"/>
                <w:sz w:val="18"/>
                <w:szCs w:val="18"/>
              </w:rPr>
              <w:t>年初预算缴费基数过高。</w:t>
            </w:r>
            <w:bookmarkEnd w:id="4"/>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38.42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35.69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92.89%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jc w:val="left"/>
        <w:rPr>
          <w:rFonts w:ascii="仿宋" w:hAnsi="仿宋" w:eastAsia="仿宋"/>
          <w:sz w:val="32"/>
          <w:szCs w:val="32"/>
        </w:rPr>
      </w:pPr>
    </w:p>
    <w:p>
      <w:pPr>
        <w:jc w:val="center"/>
        <w:rPr>
          <w:rFonts w:ascii="仿宋" w:hAnsi="仿宋" w:eastAsia="仿宋"/>
          <w:sz w:val="32"/>
          <w:szCs w:val="32"/>
        </w:rPr>
      </w:pPr>
      <w:r>
        <w:drawing>
          <wp:inline distT="0" distB="0" distL="114300" distR="114300">
            <wp:extent cx="4581525" cy="3028950"/>
            <wp:effectExtent l="4445" t="4445" r="5080" b="14605"/>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numPr>
          <w:ilvl w:val="0"/>
          <w:numId w:val="1"/>
        </w:numPr>
        <w:jc w:val="left"/>
        <w:rPr>
          <w:rFonts w:eastAsia="仿宋"/>
        </w:rPr>
      </w:pPr>
      <w:r>
        <w:rPr>
          <w:rFonts w:hint="eastAsia" w:ascii="仿宋" w:hAnsi="仿宋" w:eastAsia="仿宋"/>
          <w:sz w:val="32"/>
          <w:szCs w:val="32"/>
        </w:rPr>
        <w:t>住房保障支出</w:t>
      </w:r>
      <w:r>
        <w:rPr>
          <w:rFonts w:ascii="仿宋" w:hAnsi="仿宋" w:eastAsia="仿宋"/>
          <w:sz w:val="32"/>
        </w:rPr>
        <w:t>（221</w:t>
      </w:r>
      <w:r>
        <w:rPr>
          <w:rFonts w:hint="eastAsia" w:ascii="仿宋" w:hAnsi="仿宋" w:eastAsia="仿宋"/>
          <w:sz w:val="32"/>
          <w:szCs w:val="32"/>
        </w:rPr>
        <w:t>类）年初预算为28.82万元，支出决算为</w:t>
      </w:r>
      <w:r>
        <w:rPr>
          <w:rFonts w:ascii="仿宋" w:hAnsi="仿宋" w:eastAsia="仿宋"/>
          <w:sz w:val="32"/>
          <w:szCs w:val="32"/>
        </w:rPr>
        <w:t>26.52</w:t>
      </w:r>
      <w:r>
        <w:rPr>
          <w:rFonts w:hint="eastAsia" w:ascii="仿宋" w:hAnsi="仿宋" w:eastAsia="仿宋"/>
          <w:sz w:val="32"/>
          <w:szCs w:val="32"/>
        </w:rPr>
        <w:t>万元，完成年初预算的92.02</w:t>
      </w:r>
      <w:r>
        <w:rPr>
          <w:rFonts w:ascii="仿宋" w:hAnsi="仿宋" w:eastAsia="仿宋"/>
          <w:sz w:val="32"/>
          <w:szCs w:val="32"/>
        </w:rPr>
        <w:t>%</w:t>
      </w:r>
      <w:r>
        <w:rPr>
          <w:rFonts w:hint="eastAsia" w:ascii="仿宋" w:hAnsi="仿宋" w:eastAsia="仿宋"/>
          <w:sz w:val="32"/>
          <w:szCs w:val="32"/>
        </w:rPr>
        <w:t>。预决算存有差异原因是：</w:t>
      </w:r>
      <w:r>
        <w:rPr>
          <w:rFonts w:hint="eastAsia" w:ascii="仿宋" w:hAnsi="仿宋" w:eastAsia="仿宋" w:cs="仿宋"/>
          <w:sz w:val="32"/>
          <w:szCs w:val="32"/>
        </w:rPr>
        <w:t>年初预算缴费基数过高。</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28.82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26.52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92.02%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教职工住房公积金支出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 w:val="18"/>
                <w:szCs w:val="18"/>
              </w:rPr>
              <w:t>年初预算缴费基数过高。</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28.82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26.52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92.02%</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jc w:val="left"/>
        <w:rPr>
          <w:rFonts w:ascii="仿宋" w:hAnsi="仿宋" w:eastAsia="仿宋"/>
          <w:sz w:val="32"/>
          <w:szCs w:val="32"/>
        </w:rPr>
      </w:pPr>
    </w:p>
    <w:p>
      <w:pPr>
        <w:jc w:val="center"/>
        <w:rPr>
          <w:rFonts w:ascii="仿宋" w:hAnsi="仿宋" w:eastAsia="仿宋"/>
          <w:sz w:val="32"/>
          <w:szCs w:val="32"/>
        </w:rPr>
      </w:pPr>
      <w:r>
        <w:drawing>
          <wp:inline distT="0" distB="0" distL="114300" distR="114300">
            <wp:extent cx="4581525" cy="2172335"/>
            <wp:effectExtent l="5080" t="4445" r="4445" b="13970"/>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numPr>
          <w:ilvl w:val="0"/>
          <w:numId w:val="1"/>
        </w:numPr>
        <w:jc w:val="left"/>
        <w:rPr>
          <w:rFonts w:eastAsia="仿宋"/>
        </w:rPr>
      </w:pPr>
      <w:r>
        <w:rPr>
          <w:rFonts w:hint="eastAsia" w:ascii="仿宋" w:hAnsi="仿宋" w:eastAsia="仿宋"/>
          <w:sz w:val="32"/>
          <w:szCs w:val="32"/>
        </w:rPr>
        <w:t>其他支出</w:t>
      </w:r>
      <w:r>
        <w:rPr>
          <w:rFonts w:ascii="仿宋" w:hAnsi="仿宋" w:eastAsia="仿宋"/>
          <w:sz w:val="32"/>
        </w:rPr>
        <w:t>（229</w:t>
      </w:r>
      <w:r>
        <w:rPr>
          <w:rFonts w:hint="eastAsia" w:ascii="仿宋" w:hAnsi="仿宋" w:eastAsia="仿宋"/>
          <w:sz w:val="32"/>
          <w:szCs w:val="32"/>
        </w:rPr>
        <w:t>类）年初预算为</w:t>
      </w:r>
      <w:r>
        <w:rPr>
          <w:rFonts w:ascii="仿宋" w:hAnsi="仿宋" w:eastAsia="仿宋"/>
          <w:sz w:val="32"/>
          <w:szCs w:val="32"/>
        </w:rPr>
        <w:t>0.00</w:t>
      </w:r>
      <w:r>
        <w:rPr>
          <w:rFonts w:hint="eastAsia" w:ascii="仿宋" w:hAnsi="仿宋" w:eastAsia="仿宋"/>
          <w:sz w:val="32"/>
          <w:szCs w:val="32"/>
        </w:rPr>
        <w:t>万元，支出决算为</w:t>
      </w:r>
      <w:r>
        <w:rPr>
          <w:rFonts w:ascii="仿宋" w:hAnsi="仿宋" w:eastAsia="仿宋"/>
          <w:sz w:val="32"/>
          <w:szCs w:val="32"/>
        </w:rPr>
        <w:t>44.1</w:t>
      </w:r>
      <w:r>
        <w:rPr>
          <w:rFonts w:hint="eastAsia" w:ascii="仿宋" w:hAnsi="仿宋" w:eastAsia="仿宋"/>
          <w:sz w:val="32"/>
          <w:szCs w:val="32"/>
        </w:rPr>
        <w:t>0万元。预决算存有差异原因是：</w:t>
      </w:r>
      <w:r>
        <w:rPr>
          <w:rFonts w:hint="eastAsia" w:ascii="仿宋" w:hAnsi="仿宋" w:eastAsia="仿宋" w:cs="仿宋"/>
          <w:sz w:val="32"/>
          <w:szCs w:val="32"/>
        </w:rPr>
        <w:t>此部分资金每年上级部门都做有预算，直接下达，本部门无需做预算。</w:t>
      </w:r>
    </w:p>
    <w:p>
      <w:pPr>
        <w:jc w:val="left"/>
        <w:rPr>
          <w:rFonts w:ascii="仿宋" w:hAnsi="仿宋" w:eastAsia="仿宋"/>
          <w:sz w:val="32"/>
          <w:szCs w:val="32"/>
        </w:rPr>
      </w:pPr>
      <w:r>
        <w:rPr>
          <w:rFonts w:hint="eastAsia" w:ascii="仿宋" w:hAnsi="仿宋" w:eastAsia="仿宋"/>
          <w:sz w:val="32"/>
          <w:szCs w:val="32"/>
        </w:rPr>
        <w:t>支出具体情况如下：</w:t>
      </w:r>
    </w:p>
    <w:tbl>
      <w:tblPr>
        <w:tblStyle w:val="7"/>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原因</w:t>
            </w:r>
          </w:p>
        </w:tc>
      </w:tr>
      <w:tr>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44.10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仿宋" w:hAnsi="仿宋" w:eastAsia="仿宋" w:cs="仿宋"/>
                <w:szCs w:val="21"/>
              </w:rPr>
              <w:t>其他人员工资福利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仿宋_GB2312" w:hAnsi="宋体" w:eastAsia="仿宋_GB2312" w:cs="宋体"/>
                <w:sz w:val="18"/>
                <w:szCs w:val="18"/>
              </w:rPr>
            </w:pPr>
            <w:r>
              <w:rPr>
                <w:rFonts w:hint="eastAsia" w:ascii="仿宋" w:hAnsi="仿宋" w:eastAsia="仿宋" w:cs="仿宋"/>
                <w:szCs w:val="21"/>
              </w:rPr>
              <w:t>此部分资金每年上级部门都做有预算，直接下达，本部门无需做预算</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r>
              <w:rPr>
                <w:rFonts w:hint="eastAsia" w:ascii="宋体" w:hAnsi="宋体" w:eastAsia="宋体" w:cs="宋体"/>
                <w:sz w:val="18"/>
                <w:szCs w:val="18"/>
              </w:rPr>
              <w:t>44.10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ascii="宋体" w:hAnsi="宋体" w:eastAsia="宋体" w:cs="宋体"/>
                <w:sz w:val="18"/>
                <w:szCs w:val="18"/>
              </w:rPr>
            </w:pPr>
          </w:p>
        </w:tc>
      </w:tr>
    </w:tbl>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cs="仿宋"/>
          <w:sz w:val="32"/>
          <w:szCs w:val="32"/>
        </w:rPr>
        <w:drawing>
          <wp:inline distT="0" distB="0" distL="114300" distR="114300">
            <wp:extent cx="4474845" cy="3215640"/>
            <wp:effectExtent l="4445" t="4445" r="16510" b="5715"/>
            <wp:docPr id="1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rPr>
      </w:pPr>
      <w:r>
        <w:rPr>
          <w:rFonts w:hint="eastAsia" w:ascii="黑体" w:hAnsi="黑体" w:eastAsia="黑体" w:cs="黑体"/>
          <w:sz w:val="32"/>
          <w:szCs w:val="32"/>
        </w:rPr>
        <w:t>三、2023年度一般公共预算财政拨款基本支出决算情况说明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环江毛南族自治县第一幼儿园2023年度一般公共预算财政拨款基本支出</w:t>
      </w:r>
      <w:r>
        <w:rPr>
          <w:rFonts w:ascii="仿宋" w:hAnsi="仿宋" w:eastAsia="仿宋" w:cs="仿宋"/>
          <w:sz w:val="32"/>
        </w:rPr>
        <w:t>380.86</w:t>
      </w:r>
      <w:r>
        <w:rPr>
          <w:rFonts w:hint="eastAsia" w:ascii="仿宋" w:hAnsi="仿宋" w:eastAsia="仿宋" w:cs="仿宋"/>
          <w:sz w:val="32"/>
          <w:szCs w:val="32"/>
        </w:rPr>
        <w:t>万元，</w:t>
      </w:r>
      <w:r>
        <w:rPr>
          <w:rFonts w:ascii="仿宋_GB2312" w:hAnsi="微软雅黑" w:eastAsia="仿宋_GB2312" w:cs="仿宋_GB2312"/>
          <w:sz w:val="31"/>
          <w:szCs w:val="31"/>
          <w:shd w:val="clear" w:color="auto" w:fill="FFFFFF"/>
        </w:rPr>
        <w:t>其中：人员经费支出</w:t>
      </w:r>
      <w:r>
        <w:rPr>
          <w:rFonts w:ascii="仿宋" w:hAnsi="仿宋" w:eastAsia="仿宋" w:cs="仿宋"/>
          <w:sz w:val="32"/>
          <w:szCs w:val="32"/>
        </w:rPr>
        <w:t>376.2</w:t>
      </w:r>
      <w:r>
        <w:rPr>
          <w:rFonts w:hint="eastAsia" w:ascii="仿宋" w:hAnsi="仿宋" w:eastAsia="仿宋" w:cs="仿宋"/>
          <w:sz w:val="32"/>
          <w:szCs w:val="32"/>
        </w:rPr>
        <w:t>2</w:t>
      </w:r>
      <w:r>
        <w:rPr>
          <w:rFonts w:ascii="仿宋_GB2312" w:hAnsi="微软雅黑" w:eastAsia="仿宋_GB2312" w:cs="仿宋_GB2312"/>
          <w:sz w:val="31"/>
          <w:szCs w:val="31"/>
          <w:shd w:val="clear" w:color="auto" w:fill="FFFFFF"/>
        </w:rPr>
        <w:t>万元，公用经费支出</w:t>
      </w:r>
      <w:r>
        <w:rPr>
          <w:rFonts w:hint="eastAsia" w:ascii="仿宋" w:hAnsi="仿宋" w:eastAsia="仿宋" w:cs="仿宋"/>
          <w:sz w:val="32"/>
          <w:szCs w:val="32"/>
        </w:rPr>
        <w:t>4.6</w:t>
      </w:r>
      <w:r>
        <w:rPr>
          <w:rFonts w:hint="eastAsia" w:ascii="仿宋" w:hAnsi="仿宋" w:eastAsia="仿宋" w:cs="仿宋"/>
          <w:sz w:val="32"/>
          <w:szCs w:val="32"/>
          <w:lang w:val="en-US" w:eastAsia="zh-CN"/>
        </w:rPr>
        <w:t>3</w:t>
      </w:r>
      <w:r>
        <w:rPr>
          <w:rFonts w:ascii="仿宋_GB2312" w:hAnsi="微软雅黑" w:eastAsia="仿宋_GB2312" w:cs="仿宋_GB2312"/>
          <w:sz w:val="31"/>
          <w:szCs w:val="31"/>
          <w:shd w:val="clear" w:color="auto" w:fill="FFFFFF"/>
        </w:rPr>
        <w:t>万元，</w:t>
      </w:r>
      <w:r>
        <w:rPr>
          <w:rFonts w:hint="eastAsia" w:ascii="仿宋" w:hAnsi="仿宋" w:eastAsia="仿宋" w:cs="仿宋"/>
          <w:sz w:val="32"/>
          <w:szCs w:val="32"/>
        </w:rPr>
        <w:t>支出具体情况如下：</w:t>
      </w:r>
    </w:p>
    <w:p>
      <w:pPr>
        <w:numPr>
          <w:ilvl w:val="0"/>
          <w:numId w:val="2"/>
        </w:numPr>
        <w:jc w:val="left"/>
        <w:rPr>
          <w:rFonts w:ascii="仿宋" w:hAnsi="仿宋" w:eastAsia="仿宋" w:cs="仿宋"/>
          <w:sz w:val="32"/>
          <w:szCs w:val="32"/>
        </w:rPr>
      </w:pPr>
      <w:r>
        <w:rPr>
          <w:rFonts w:hint="eastAsia" w:ascii="仿宋" w:hAnsi="仿宋" w:eastAsia="仿宋" w:cs="仿宋"/>
          <w:sz w:val="32"/>
          <w:szCs w:val="32"/>
        </w:rPr>
        <w:t>工资福利支出</w:t>
      </w:r>
      <w:r>
        <w:rPr>
          <w:rFonts w:ascii="仿宋" w:hAnsi="仿宋" w:eastAsia="仿宋" w:cs="仿宋"/>
          <w:sz w:val="32"/>
        </w:rPr>
        <w:t>340.51万元，</w:t>
      </w:r>
      <w:r>
        <w:rPr>
          <w:rFonts w:ascii="仿宋_GB2312" w:hAnsi="微软雅黑" w:eastAsia="仿宋_GB2312" w:cs="仿宋_GB2312"/>
          <w:sz w:val="31"/>
          <w:szCs w:val="31"/>
          <w:shd w:val="clear" w:color="auto" w:fill="FFFFFF"/>
        </w:rPr>
        <w:t>完成年初预算</w:t>
      </w:r>
      <w:r>
        <w:rPr>
          <w:rFonts w:hint="eastAsia" w:ascii="仿宋_GB2312" w:hAnsi="微软雅黑" w:eastAsia="仿宋_GB2312" w:cs="仿宋_GB2312"/>
          <w:sz w:val="31"/>
          <w:szCs w:val="31"/>
          <w:shd w:val="clear" w:color="auto" w:fill="FFFFFF"/>
        </w:rPr>
        <w:t>303.82</w:t>
      </w:r>
      <w:r>
        <w:rPr>
          <w:rFonts w:ascii="仿宋_GB2312" w:hAnsi="微软雅黑" w:eastAsia="仿宋_GB2312" w:cs="仿宋_GB2312"/>
          <w:sz w:val="31"/>
          <w:szCs w:val="31"/>
          <w:shd w:val="clear" w:color="auto" w:fill="FFFFFF"/>
        </w:rPr>
        <w:t>的</w:t>
      </w:r>
      <w:r>
        <w:rPr>
          <w:rFonts w:hint="eastAsia" w:ascii="仿宋" w:hAnsi="仿宋" w:eastAsia="仿宋" w:cs="仿宋"/>
          <w:sz w:val="32"/>
          <w:szCs w:val="32"/>
        </w:rPr>
        <w:t>112.08%</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主要原因是：2023年度调整工资标准；职工五险一金基数调整。</w:t>
      </w:r>
    </w:p>
    <w:p>
      <w:pPr>
        <w:ind w:firstLine="640" w:firstLineChars="200"/>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：30101基本工资</w:t>
      </w:r>
      <w:r>
        <w:rPr>
          <w:rFonts w:ascii="仿宋" w:hAnsi="仿宋" w:eastAsia="仿宋" w:cs="仿宋"/>
          <w:sz w:val="32"/>
          <w:szCs w:val="32"/>
        </w:rPr>
        <w:t>110.85</w:t>
      </w:r>
      <w:r>
        <w:rPr>
          <w:rFonts w:hint="eastAsia" w:ascii="仿宋" w:hAnsi="仿宋" w:eastAsia="仿宋" w:cs="仿宋"/>
          <w:sz w:val="32"/>
          <w:szCs w:val="32"/>
        </w:rPr>
        <w:t>万元，30102津贴补贴</w:t>
      </w:r>
      <w:r>
        <w:rPr>
          <w:rFonts w:ascii="仿宋" w:hAnsi="仿宋" w:eastAsia="仿宋" w:cs="仿宋"/>
          <w:sz w:val="32"/>
          <w:szCs w:val="32"/>
        </w:rPr>
        <w:t>11.14</w:t>
      </w:r>
      <w:r>
        <w:rPr>
          <w:rFonts w:hint="eastAsia" w:ascii="仿宋" w:hAnsi="仿宋" w:eastAsia="仿宋" w:cs="仿宋"/>
          <w:sz w:val="32"/>
          <w:szCs w:val="32"/>
        </w:rPr>
        <w:t>万元，30103奖金</w:t>
      </w:r>
      <w:r>
        <w:rPr>
          <w:rFonts w:ascii="仿宋" w:hAnsi="仿宋" w:eastAsia="仿宋" w:cs="仿宋"/>
          <w:sz w:val="32"/>
          <w:szCs w:val="32"/>
        </w:rPr>
        <w:t>86.3</w:t>
      </w:r>
      <w:r>
        <w:rPr>
          <w:rFonts w:hint="eastAsia" w:ascii="仿宋" w:hAnsi="仿宋" w:eastAsia="仿宋" w:cs="仿宋"/>
          <w:sz w:val="32"/>
          <w:szCs w:val="32"/>
        </w:rPr>
        <w:t>万元，30107绩效工资</w:t>
      </w:r>
      <w:r>
        <w:rPr>
          <w:rFonts w:ascii="仿宋" w:hAnsi="仿宋" w:eastAsia="仿宋" w:cs="仿宋"/>
          <w:sz w:val="32"/>
          <w:szCs w:val="32"/>
        </w:rPr>
        <w:t>55.29</w:t>
      </w:r>
      <w:r>
        <w:rPr>
          <w:rFonts w:hint="eastAsia" w:ascii="仿宋" w:hAnsi="仿宋" w:eastAsia="仿宋" w:cs="仿宋"/>
          <w:sz w:val="32"/>
          <w:szCs w:val="32"/>
        </w:rPr>
        <w:t>万元，30108机关事业单位基本养老保险缴费</w:t>
      </w:r>
      <w:r>
        <w:rPr>
          <w:rFonts w:ascii="仿宋" w:hAnsi="仿宋" w:eastAsia="仿宋" w:cs="仿宋"/>
          <w:sz w:val="32"/>
          <w:szCs w:val="32"/>
        </w:rPr>
        <w:t>35.69</w:t>
      </w:r>
      <w:r>
        <w:rPr>
          <w:rFonts w:hint="eastAsia" w:ascii="仿宋" w:hAnsi="仿宋" w:eastAsia="仿宋" w:cs="仿宋"/>
          <w:sz w:val="32"/>
          <w:szCs w:val="32"/>
        </w:rPr>
        <w:t>万元，30110职工基本医疗保险缴费</w:t>
      </w:r>
      <w:r>
        <w:rPr>
          <w:rFonts w:ascii="仿宋" w:hAnsi="仿宋" w:eastAsia="仿宋" w:cs="仿宋"/>
          <w:sz w:val="32"/>
          <w:szCs w:val="32"/>
        </w:rPr>
        <w:t>12.95</w:t>
      </w:r>
      <w:r>
        <w:rPr>
          <w:rFonts w:hint="eastAsia" w:ascii="仿宋" w:hAnsi="仿宋" w:eastAsia="仿宋" w:cs="仿宋"/>
          <w:sz w:val="32"/>
          <w:szCs w:val="32"/>
        </w:rPr>
        <w:t>万元，30112其他社会保障缴费</w:t>
      </w:r>
      <w:r>
        <w:rPr>
          <w:rFonts w:ascii="仿宋" w:hAnsi="仿宋" w:eastAsia="仿宋" w:cs="仿宋"/>
          <w:sz w:val="32"/>
          <w:szCs w:val="32"/>
        </w:rPr>
        <w:t>1.78</w:t>
      </w:r>
      <w:r>
        <w:rPr>
          <w:rFonts w:hint="eastAsia" w:ascii="仿宋" w:hAnsi="仿宋" w:eastAsia="仿宋" w:cs="仿宋"/>
          <w:sz w:val="32"/>
          <w:szCs w:val="32"/>
        </w:rPr>
        <w:t>万元，30113住房公积金</w:t>
      </w:r>
      <w:r>
        <w:rPr>
          <w:rFonts w:ascii="仿宋" w:hAnsi="仿宋" w:eastAsia="仿宋" w:cs="仿宋"/>
          <w:sz w:val="32"/>
          <w:szCs w:val="32"/>
        </w:rPr>
        <w:t>26.52</w:t>
      </w:r>
      <w:r>
        <w:rPr>
          <w:rFonts w:hint="eastAsia" w:ascii="仿宋" w:hAnsi="仿宋" w:eastAsia="仿宋" w:cs="仿宋"/>
          <w:sz w:val="32"/>
          <w:szCs w:val="32"/>
        </w:rPr>
        <w:t>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1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rPr>
          <w:rFonts w:ascii="仿宋" w:hAnsi="仿宋" w:eastAsia="仿宋" w:cs="仿宋"/>
          <w:sz w:val="32"/>
          <w:szCs w:val="32"/>
        </w:rPr>
      </w:pPr>
    </w:p>
    <w:p>
      <w:pPr>
        <w:numPr>
          <w:ilvl w:val="0"/>
          <w:numId w:val="2"/>
        </w:numPr>
        <w:jc w:val="left"/>
        <w:rPr>
          <w:rFonts w:ascii="仿宋" w:hAnsi="仿宋" w:eastAsia="仿宋" w:cs="仿宋"/>
          <w:sz w:val="32"/>
          <w:szCs w:val="32"/>
        </w:rPr>
      </w:pPr>
      <w:r>
        <w:rPr>
          <w:rFonts w:hint="eastAsia" w:ascii="仿宋" w:hAnsi="仿宋" w:eastAsia="仿宋" w:cs="仿宋"/>
          <w:sz w:val="32"/>
          <w:szCs w:val="32"/>
        </w:rPr>
        <w:t>商品和服务支出4.6</w:t>
      </w:r>
      <w:r>
        <w:rPr>
          <w:rFonts w:hint="eastAsia" w:ascii="仿宋" w:hAnsi="仿宋" w:eastAsia="仿宋" w:cs="仿宋"/>
          <w:sz w:val="32"/>
          <w:szCs w:val="32"/>
          <w:lang w:val="en-US" w:eastAsia="zh-CN"/>
        </w:rPr>
        <w:t>3</w:t>
      </w:r>
      <w:r>
        <w:rPr>
          <w:rFonts w:ascii="仿宋" w:hAnsi="仿宋" w:eastAsia="仿宋" w:cs="仿宋"/>
          <w:sz w:val="32"/>
        </w:rPr>
        <w:t>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100%</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主要原因是：无差异。</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：30228工会经费4.6</w:t>
      </w:r>
      <w:r>
        <w:rPr>
          <w:rFonts w:hint="eastAsia" w:ascii="仿宋" w:hAnsi="仿宋" w:eastAsia="仿宋" w:cs="仿宋"/>
          <w:sz w:val="32"/>
          <w:szCs w:val="32"/>
          <w:lang w:val="en-US" w:eastAsia="zh-CN"/>
        </w:rPr>
        <w:t>3</w:t>
      </w:r>
      <w:r>
        <w:rPr>
          <w:rFonts w:hint="eastAsia" w:ascii="仿宋" w:hAnsi="仿宋" w:eastAsia="仿宋" w:cs="仿宋"/>
          <w:sz w:val="32"/>
          <w:szCs w:val="32"/>
        </w:rPr>
        <w:t>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1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rPr>
          <w:rFonts w:ascii="仿宋" w:hAnsi="仿宋" w:eastAsia="仿宋" w:cs="仿宋"/>
          <w:sz w:val="32"/>
          <w:szCs w:val="32"/>
        </w:rPr>
      </w:pPr>
    </w:p>
    <w:p>
      <w:pPr>
        <w:numPr>
          <w:ilvl w:val="0"/>
          <w:numId w:val="2"/>
        </w:numPr>
        <w:jc w:val="left"/>
        <w:rPr>
          <w:rFonts w:ascii="仿宋" w:hAnsi="仿宋" w:eastAsia="仿宋" w:cs="仿宋"/>
          <w:sz w:val="32"/>
          <w:szCs w:val="32"/>
        </w:rPr>
      </w:pPr>
      <w:r>
        <w:rPr>
          <w:rFonts w:hint="eastAsia" w:ascii="仿宋" w:hAnsi="仿宋" w:eastAsia="仿宋" w:cs="仿宋"/>
          <w:sz w:val="32"/>
          <w:szCs w:val="32"/>
        </w:rPr>
        <w:t>对个人和家庭的补助</w:t>
      </w:r>
      <w:r>
        <w:rPr>
          <w:rFonts w:ascii="仿宋" w:hAnsi="仿宋" w:eastAsia="仿宋" w:cs="仿宋"/>
          <w:sz w:val="32"/>
        </w:rPr>
        <w:t>3</w:t>
      </w:r>
      <w:r>
        <w:rPr>
          <w:rFonts w:hint="eastAsia" w:ascii="仿宋" w:hAnsi="仿宋" w:eastAsia="仿宋" w:cs="仿宋"/>
          <w:sz w:val="32"/>
        </w:rPr>
        <w:t>5.72</w:t>
      </w:r>
      <w:r>
        <w:rPr>
          <w:rFonts w:ascii="仿宋" w:hAnsi="仿宋" w:eastAsia="仿宋" w:cs="仿宋"/>
          <w:sz w:val="32"/>
        </w:rPr>
        <w:t>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140.65%</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主要原因是：退休人员增加，生活补助发放标准提高。</w:t>
      </w:r>
    </w:p>
    <w:p>
      <w:pPr>
        <w:ind w:firstLine="640" w:firstLineChars="200"/>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：30305生活补助</w:t>
      </w:r>
      <w:r>
        <w:rPr>
          <w:rFonts w:ascii="仿宋" w:hAnsi="仿宋" w:eastAsia="仿宋" w:cs="仿宋"/>
          <w:sz w:val="32"/>
          <w:szCs w:val="32"/>
        </w:rPr>
        <w:t>35.7</w:t>
      </w:r>
      <w:r>
        <w:rPr>
          <w:rFonts w:hint="eastAsia" w:ascii="仿宋" w:hAnsi="仿宋" w:eastAsia="仿宋" w:cs="仿宋"/>
          <w:sz w:val="32"/>
          <w:szCs w:val="32"/>
        </w:rPr>
        <w:t>0万元，30399其他对个人和家庭的补助</w:t>
      </w:r>
      <w:r>
        <w:rPr>
          <w:rFonts w:ascii="仿宋" w:hAnsi="仿宋" w:eastAsia="仿宋" w:cs="仿宋"/>
          <w:sz w:val="32"/>
          <w:szCs w:val="32"/>
        </w:rPr>
        <w:t>0.02</w:t>
      </w:r>
      <w:r>
        <w:rPr>
          <w:rFonts w:hint="eastAsia" w:ascii="仿宋" w:hAnsi="仿宋" w:eastAsia="仿宋" w:cs="仿宋"/>
          <w:sz w:val="32"/>
          <w:szCs w:val="32"/>
        </w:rPr>
        <w:t>万元。</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19050" t="0" r="20955" b="3810"/>
            <wp:docPr id="2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rPr>
          <w:rFonts w:ascii="仿宋" w:hAnsi="仿宋" w:eastAsia="仿宋" w:cs="仿宋"/>
          <w:sz w:val="32"/>
          <w:szCs w:val="32"/>
        </w:rPr>
      </w:pPr>
    </w:p>
    <w:p>
      <w:pPr>
        <w:numPr>
          <w:ilvl w:val="0"/>
          <w:numId w:val="2"/>
        </w:numPr>
        <w:jc w:val="left"/>
        <w:rPr>
          <w:rFonts w:ascii="仿宋" w:hAnsi="仿宋" w:eastAsia="仿宋" w:cs="仿宋"/>
          <w:sz w:val="32"/>
          <w:szCs w:val="32"/>
        </w:rPr>
      </w:pPr>
      <w:r>
        <w:rPr>
          <w:rFonts w:hint="eastAsia" w:ascii="仿宋" w:hAnsi="仿宋" w:eastAsia="仿宋" w:cs="仿宋"/>
          <w:sz w:val="32"/>
          <w:szCs w:val="32"/>
        </w:rPr>
        <w:t>债务利息及费用支出</w:t>
      </w:r>
      <w:r>
        <w:rPr>
          <w:rFonts w:ascii="仿宋" w:hAnsi="仿宋" w:eastAsia="仿宋" w:cs="仿宋"/>
          <w:sz w:val="32"/>
        </w:rPr>
        <w:t>0.00万元，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主要原因是：无资本性支出。</w:t>
      </w:r>
    </w:p>
    <w:p>
      <w:pPr>
        <w:ind w:firstLine="640" w:firstLineChars="200"/>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rPr>
          <w:rFonts w:ascii="仿宋" w:hAnsi="仿宋" w:eastAsia="仿宋" w:cs="仿宋"/>
          <w:sz w:val="32"/>
          <w:szCs w:val="32"/>
        </w:rPr>
      </w:pPr>
    </w:p>
    <w:p>
      <w:pPr>
        <w:numPr>
          <w:ilvl w:val="0"/>
          <w:numId w:val="2"/>
        </w:numPr>
        <w:jc w:val="left"/>
        <w:rPr>
          <w:rFonts w:ascii="仿宋" w:hAnsi="仿宋" w:eastAsia="仿宋" w:cs="仿宋"/>
          <w:sz w:val="32"/>
          <w:szCs w:val="32"/>
        </w:rPr>
      </w:pPr>
      <w:r>
        <w:rPr>
          <w:rFonts w:hint="eastAsia" w:ascii="仿宋" w:hAnsi="仿宋" w:eastAsia="仿宋" w:cs="仿宋"/>
          <w:sz w:val="32"/>
          <w:szCs w:val="32"/>
        </w:rPr>
        <w:t>资本性支出</w:t>
      </w:r>
      <w:r>
        <w:rPr>
          <w:rFonts w:ascii="仿宋" w:hAnsi="仿宋" w:eastAsia="仿宋" w:cs="仿宋"/>
          <w:sz w:val="32"/>
        </w:rPr>
        <w:t>0.00万元，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主要原因是：无债务利息及费用支出。</w:t>
      </w:r>
    </w:p>
    <w:p>
      <w:pPr>
        <w:ind w:firstLine="640" w:firstLineChars="200"/>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rPr>
          <w:rFonts w:ascii="仿宋" w:hAnsi="仿宋" w:eastAsia="仿宋" w:cs="仿宋"/>
          <w:sz w:val="32"/>
          <w:szCs w:val="32"/>
        </w:rPr>
      </w:pPr>
    </w:p>
    <w:p>
      <w:pPr>
        <w:numPr>
          <w:ilvl w:val="0"/>
          <w:numId w:val="2"/>
        </w:numPr>
        <w:jc w:val="left"/>
        <w:rPr>
          <w:rFonts w:ascii="仿宋" w:hAnsi="仿宋" w:eastAsia="仿宋" w:cs="仿宋"/>
          <w:sz w:val="32"/>
          <w:szCs w:val="32"/>
        </w:rPr>
      </w:pPr>
      <w:r>
        <w:rPr>
          <w:rFonts w:hint="eastAsia" w:ascii="仿宋" w:hAnsi="仿宋" w:eastAsia="仿宋" w:cs="仿宋"/>
          <w:sz w:val="32"/>
          <w:szCs w:val="32"/>
        </w:rPr>
        <w:t>其他支出</w:t>
      </w:r>
      <w:r>
        <w:rPr>
          <w:rFonts w:ascii="仿宋" w:hAnsi="仿宋" w:eastAsia="仿宋" w:cs="仿宋"/>
          <w:sz w:val="32"/>
        </w:rPr>
        <w:t>0.00万元，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主要原因是：无其他支出。</w:t>
      </w:r>
    </w:p>
    <w:p>
      <w:pPr>
        <w:jc w:val="left"/>
        <w:rPr>
          <w:rFonts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rPr>
          <w:rFonts w:ascii="仿宋" w:hAnsi="仿宋" w:eastAsia="仿宋" w:cs="仿宋"/>
          <w:sz w:val="32"/>
          <w:szCs w:val="32"/>
        </w:rPr>
      </w:pPr>
    </w:p>
    <w:p>
      <w:pPr>
        <w:jc w:val="left"/>
        <w:rPr>
          <w:rFonts w:ascii="仿宋" w:hAnsi="仿宋" w:eastAsia="仿宋" w:cs="仿宋"/>
          <w:sz w:val="32"/>
          <w:szCs w:val="32"/>
        </w:rPr>
      </w:pPr>
    </w:p>
    <w:p>
      <w:pPr>
        <w:jc w:val="left"/>
        <w:rPr>
          <w:rFonts w:ascii="黑体" w:hAnsi="黑体" w:eastAsia="黑体" w:cs="黑体"/>
          <w:sz w:val="32"/>
          <w:szCs w:val="32"/>
        </w:rPr>
      </w:pPr>
      <w:r>
        <w:rPr>
          <w:rFonts w:hint="eastAsia" w:ascii="黑体" w:hAnsi="黑体" w:eastAsia="黑体" w:cs="黑体"/>
          <w:sz w:val="32"/>
          <w:szCs w:val="32"/>
        </w:rPr>
        <w:t>四、2023年度政府性基金支出决算情况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环江毛南族自治县第一幼儿园2023年度政府性基金支出</w:t>
      </w:r>
      <w:r>
        <w:rPr>
          <w:rFonts w:ascii="仿宋" w:hAnsi="仿宋" w:eastAsia="仿宋" w:cs="仿宋"/>
          <w:sz w:val="32"/>
          <w:szCs w:val="32"/>
        </w:rPr>
        <w:t>0.00</w:t>
      </w:r>
      <w:r>
        <w:rPr>
          <w:rFonts w:hint="eastAsia" w:ascii="仿宋" w:hAnsi="仿宋" w:eastAsia="仿宋" w:cs="仿宋"/>
          <w:sz w:val="32"/>
          <w:szCs w:val="32"/>
        </w:rPr>
        <w:t>万元，较202</w:t>
      </w:r>
      <w:r>
        <w:rPr>
          <w:rFonts w:hint="eastAsia" w:ascii="仿宋" w:hAnsi="仿宋" w:eastAsia="仿宋" w:cs="仿宋"/>
          <w:sz w:val="32"/>
          <w:szCs w:val="32"/>
          <w:lang w:val="en-US" w:eastAsia="zh-CN"/>
        </w:rPr>
        <w:t>2</w:t>
      </w:r>
      <w:r>
        <w:rPr>
          <w:rFonts w:hint="eastAsia" w:ascii="仿宋" w:hAnsi="仿宋" w:eastAsia="仿宋" w:cs="仿宋"/>
          <w:sz w:val="32"/>
          <w:szCs w:val="32"/>
        </w:rPr>
        <w:t>年度决算数</w:t>
      </w:r>
      <w:r>
        <w:rPr>
          <w:rFonts w:ascii="仿宋" w:hAnsi="仿宋" w:eastAsia="仿宋" w:cs="仿宋"/>
          <w:sz w:val="32"/>
          <w:szCs w:val="32"/>
        </w:rPr>
        <w:t>增加0.00</w:t>
      </w:r>
      <w:r>
        <w:rPr>
          <w:rFonts w:hint="eastAsia" w:ascii="仿宋" w:hAnsi="仿宋" w:eastAsia="仿宋" w:cs="仿宋"/>
          <w:sz w:val="32"/>
          <w:szCs w:val="32"/>
        </w:rPr>
        <w:t>万元，</w:t>
      </w:r>
      <w:r>
        <w:rPr>
          <w:rFonts w:ascii="仿宋" w:hAnsi="仿宋" w:eastAsia="仿宋" w:cs="仿宋"/>
          <w:sz w:val="32"/>
          <w:szCs w:val="32"/>
        </w:rPr>
        <w:t>增长0%</w:t>
      </w:r>
      <w:r>
        <w:rPr>
          <w:rFonts w:hint="eastAsia" w:ascii="仿宋" w:hAnsi="仿宋" w:eastAsia="仿宋" w:cs="仿宋"/>
          <w:sz w:val="32"/>
          <w:szCs w:val="32"/>
        </w:rPr>
        <w:t>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环江毛南族自治县第一幼儿园2023年度政府性基金支出年初预算为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r>
        <w:rPr>
          <w:rFonts w:hint="eastAsia" w:ascii="仿宋_GB2312" w:hAnsi="Times New Roman" w:eastAsia="仿宋_GB2312" w:cs="Times New Roman"/>
          <w:sz w:val="32"/>
          <w:szCs w:val="32"/>
        </w:rPr>
        <w:t>环江毛南族自治县第一幼儿园</w:t>
      </w:r>
      <w:r>
        <w:rPr>
          <w:rFonts w:ascii="仿宋_GB2312" w:hAnsi="仿宋_GB2312" w:eastAsia="仿宋_GB2312" w:cs="仿宋_GB2312"/>
          <w:sz w:val="32"/>
        </w:rPr>
        <w:t>没有政府性基金收入，也没有政府性基金收入安排的支出</w:t>
      </w:r>
      <w:r>
        <w:rPr>
          <w:rFonts w:hint="eastAsia" w:ascii="仿宋_GB2312" w:hAnsi="Times New Roman" w:eastAsia="仿宋_GB2312" w:cs="Times New Roman"/>
          <w:sz w:val="32"/>
          <w:szCs w:val="32"/>
        </w:rPr>
        <w:t>。</w:t>
      </w:r>
    </w:p>
    <w:p>
      <w:pPr>
        <w:jc w:val="left"/>
        <w:rPr>
          <w:rFonts w:ascii="仿宋" w:hAnsi="仿宋" w:eastAsia="仿宋" w:cs="仿宋"/>
          <w:sz w:val="32"/>
          <w:szCs w:val="32"/>
        </w:rPr>
      </w:pPr>
      <w:r>
        <w:rPr>
          <w:rFonts w:hint="eastAsia" w:ascii="黑体" w:hAnsi="黑体" w:eastAsia="黑体" w:cs="黑体"/>
          <w:sz w:val="32"/>
          <w:szCs w:val="32"/>
        </w:rPr>
        <w:t>五、2023年度国有资本经营预算支出决算情况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环江毛南族自治县第一幼儿园2023年度国有资本经营预算支出</w:t>
      </w:r>
      <w:r>
        <w:rPr>
          <w:rFonts w:ascii="仿宋" w:hAnsi="仿宋" w:eastAsia="仿宋" w:cs="仿宋"/>
          <w:sz w:val="32"/>
          <w:szCs w:val="32"/>
        </w:rPr>
        <w:t>0.00</w:t>
      </w:r>
      <w:r>
        <w:rPr>
          <w:rFonts w:hint="eastAsia" w:ascii="仿宋" w:hAnsi="仿宋" w:eastAsia="仿宋" w:cs="仿宋"/>
          <w:sz w:val="32"/>
          <w:szCs w:val="32"/>
        </w:rPr>
        <w:t>万元。其中：基本支出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环江毛南族自治县第一幼儿园2023 年度国有资本经营预算支出年初预算为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bookmarkStart w:id="5" w:name="PO_part3A5B1C1DiffReason1"/>
      <w:r>
        <w:rPr>
          <w:rFonts w:hint="eastAsia" w:ascii="仿宋_GB2312" w:hAnsi="Times New Roman" w:eastAsia="仿宋_GB2312" w:cs="Times New Roman"/>
          <w:sz w:val="32"/>
          <w:szCs w:val="32"/>
        </w:rPr>
        <w:t>环江毛南族自治县第一幼儿园</w:t>
      </w:r>
      <w:r>
        <w:rPr>
          <w:rFonts w:ascii="仿宋_GB2312" w:hAnsi="仿宋_GB2312" w:eastAsia="仿宋_GB2312" w:cs="仿宋_GB2312"/>
          <w:sz w:val="32"/>
        </w:rPr>
        <w:t>没有国有资本经营预算收入，也没有国有资本经营预算收入</w:t>
      </w:r>
      <w:r>
        <w:rPr>
          <w:rFonts w:hint="eastAsia" w:ascii="仿宋_GB2312" w:hAnsi="Times New Roman" w:eastAsia="仿宋_GB2312" w:cs="Times New Roman"/>
          <w:sz w:val="32"/>
          <w:szCs w:val="32"/>
        </w:rPr>
        <w:t>。</w:t>
      </w:r>
      <w:bookmarkEnd w:id="5"/>
    </w:p>
    <w:p>
      <w:pPr>
        <w:jc w:val="left"/>
        <w:rPr>
          <w:rFonts w:ascii="仿宋" w:hAnsi="仿宋" w:eastAsia="仿宋" w:cs="仿宋"/>
          <w:sz w:val="32"/>
          <w:szCs w:val="32"/>
        </w:rPr>
      </w:pPr>
      <w:r>
        <w:rPr>
          <w:rFonts w:hint="eastAsia" w:ascii="黑体" w:hAnsi="黑体" w:eastAsia="黑体" w:cs="黑体"/>
          <w:sz w:val="32"/>
          <w:szCs w:val="32"/>
        </w:rPr>
        <w:t>六、财政拨款“三公”经费支出决算情况说明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2023年预算财政拨款安排的“三公”经费支出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万元。其中：因公出国（境）费支出决算</w:t>
      </w:r>
      <w:r>
        <w:rPr>
          <w:rFonts w:ascii="仿宋" w:hAnsi="仿宋" w:eastAsia="仿宋" w:cs="仿宋"/>
          <w:sz w:val="32"/>
          <w:szCs w:val="32"/>
        </w:rPr>
        <w:t>0.00</w:t>
      </w:r>
      <w:r>
        <w:rPr>
          <w:rFonts w:hint="eastAsia" w:ascii="仿宋" w:hAnsi="仿宋" w:eastAsia="仿宋" w:cs="仿宋"/>
          <w:sz w:val="32"/>
          <w:szCs w:val="32"/>
        </w:rPr>
        <w:t>万元，公务用车购置及运行费支出决算</w:t>
      </w:r>
      <w:r>
        <w:rPr>
          <w:rFonts w:ascii="仿宋" w:hAnsi="仿宋" w:eastAsia="仿宋" w:cs="仿宋"/>
          <w:sz w:val="32"/>
          <w:szCs w:val="32"/>
        </w:rPr>
        <w:t>0.00</w:t>
      </w:r>
      <w:r>
        <w:rPr>
          <w:rFonts w:hint="eastAsia" w:ascii="仿宋" w:hAnsi="仿宋" w:eastAsia="仿宋" w:cs="仿宋"/>
          <w:sz w:val="32"/>
          <w:szCs w:val="32"/>
        </w:rPr>
        <w:t>万元，公务接待费支出决算</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主要原因是：本单位严格执行贯彻中央八项规定精神,不安排三公经费支出。</w:t>
      </w:r>
    </w:p>
    <w:p>
      <w:pPr>
        <w:jc w:val="left"/>
        <w:rPr>
          <w:rFonts w:ascii="仿宋" w:hAnsi="仿宋" w:eastAsia="仿宋" w:cs="仿宋"/>
          <w:sz w:val="32"/>
          <w:szCs w:val="32"/>
        </w:rPr>
      </w:pPr>
      <w:r>
        <w:rPr>
          <w:rFonts w:hint="eastAsia" w:ascii="黑体" w:hAnsi="黑体" w:eastAsia="黑体" w:cs="黑体"/>
          <w:sz w:val="32"/>
          <w:szCs w:val="32"/>
        </w:rPr>
        <w:t>七、其他重要事项情况说明</w:t>
      </w:r>
    </w:p>
    <w:p>
      <w:pPr>
        <w:jc w:val="left"/>
        <w:rPr>
          <w:rFonts w:ascii="黑体" w:hAnsi="黑体" w:eastAsia="黑体" w:cs="黑体"/>
          <w:sz w:val="32"/>
          <w:szCs w:val="32"/>
        </w:rPr>
      </w:pPr>
      <w:r>
        <w:rPr>
          <w:rFonts w:hint="eastAsia" w:ascii="黑体" w:hAnsi="黑体" w:eastAsia="黑体" w:cs="黑体"/>
          <w:sz w:val="32"/>
          <w:szCs w:val="32"/>
        </w:rPr>
        <w:t>（一） 机关运行经费支出情况说明</w:t>
      </w:r>
    </w:p>
    <w:p>
      <w:pPr>
        <w:jc w:val="left"/>
        <w:rPr>
          <w:rFonts w:ascii="仿宋" w:hAnsi="仿宋" w:eastAsia="仿宋" w:cs="仿宋"/>
          <w:sz w:val="32"/>
          <w:szCs w:val="32"/>
        </w:rPr>
      </w:pPr>
      <w:r>
        <w:rPr>
          <w:rFonts w:hint="eastAsia" w:ascii="仿宋" w:hAnsi="仿宋" w:eastAsia="仿宋" w:cs="仿宋"/>
          <w:sz w:val="32"/>
          <w:szCs w:val="32"/>
        </w:rPr>
        <w:t>本部门2023年度机关运行经费支出</w:t>
      </w:r>
      <w:r>
        <w:rPr>
          <w:rFonts w:ascii="仿宋" w:hAnsi="仿宋" w:eastAsia="仿宋" w:cs="仿宋"/>
          <w:sz w:val="32"/>
          <w:szCs w:val="32"/>
        </w:rPr>
        <w:t>0.00</w:t>
      </w:r>
      <w:r>
        <w:rPr>
          <w:rFonts w:hint="eastAsia" w:ascii="仿宋" w:hAnsi="仿宋" w:eastAsia="仿宋" w:cs="仿宋"/>
          <w:sz w:val="32"/>
          <w:szCs w:val="32"/>
        </w:rPr>
        <w:t>万元，比上年决算数</w:t>
      </w:r>
      <w:r>
        <w:rPr>
          <w:rFonts w:ascii="仿宋" w:hAnsi="仿宋" w:eastAsia="仿宋" w:cs="仿宋"/>
          <w:sz w:val="32"/>
          <w:szCs w:val="32"/>
        </w:rPr>
        <w:t>增加0.00</w:t>
      </w:r>
      <w:r>
        <w:rPr>
          <w:rFonts w:hint="eastAsia" w:ascii="仿宋" w:hAnsi="仿宋" w:eastAsia="仿宋" w:cs="仿宋"/>
          <w:sz w:val="32"/>
          <w:szCs w:val="32"/>
        </w:rPr>
        <w:t>万元，</w:t>
      </w:r>
      <w:r>
        <w:rPr>
          <w:rFonts w:ascii="仿宋" w:hAnsi="仿宋" w:eastAsia="仿宋" w:cs="仿宋"/>
          <w:sz w:val="32"/>
          <w:szCs w:val="32"/>
        </w:rPr>
        <w:t>增长0%</w:t>
      </w:r>
      <w:r>
        <w:rPr>
          <w:rFonts w:hint="eastAsia" w:ascii="仿宋" w:hAnsi="仿宋" w:eastAsia="仿宋" w:cs="仿宋"/>
          <w:sz w:val="32"/>
          <w:szCs w:val="32"/>
        </w:rPr>
        <w:t>。原因是：本部门2023年度无机关运行经费支出。</w:t>
      </w:r>
    </w:p>
    <w:p>
      <w:pPr>
        <w:jc w:val="left"/>
        <w:rPr>
          <w:rFonts w:ascii="黑体" w:hAnsi="黑体" w:eastAsia="黑体" w:cs="黑体"/>
          <w:sz w:val="32"/>
          <w:szCs w:val="32"/>
        </w:rPr>
      </w:pPr>
      <w:r>
        <w:rPr>
          <w:rFonts w:hint="eastAsia" w:ascii="黑体" w:hAnsi="黑体" w:eastAsia="黑体" w:cs="黑体"/>
          <w:sz w:val="32"/>
          <w:szCs w:val="32"/>
        </w:rPr>
        <w:t>（二）政府采购支出情况说明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本部门2023年度政府采购支出总额</w:t>
      </w:r>
      <w:r>
        <w:rPr>
          <w:rFonts w:ascii="仿宋" w:hAnsi="仿宋" w:eastAsia="仿宋" w:cs="仿宋"/>
          <w:sz w:val="32"/>
          <w:szCs w:val="32"/>
        </w:rPr>
        <w:t>0.00</w:t>
      </w:r>
      <w:r>
        <w:rPr>
          <w:rFonts w:hint="eastAsia" w:ascii="仿宋" w:hAnsi="仿宋" w:eastAsia="仿宋" w:cs="仿宋"/>
          <w:sz w:val="32"/>
          <w:szCs w:val="32"/>
        </w:rPr>
        <w:t>万元，其中：政府采购货物支出</w:t>
      </w:r>
      <w:r>
        <w:rPr>
          <w:rFonts w:ascii="仿宋" w:hAnsi="仿宋" w:eastAsia="仿宋" w:cs="仿宋"/>
          <w:sz w:val="32"/>
          <w:szCs w:val="32"/>
        </w:rPr>
        <w:t>0.00</w:t>
      </w:r>
      <w:r>
        <w:rPr>
          <w:rFonts w:hint="eastAsia" w:ascii="仿宋" w:hAnsi="仿宋" w:eastAsia="仿宋" w:cs="仿宋"/>
          <w:sz w:val="32"/>
          <w:szCs w:val="32"/>
        </w:rPr>
        <w:t>万元、政府采购工程支出</w:t>
      </w:r>
      <w:r>
        <w:rPr>
          <w:rFonts w:ascii="仿宋" w:hAnsi="仿宋" w:eastAsia="仿宋" w:cs="仿宋"/>
          <w:sz w:val="32"/>
          <w:szCs w:val="32"/>
        </w:rPr>
        <w:t>0.00</w:t>
      </w:r>
      <w:r>
        <w:rPr>
          <w:rFonts w:hint="eastAsia" w:ascii="仿宋" w:hAnsi="仿宋" w:eastAsia="仿宋" w:cs="仿宋"/>
          <w:sz w:val="32"/>
          <w:szCs w:val="32"/>
        </w:rPr>
        <w:t>万元、政府采购服务支出</w:t>
      </w:r>
      <w:r>
        <w:rPr>
          <w:rFonts w:ascii="仿宋" w:hAnsi="仿宋" w:eastAsia="仿宋" w:cs="仿宋"/>
          <w:sz w:val="32"/>
          <w:szCs w:val="32"/>
        </w:rPr>
        <w:t>0.00</w:t>
      </w:r>
      <w:r>
        <w:rPr>
          <w:rFonts w:hint="eastAsia" w:ascii="仿宋" w:hAnsi="仿宋" w:eastAsia="仿宋" w:cs="仿宋"/>
          <w:sz w:val="32"/>
          <w:szCs w:val="32"/>
        </w:rPr>
        <w:t>万元。授予中小企业合同金额</w:t>
      </w:r>
      <w:r>
        <w:rPr>
          <w:rFonts w:ascii="仿宋" w:hAnsi="仿宋" w:eastAsia="仿宋" w:cs="仿宋"/>
          <w:sz w:val="32"/>
          <w:szCs w:val="32"/>
        </w:rPr>
        <w:t>0.00</w:t>
      </w:r>
      <w:r>
        <w:rPr>
          <w:rFonts w:hint="eastAsia" w:ascii="仿宋" w:hAnsi="仿宋" w:eastAsia="仿宋" w:cs="仿宋"/>
          <w:sz w:val="32"/>
          <w:szCs w:val="32"/>
        </w:rPr>
        <w:t>万元，占政府采购支出总额的</w:t>
      </w:r>
      <w:r>
        <w:rPr>
          <w:rFonts w:ascii="仿宋" w:hAnsi="仿宋" w:eastAsia="仿宋" w:cs="仿宋"/>
          <w:sz w:val="32"/>
          <w:szCs w:val="32"/>
        </w:rPr>
        <w:t>0%</w:t>
      </w:r>
      <w:r>
        <w:rPr>
          <w:rFonts w:hint="eastAsia" w:ascii="仿宋" w:hAnsi="仿宋" w:eastAsia="仿宋" w:cs="仿宋"/>
          <w:sz w:val="32"/>
          <w:szCs w:val="32"/>
        </w:rPr>
        <w:t>，其中：授予小微企业合同金额</w:t>
      </w:r>
      <w:r>
        <w:rPr>
          <w:rFonts w:ascii="仿宋" w:hAnsi="仿宋" w:eastAsia="仿宋" w:cs="仿宋"/>
          <w:sz w:val="32"/>
          <w:szCs w:val="32"/>
        </w:rPr>
        <w:t>0.00</w:t>
      </w:r>
      <w:r>
        <w:rPr>
          <w:rFonts w:hint="eastAsia" w:ascii="仿宋" w:hAnsi="仿宋" w:eastAsia="仿宋" w:cs="仿宋"/>
          <w:sz w:val="32"/>
          <w:szCs w:val="32"/>
        </w:rPr>
        <w:t>万元，占授予中小企业合同金额的</w:t>
      </w:r>
      <w:r>
        <w:rPr>
          <w:rFonts w:ascii="仿宋" w:hAnsi="仿宋" w:eastAsia="仿宋" w:cs="仿宋"/>
          <w:sz w:val="32"/>
          <w:szCs w:val="32"/>
        </w:rPr>
        <w:t>0%</w:t>
      </w:r>
      <w:r>
        <w:rPr>
          <w:rFonts w:hint="eastAsia" w:ascii="仿宋" w:hAnsi="仿宋" w:eastAsia="仿宋" w:cs="仿宋"/>
          <w:sz w:val="32"/>
          <w:szCs w:val="32"/>
        </w:rPr>
        <w:t>。</w:t>
      </w:r>
    </w:p>
    <w:p>
      <w:pPr>
        <w:jc w:val="left"/>
        <w:rPr>
          <w:rFonts w:ascii="仿宋" w:hAnsi="仿宋" w:eastAsia="仿宋" w:cs="仿宋"/>
          <w:sz w:val="32"/>
          <w:szCs w:val="32"/>
        </w:rPr>
      </w:pPr>
      <w:r>
        <w:rPr>
          <w:rFonts w:hint="eastAsia" w:ascii="黑体" w:hAnsi="黑体" w:eastAsia="黑体" w:cs="黑体"/>
          <w:sz w:val="32"/>
          <w:szCs w:val="32"/>
        </w:rPr>
        <w:t>（三）国有资产占用情况说明</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截至2023年12月31日，本部门共有车辆</w:t>
      </w:r>
      <w:r>
        <w:rPr>
          <w:rFonts w:ascii="仿宋" w:hAnsi="仿宋" w:eastAsia="仿宋" w:cs="仿宋"/>
          <w:sz w:val="32"/>
          <w:szCs w:val="32"/>
        </w:rPr>
        <w:t>0</w:t>
      </w:r>
      <w:r>
        <w:rPr>
          <w:rFonts w:hint="eastAsia" w:ascii="仿宋" w:hAnsi="仿宋" w:eastAsia="仿宋" w:cs="仿宋"/>
          <w:sz w:val="32"/>
          <w:szCs w:val="32"/>
        </w:rPr>
        <w:t>辆，其中：副部（省）级领导干部用车</w:t>
      </w:r>
      <w:r>
        <w:rPr>
          <w:rFonts w:ascii="仿宋" w:hAnsi="仿宋" w:eastAsia="仿宋" w:cs="仿宋"/>
          <w:sz w:val="32"/>
          <w:szCs w:val="32"/>
        </w:rPr>
        <w:t>0</w:t>
      </w:r>
      <w:r>
        <w:rPr>
          <w:rFonts w:hint="eastAsia" w:ascii="仿宋" w:hAnsi="仿宋" w:eastAsia="仿宋" w:cs="仿宋"/>
          <w:sz w:val="32"/>
          <w:szCs w:val="32"/>
        </w:rPr>
        <w:t>辆、机要通信用车</w:t>
      </w:r>
      <w:r>
        <w:rPr>
          <w:rFonts w:ascii="仿宋" w:hAnsi="仿宋" w:eastAsia="仿宋" w:cs="仿宋"/>
          <w:sz w:val="32"/>
          <w:szCs w:val="32"/>
        </w:rPr>
        <w:t>0</w:t>
      </w:r>
      <w:r>
        <w:rPr>
          <w:rFonts w:hint="eastAsia" w:ascii="仿宋" w:hAnsi="仿宋" w:eastAsia="仿宋" w:cs="仿宋"/>
          <w:sz w:val="32"/>
          <w:szCs w:val="32"/>
        </w:rPr>
        <w:t>辆、应急保障用车</w:t>
      </w:r>
      <w:r>
        <w:rPr>
          <w:rFonts w:ascii="仿宋" w:hAnsi="仿宋" w:eastAsia="仿宋" w:cs="仿宋"/>
          <w:sz w:val="32"/>
          <w:szCs w:val="32"/>
        </w:rPr>
        <w:t>0</w:t>
      </w:r>
      <w:r>
        <w:rPr>
          <w:rFonts w:hint="eastAsia" w:ascii="仿宋" w:hAnsi="仿宋" w:eastAsia="仿宋" w:cs="仿宋"/>
          <w:sz w:val="32"/>
          <w:szCs w:val="32"/>
        </w:rPr>
        <w:t>辆、执法执勤用车</w:t>
      </w:r>
      <w:r>
        <w:rPr>
          <w:rFonts w:ascii="仿宋" w:hAnsi="仿宋" w:eastAsia="仿宋" w:cs="仿宋"/>
          <w:sz w:val="32"/>
          <w:szCs w:val="32"/>
        </w:rPr>
        <w:t>0</w:t>
      </w:r>
      <w:r>
        <w:rPr>
          <w:rFonts w:hint="eastAsia" w:ascii="仿宋" w:hAnsi="仿宋" w:eastAsia="仿宋" w:cs="仿宋"/>
          <w:sz w:val="32"/>
          <w:szCs w:val="32"/>
        </w:rPr>
        <w:t>辆、特种专业技术用车</w:t>
      </w:r>
      <w:r>
        <w:rPr>
          <w:rFonts w:ascii="仿宋" w:hAnsi="仿宋" w:eastAsia="仿宋" w:cs="仿宋"/>
          <w:sz w:val="32"/>
          <w:szCs w:val="32"/>
        </w:rPr>
        <w:t>0</w:t>
      </w:r>
      <w:r>
        <w:rPr>
          <w:rFonts w:hint="eastAsia" w:ascii="仿宋" w:hAnsi="仿宋" w:eastAsia="仿宋" w:cs="仿宋"/>
          <w:sz w:val="32"/>
          <w:szCs w:val="32"/>
        </w:rPr>
        <w:t>辆、其他用车</w:t>
      </w:r>
      <w:r>
        <w:rPr>
          <w:rFonts w:ascii="仿宋" w:hAnsi="仿宋" w:eastAsia="仿宋" w:cs="仿宋"/>
          <w:sz w:val="32"/>
          <w:szCs w:val="32"/>
        </w:rPr>
        <w:t>0</w:t>
      </w:r>
      <w:r>
        <w:rPr>
          <w:rFonts w:hint="eastAsia" w:ascii="仿宋" w:hAnsi="仿宋" w:eastAsia="仿宋" w:cs="仿宋"/>
          <w:sz w:val="32"/>
          <w:szCs w:val="32"/>
        </w:rPr>
        <w:t>辆；单位价值50万元以上通用设备</w:t>
      </w:r>
      <w:r>
        <w:rPr>
          <w:rFonts w:ascii="仿宋" w:hAnsi="仿宋" w:eastAsia="仿宋" w:cs="仿宋"/>
          <w:sz w:val="32"/>
          <w:szCs w:val="32"/>
        </w:rPr>
        <w:t>0</w:t>
      </w:r>
      <w:r>
        <w:rPr>
          <w:rFonts w:hint="eastAsia" w:ascii="仿宋" w:hAnsi="仿宋" w:eastAsia="仿宋" w:cs="仿宋"/>
          <w:sz w:val="32"/>
          <w:szCs w:val="32"/>
        </w:rPr>
        <w:t>台（套）；单位价值100万元以上专用设备</w:t>
      </w:r>
      <w:r>
        <w:rPr>
          <w:rFonts w:hint="eastAsia" w:ascii="仿宋" w:hAnsi="仿宋" w:eastAsia="仿宋" w:cs="仿宋"/>
          <w:sz w:val="32"/>
          <w:szCs w:val="32"/>
          <w:lang w:val="en-US" w:eastAsia="zh-CN"/>
        </w:rPr>
        <w:t>0</w:t>
      </w:r>
      <w:r>
        <w:rPr>
          <w:rFonts w:hint="eastAsia" w:ascii="仿宋" w:hAnsi="仿宋" w:eastAsia="仿宋" w:cs="仿宋"/>
          <w:sz w:val="32"/>
          <w:szCs w:val="32"/>
        </w:rPr>
        <w:t>台（套）。</w:t>
      </w:r>
    </w:p>
    <w:p>
      <w:pPr>
        <w:jc w:val="left"/>
        <w:rPr>
          <w:rFonts w:ascii="仿宋" w:hAnsi="仿宋" w:eastAsia="仿宋" w:cs="仿宋"/>
          <w:sz w:val="32"/>
          <w:szCs w:val="32"/>
        </w:rPr>
      </w:pPr>
      <w:r>
        <w:rPr>
          <w:rFonts w:hint="eastAsia" w:ascii="黑体" w:hAnsi="黑体" w:eastAsia="黑体" w:cs="黑体"/>
          <w:sz w:val="32"/>
          <w:szCs w:val="32"/>
        </w:rPr>
        <w:t>（四）预算绩效管理工作开展情况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1.绩效管理工作开展情况。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根据财政预算管理要求，本部门组织对2023年度一般公共预算项目支出全面开展绩效自评。其中，一等项目14个，二等项目3个，共涉及资金333.71元，占一般公共预算项目支出总额的61.67</w:t>
      </w:r>
      <w:r>
        <w:rPr>
          <w:rFonts w:ascii="仿宋" w:hAnsi="仿宋" w:eastAsia="仿宋" w:cs="仿宋"/>
          <w:sz w:val="32"/>
          <w:szCs w:val="32"/>
        </w:rPr>
        <w:t>%</w:t>
      </w:r>
      <w:r>
        <w:rPr>
          <w:rFonts w:hint="eastAsia" w:ascii="仿宋" w:hAnsi="仿宋" w:eastAsia="仿宋" w:cs="仿宋"/>
          <w:sz w:val="32"/>
          <w:szCs w:val="32"/>
        </w:rPr>
        <w:t>。组织对2023年度</w:t>
      </w:r>
      <w:r>
        <w:rPr>
          <w:rFonts w:ascii="仿宋" w:hAnsi="仿宋" w:eastAsia="仿宋" w:cs="仿宋"/>
          <w:sz w:val="32"/>
          <w:szCs w:val="32"/>
        </w:rPr>
        <w:t>0</w:t>
      </w:r>
      <w:r>
        <w:rPr>
          <w:rFonts w:hint="eastAsia" w:ascii="仿宋" w:hAnsi="仿宋" w:eastAsia="仿宋" w:cs="仿宋"/>
          <w:sz w:val="32"/>
          <w:szCs w:val="32"/>
        </w:rPr>
        <w:t>等个政府性基金预算项目支出开展绩效自评，共涉及资金</w:t>
      </w:r>
      <w:r>
        <w:rPr>
          <w:rFonts w:ascii="仿宋" w:hAnsi="仿宋" w:eastAsia="仿宋" w:cs="仿宋"/>
          <w:sz w:val="32"/>
          <w:szCs w:val="32"/>
        </w:rPr>
        <w:t>0</w:t>
      </w:r>
      <w:r>
        <w:rPr>
          <w:rFonts w:hint="eastAsia" w:ascii="仿宋" w:hAnsi="仿宋" w:eastAsia="仿宋" w:cs="仿宋"/>
          <w:sz w:val="32"/>
          <w:szCs w:val="32"/>
        </w:rPr>
        <w:t>万元，占政府性基金预算项目支出总额的</w:t>
      </w:r>
      <w:r>
        <w:rPr>
          <w:rFonts w:ascii="仿宋" w:hAnsi="仿宋" w:eastAsia="仿宋" w:cs="仿宋"/>
          <w:sz w:val="32"/>
          <w:szCs w:val="32"/>
        </w:rPr>
        <w:t>0</w:t>
      </w:r>
      <w:r>
        <w:rPr>
          <w:rFonts w:hint="eastAsia" w:ascii="仿宋" w:hAnsi="仿宋" w:eastAsia="仿宋" w:cs="仿宋"/>
          <w:sz w:val="32"/>
          <w:szCs w:val="32"/>
        </w:rPr>
        <w:t>%。组织对2023年度</w:t>
      </w:r>
      <w:r>
        <w:rPr>
          <w:rFonts w:ascii="仿宋" w:hAnsi="仿宋" w:eastAsia="仿宋" w:cs="仿宋"/>
          <w:sz w:val="32"/>
          <w:szCs w:val="32"/>
        </w:rPr>
        <w:t xml:space="preserve"> 0</w:t>
      </w:r>
      <w:r>
        <w:rPr>
          <w:rFonts w:hint="eastAsia" w:ascii="仿宋" w:hAnsi="仿宋" w:eastAsia="仿宋" w:cs="仿宋"/>
          <w:sz w:val="32"/>
          <w:szCs w:val="32"/>
        </w:rPr>
        <w:t>个国有资本经营预算项目支出开展绩效自评，共涉及资金</w:t>
      </w:r>
      <w:r>
        <w:rPr>
          <w:rFonts w:ascii="仿宋" w:hAnsi="仿宋" w:eastAsia="仿宋" w:cs="仿宋"/>
          <w:sz w:val="32"/>
          <w:szCs w:val="32"/>
        </w:rPr>
        <w:t>0</w:t>
      </w:r>
      <w:r>
        <w:rPr>
          <w:rFonts w:hint="eastAsia" w:ascii="仿宋" w:hAnsi="仿宋" w:eastAsia="仿宋" w:cs="仿宋"/>
          <w:sz w:val="32"/>
          <w:szCs w:val="32"/>
        </w:rPr>
        <w:t>万元，占国有资本经营预算项目支出总额的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组织对“学前教育质量提升资金”等</w:t>
      </w:r>
      <w:r>
        <w:rPr>
          <w:rFonts w:ascii="仿宋" w:hAnsi="仿宋" w:eastAsia="仿宋" w:cs="仿宋"/>
          <w:sz w:val="32"/>
          <w:szCs w:val="32"/>
        </w:rPr>
        <w:t>1</w:t>
      </w:r>
      <w:r>
        <w:rPr>
          <w:rFonts w:hint="eastAsia" w:ascii="仿宋" w:hAnsi="仿宋" w:eastAsia="仿宋" w:cs="仿宋"/>
          <w:sz w:val="32"/>
          <w:szCs w:val="32"/>
        </w:rPr>
        <w:t>7个项目进行了部门评价，涉及一般公共预算支出333.71万元，政府性基金预算支出</w:t>
      </w:r>
      <w:r>
        <w:rPr>
          <w:rFonts w:ascii="仿宋" w:hAnsi="仿宋" w:eastAsia="仿宋" w:cs="仿宋"/>
          <w:sz w:val="32"/>
          <w:szCs w:val="32"/>
        </w:rPr>
        <w:t>0</w:t>
      </w:r>
      <w:r>
        <w:rPr>
          <w:rFonts w:hint="eastAsia" w:ascii="仿宋" w:hAnsi="仿宋" w:eastAsia="仿宋" w:cs="仿宋"/>
          <w:sz w:val="32"/>
          <w:szCs w:val="32"/>
        </w:rPr>
        <w:t>万元，国有资本经营预算支出</w:t>
      </w:r>
      <w:r>
        <w:rPr>
          <w:rFonts w:ascii="仿宋" w:hAnsi="仿宋" w:eastAsia="仿宋" w:cs="仿宋"/>
          <w:sz w:val="32"/>
          <w:szCs w:val="32"/>
        </w:rPr>
        <w:t>0</w:t>
      </w:r>
      <w:r>
        <w:rPr>
          <w:rFonts w:hint="eastAsia" w:ascii="仿宋" w:hAnsi="仿宋" w:eastAsia="仿宋" w:cs="仿宋"/>
          <w:sz w:val="32"/>
          <w:szCs w:val="32"/>
        </w:rPr>
        <w:t>万元。从评价情况来看，本部门推进预算支出绩效评价管理,提高资金使用效率。按时完成各个项目年度绩效目标，提高服务对象的满意度。</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从评价情况来看，我部门绩效管理情况较为理想，达到了年初设定的各项绩效目标。所有资金使用严格按审批程序办理、操作规范，会计核算结果真实、准确，各项支出严格按照各项制度执行。</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2.部门决算中项目绩效自评结果。</w:t>
      </w:r>
    </w:p>
    <w:p>
      <w:pPr>
        <w:ind w:firstLine="640" w:firstLineChars="200"/>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w:instrText>
      </w:r>
      <w:r>
        <w:rPr>
          <w:rFonts w:hint="eastAsia" w:ascii="仿宋" w:hAnsi="仿宋" w:eastAsia="仿宋" w:cs="仿宋"/>
          <w:sz w:val="32"/>
          <w:szCs w:val="32"/>
        </w:rPr>
        <w:instrText xml:space="preserve">= 1 \* GB3</w:instrText>
      </w:r>
      <w:r>
        <w:rPr>
          <w:rFonts w:ascii="仿宋" w:hAnsi="仿宋" w:eastAsia="仿宋" w:cs="仿宋"/>
          <w:sz w:val="32"/>
          <w:szCs w:val="32"/>
        </w:rPr>
        <w:instrText xml:space="preserve"> </w:instrText>
      </w:r>
      <w:r>
        <w:rPr>
          <w:rFonts w:ascii="仿宋" w:hAnsi="仿宋" w:eastAsia="仿宋" w:cs="仿宋"/>
          <w:sz w:val="32"/>
          <w:szCs w:val="32"/>
        </w:rPr>
        <w:fldChar w:fldCharType="separate"/>
      </w:r>
      <w:r>
        <w:rPr>
          <w:rFonts w:hint="eastAsia" w:ascii="仿宋" w:hAnsi="仿宋" w:eastAsia="仿宋" w:cs="仿宋"/>
          <w:sz w:val="32"/>
          <w:szCs w:val="32"/>
        </w:rPr>
        <w:t>①</w:t>
      </w:r>
      <w:r>
        <w:rPr>
          <w:rFonts w:ascii="仿宋" w:hAnsi="仿宋" w:eastAsia="仿宋" w:cs="仿宋"/>
          <w:sz w:val="32"/>
          <w:szCs w:val="32"/>
        </w:rPr>
        <w:fldChar w:fldCharType="end"/>
      </w:r>
      <w:r>
        <w:rPr>
          <w:rFonts w:hint="eastAsia" w:ascii="仿宋" w:hAnsi="仿宋" w:eastAsia="仿宋" w:cs="仿宋"/>
          <w:sz w:val="32"/>
          <w:szCs w:val="32"/>
        </w:rPr>
        <w:t>学前教育质量提升资金项目自评得分为</w:t>
      </w:r>
      <w:r>
        <w:rPr>
          <w:rFonts w:ascii="仿宋" w:hAnsi="仿宋" w:eastAsia="仿宋" w:cs="仿宋"/>
          <w:sz w:val="32"/>
          <w:szCs w:val="32"/>
        </w:rPr>
        <w:t>93.5</w:t>
      </w:r>
      <w:r>
        <w:rPr>
          <w:rFonts w:hint="eastAsia" w:ascii="仿宋" w:hAnsi="仿宋" w:eastAsia="仿宋" w:cs="仿宋"/>
          <w:sz w:val="32"/>
          <w:szCs w:val="32"/>
        </w:rPr>
        <w:t>分。发现的主要问题及原因：部分报账材料未能及时整理。下一步改进措施：及时整理报账材料，下年初完成年度资金进度安排。</w:t>
      </w:r>
    </w:p>
    <w:p>
      <w:pPr>
        <w:ind w:firstLine="640" w:firstLineChars="200"/>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w:instrText>
      </w:r>
      <w:r>
        <w:rPr>
          <w:rFonts w:hint="eastAsia" w:ascii="仿宋" w:hAnsi="仿宋" w:eastAsia="仿宋" w:cs="仿宋"/>
          <w:sz w:val="32"/>
          <w:szCs w:val="32"/>
        </w:rPr>
        <w:instrText xml:space="preserve">= 2 \* GB3</w:instrText>
      </w:r>
      <w:r>
        <w:rPr>
          <w:rFonts w:ascii="仿宋" w:hAnsi="仿宋" w:eastAsia="仿宋" w:cs="仿宋"/>
          <w:sz w:val="32"/>
          <w:szCs w:val="32"/>
        </w:rPr>
        <w:instrText xml:space="preserve"> </w:instrText>
      </w:r>
      <w:r>
        <w:rPr>
          <w:rFonts w:ascii="仿宋" w:hAnsi="仿宋" w:eastAsia="仿宋" w:cs="仿宋"/>
          <w:sz w:val="32"/>
          <w:szCs w:val="32"/>
        </w:rPr>
        <w:fldChar w:fldCharType="separate"/>
      </w:r>
      <w:r>
        <w:rPr>
          <w:rFonts w:hint="eastAsia" w:ascii="仿宋" w:hAnsi="仿宋" w:eastAsia="仿宋" w:cs="仿宋"/>
          <w:sz w:val="32"/>
          <w:szCs w:val="32"/>
        </w:rPr>
        <w:t>②</w:t>
      </w:r>
      <w:r>
        <w:rPr>
          <w:rFonts w:ascii="仿宋" w:hAnsi="仿宋" w:eastAsia="仿宋" w:cs="仿宋"/>
          <w:sz w:val="32"/>
          <w:szCs w:val="32"/>
        </w:rPr>
        <w:fldChar w:fldCharType="end"/>
      </w:r>
      <w:r>
        <w:rPr>
          <w:rFonts w:hint="eastAsia"/>
        </w:rPr>
        <w:t xml:space="preserve"> </w:t>
      </w:r>
      <w:r>
        <w:rPr>
          <w:rFonts w:hint="eastAsia" w:ascii="仿宋" w:hAnsi="仿宋" w:eastAsia="仿宋" w:cs="仿宋"/>
          <w:sz w:val="32"/>
          <w:szCs w:val="32"/>
        </w:rPr>
        <w:t>学前生均公用经费项目自评得分为</w:t>
      </w:r>
      <w:r>
        <w:rPr>
          <w:rFonts w:ascii="仿宋" w:hAnsi="仿宋" w:eastAsia="仿宋" w:cs="仿宋"/>
          <w:sz w:val="32"/>
          <w:szCs w:val="32"/>
        </w:rPr>
        <w:t>90.66</w:t>
      </w:r>
      <w:r>
        <w:rPr>
          <w:rFonts w:hint="eastAsia" w:ascii="仿宋" w:hAnsi="仿宋" w:eastAsia="仿宋" w:cs="仿宋"/>
          <w:sz w:val="32"/>
          <w:szCs w:val="32"/>
        </w:rPr>
        <w:t>分。发现的主要问题及原因：部分报账材料未能及时整理。下一步改进措施：及时整理报账材料，下年初完成年度资金进度安排。</w:t>
      </w:r>
    </w:p>
    <w:p>
      <w:pPr>
        <w:ind w:firstLine="640" w:firstLineChars="200"/>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w:instrText>
      </w:r>
      <w:r>
        <w:rPr>
          <w:rFonts w:hint="eastAsia" w:ascii="仿宋" w:hAnsi="仿宋" w:eastAsia="仿宋" w:cs="仿宋"/>
          <w:sz w:val="32"/>
          <w:szCs w:val="32"/>
        </w:rPr>
        <w:instrText xml:space="preserve">= 3 \* GB3</w:instrText>
      </w:r>
      <w:r>
        <w:rPr>
          <w:rFonts w:ascii="仿宋" w:hAnsi="仿宋" w:eastAsia="仿宋" w:cs="仿宋"/>
          <w:sz w:val="32"/>
          <w:szCs w:val="32"/>
        </w:rPr>
        <w:instrText xml:space="preserve"> </w:instrText>
      </w:r>
      <w:r>
        <w:rPr>
          <w:rFonts w:ascii="仿宋" w:hAnsi="仿宋" w:eastAsia="仿宋" w:cs="仿宋"/>
          <w:sz w:val="32"/>
          <w:szCs w:val="32"/>
        </w:rPr>
        <w:fldChar w:fldCharType="separate"/>
      </w:r>
      <w:r>
        <w:rPr>
          <w:rFonts w:hint="eastAsia" w:ascii="仿宋" w:hAnsi="仿宋" w:eastAsia="仿宋" w:cs="仿宋"/>
          <w:sz w:val="32"/>
          <w:szCs w:val="32"/>
        </w:rPr>
        <w:t>③</w:t>
      </w:r>
      <w:r>
        <w:rPr>
          <w:rFonts w:ascii="仿宋" w:hAnsi="仿宋" w:eastAsia="仿宋" w:cs="仿宋"/>
          <w:sz w:val="32"/>
          <w:szCs w:val="32"/>
        </w:rPr>
        <w:fldChar w:fldCharType="end"/>
      </w:r>
      <w:r>
        <w:rPr>
          <w:rFonts w:hint="eastAsia" w:ascii="仿宋" w:hAnsi="仿宋" w:eastAsia="仿宋" w:cs="仿宋"/>
          <w:sz w:val="32"/>
          <w:szCs w:val="32"/>
        </w:rPr>
        <w:t>环江毛南族自治县第一幼儿园年初预算经费保教费项目自评得分为</w:t>
      </w:r>
      <w:r>
        <w:rPr>
          <w:rFonts w:ascii="仿宋" w:hAnsi="仿宋" w:eastAsia="仿宋" w:cs="仿宋"/>
          <w:sz w:val="32"/>
          <w:szCs w:val="32"/>
        </w:rPr>
        <w:t>93.18</w:t>
      </w:r>
      <w:r>
        <w:rPr>
          <w:rFonts w:hint="eastAsia" w:ascii="仿宋" w:hAnsi="仿宋" w:eastAsia="仿宋" w:cs="仿宋"/>
          <w:sz w:val="32"/>
          <w:szCs w:val="32"/>
        </w:rPr>
        <w:t>分。发现的主要问题及原因：部分报账材料未能及时整理。下一步改进措施：及时整理报账材料，下年初完成年度资金进度安排。</w:t>
      </w:r>
    </w:p>
    <w:p>
      <w:pPr>
        <w:ind w:firstLine="640" w:firstLineChars="200"/>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w:instrText>
      </w:r>
      <w:r>
        <w:rPr>
          <w:rFonts w:hint="eastAsia" w:ascii="仿宋" w:hAnsi="仿宋" w:eastAsia="仿宋" w:cs="仿宋"/>
          <w:sz w:val="32"/>
          <w:szCs w:val="32"/>
        </w:rPr>
        <w:instrText xml:space="preserve">= 4 \* GB3</w:instrText>
      </w:r>
      <w:r>
        <w:rPr>
          <w:rFonts w:ascii="仿宋" w:hAnsi="仿宋" w:eastAsia="仿宋" w:cs="仿宋"/>
          <w:sz w:val="32"/>
          <w:szCs w:val="32"/>
        </w:rPr>
        <w:instrText xml:space="preserve"> </w:instrText>
      </w:r>
      <w:r>
        <w:rPr>
          <w:rFonts w:ascii="仿宋" w:hAnsi="仿宋" w:eastAsia="仿宋" w:cs="仿宋"/>
          <w:sz w:val="32"/>
          <w:szCs w:val="32"/>
        </w:rPr>
        <w:fldChar w:fldCharType="separate"/>
      </w:r>
      <w:r>
        <w:rPr>
          <w:rFonts w:hint="eastAsia" w:ascii="仿宋" w:hAnsi="仿宋" w:eastAsia="仿宋" w:cs="仿宋"/>
          <w:sz w:val="32"/>
          <w:szCs w:val="32"/>
        </w:rPr>
        <w:t>④</w:t>
      </w:r>
      <w:r>
        <w:rPr>
          <w:rFonts w:ascii="仿宋" w:hAnsi="仿宋" w:eastAsia="仿宋" w:cs="仿宋"/>
          <w:sz w:val="32"/>
          <w:szCs w:val="32"/>
        </w:rPr>
        <w:fldChar w:fldCharType="end"/>
      </w:r>
      <w:r>
        <w:rPr>
          <w:rFonts w:hint="eastAsia" w:ascii="仿宋" w:hAnsi="仿宋" w:eastAsia="仿宋" w:cs="仿宋"/>
          <w:sz w:val="32"/>
          <w:szCs w:val="32"/>
        </w:rPr>
        <w:t>奖励性补贴项目自评得分为100分。发现的主要问题及原因：无。</w:t>
      </w:r>
    </w:p>
    <w:p>
      <w:pPr>
        <w:ind w:firstLine="640" w:firstLineChars="200"/>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w:instrText>
      </w:r>
      <w:r>
        <w:rPr>
          <w:rFonts w:hint="eastAsia" w:ascii="仿宋" w:hAnsi="仿宋" w:eastAsia="仿宋" w:cs="仿宋"/>
          <w:sz w:val="32"/>
          <w:szCs w:val="32"/>
        </w:rPr>
        <w:instrText xml:space="preserve">= 5 \* GB3</w:instrText>
      </w:r>
      <w:r>
        <w:rPr>
          <w:rFonts w:ascii="仿宋" w:hAnsi="仿宋" w:eastAsia="仿宋" w:cs="仿宋"/>
          <w:sz w:val="32"/>
          <w:szCs w:val="32"/>
        </w:rPr>
        <w:instrText xml:space="preserve"> </w:instrText>
      </w:r>
      <w:r>
        <w:rPr>
          <w:rFonts w:ascii="仿宋" w:hAnsi="仿宋" w:eastAsia="仿宋" w:cs="仿宋"/>
          <w:sz w:val="32"/>
          <w:szCs w:val="32"/>
        </w:rPr>
        <w:fldChar w:fldCharType="separate"/>
      </w:r>
      <w:r>
        <w:rPr>
          <w:rFonts w:hint="eastAsia" w:ascii="仿宋" w:hAnsi="仿宋" w:eastAsia="仿宋" w:cs="仿宋"/>
          <w:sz w:val="32"/>
          <w:szCs w:val="32"/>
        </w:rPr>
        <w:t>⑤</w:t>
      </w:r>
      <w:r>
        <w:rPr>
          <w:rFonts w:ascii="仿宋" w:hAnsi="仿宋" w:eastAsia="仿宋" w:cs="仿宋"/>
          <w:sz w:val="32"/>
          <w:szCs w:val="32"/>
        </w:rPr>
        <w:fldChar w:fldCharType="end"/>
      </w:r>
      <w:r>
        <w:rPr>
          <w:rFonts w:hint="eastAsia"/>
        </w:rPr>
        <w:t xml:space="preserve"> </w:t>
      </w:r>
      <w:r>
        <w:rPr>
          <w:rFonts w:hint="eastAsia" w:ascii="仿宋" w:hAnsi="仿宋" w:eastAsia="仿宋" w:cs="仿宋"/>
          <w:sz w:val="32"/>
          <w:szCs w:val="32"/>
        </w:rPr>
        <w:t>教师节经费项目自评得分为100分。发现的主要问题及原因：无。</w:t>
      </w:r>
    </w:p>
    <w:p>
      <w:pPr>
        <w:ind w:firstLine="640" w:firstLineChars="200"/>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w:instrText>
      </w:r>
      <w:r>
        <w:rPr>
          <w:rFonts w:hint="eastAsia" w:ascii="仿宋" w:hAnsi="仿宋" w:eastAsia="仿宋" w:cs="仿宋"/>
          <w:sz w:val="32"/>
          <w:szCs w:val="32"/>
        </w:rPr>
        <w:instrText xml:space="preserve">= 6 \* GB3</w:instrText>
      </w:r>
      <w:r>
        <w:rPr>
          <w:rFonts w:ascii="仿宋" w:hAnsi="仿宋" w:eastAsia="仿宋" w:cs="仿宋"/>
          <w:sz w:val="32"/>
          <w:szCs w:val="32"/>
        </w:rPr>
        <w:instrText xml:space="preserve"> </w:instrText>
      </w:r>
      <w:r>
        <w:rPr>
          <w:rFonts w:ascii="仿宋" w:hAnsi="仿宋" w:eastAsia="仿宋" w:cs="仿宋"/>
          <w:sz w:val="32"/>
          <w:szCs w:val="32"/>
        </w:rPr>
        <w:fldChar w:fldCharType="separate"/>
      </w:r>
      <w:r>
        <w:rPr>
          <w:rFonts w:hint="eastAsia" w:ascii="仿宋" w:hAnsi="仿宋" w:eastAsia="仿宋" w:cs="仿宋"/>
          <w:sz w:val="32"/>
          <w:szCs w:val="32"/>
        </w:rPr>
        <w:t>⑥</w:t>
      </w:r>
      <w:r>
        <w:rPr>
          <w:rFonts w:ascii="仿宋" w:hAnsi="仿宋" w:eastAsia="仿宋" w:cs="仿宋"/>
          <w:sz w:val="32"/>
          <w:szCs w:val="32"/>
        </w:rPr>
        <w:fldChar w:fldCharType="end"/>
      </w:r>
      <w:r>
        <w:rPr>
          <w:rFonts w:hint="eastAsia" w:ascii="仿宋" w:hAnsi="仿宋" w:eastAsia="仿宋" w:cs="仿宋"/>
          <w:sz w:val="32"/>
          <w:szCs w:val="32"/>
        </w:rPr>
        <w:t>学前教育免除保教费自治区补助资金项目自评得分为</w:t>
      </w:r>
      <w:r>
        <w:rPr>
          <w:rFonts w:ascii="仿宋" w:hAnsi="仿宋" w:eastAsia="仿宋" w:cs="仿宋"/>
          <w:sz w:val="32"/>
          <w:szCs w:val="32"/>
        </w:rPr>
        <w:t>94.3</w:t>
      </w:r>
      <w:r>
        <w:rPr>
          <w:rFonts w:hint="eastAsia" w:ascii="仿宋" w:hAnsi="仿宋" w:eastAsia="仿宋" w:cs="仿宋"/>
          <w:sz w:val="32"/>
          <w:szCs w:val="32"/>
        </w:rPr>
        <w:t>分。发现的主要问题及原因：部分报账材料未能及时整理。下一步改进措施：及时整理报账材料，下年初完成年度资金进度安排。</w:t>
      </w:r>
    </w:p>
    <w:p>
      <w:pPr>
        <w:ind w:firstLine="640" w:firstLineChars="200"/>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w:instrText>
      </w:r>
      <w:r>
        <w:rPr>
          <w:rFonts w:hint="eastAsia" w:ascii="仿宋" w:hAnsi="仿宋" w:eastAsia="仿宋" w:cs="仿宋"/>
          <w:sz w:val="32"/>
          <w:szCs w:val="32"/>
        </w:rPr>
        <w:instrText xml:space="preserve">= 7 \* GB3</w:instrText>
      </w:r>
      <w:r>
        <w:rPr>
          <w:rFonts w:ascii="仿宋" w:hAnsi="仿宋" w:eastAsia="仿宋" w:cs="仿宋"/>
          <w:sz w:val="32"/>
          <w:szCs w:val="32"/>
        </w:rPr>
        <w:instrText xml:space="preserve"> </w:instrText>
      </w:r>
      <w:r>
        <w:rPr>
          <w:rFonts w:ascii="仿宋" w:hAnsi="仿宋" w:eastAsia="仿宋" w:cs="仿宋"/>
          <w:sz w:val="32"/>
          <w:szCs w:val="32"/>
        </w:rPr>
        <w:fldChar w:fldCharType="separate"/>
      </w:r>
      <w:r>
        <w:rPr>
          <w:rFonts w:hint="eastAsia" w:ascii="仿宋" w:hAnsi="仿宋" w:eastAsia="仿宋" w:cs="仿宋"/>
          <w:sz w:val="32"/>
          <w:szCs w:val="32"/>
        </w:rPr>
        <w:t>⑦</w:t>
      </w:r>
      <w:r>
        <w:rPr>
          <w:rFonts w:ascii="仿宋" w:hAnsi="仿宋" w:eastAsia="仿宋" w:cs="仿宋"/>
          <w:sz w:val="32"/>
          <w:szCs w:val="32"/>
        </w:rPr>
        <w:fldChar w:fldCharType="end"/>
      </w:r>
      <w:r>
        <w:rPr>
          <w:rFonts w:hint="eastAsia"/>
        </w:rPr>
        <w:t xml:space="preserve"> </w:t>
      </w:r>
      <w:r>
        <w:rPr>
          <w:rFonts w:hint="eastAsia" w:ascii="仿宋" w:hAnsi="仿宋" w:eastAsia="仿宋" w:cs="仿宋"/>
          <w:sz w:val="32"/>
          <w:szCs w:val="32"/>
        </w:rPr>
        <w:t>班主任津贴项目自评得分为</w:t>
      </w:r>
      <w:r>
        <w:rPr>
          <w:rFonts w:ascii="仿宋" w:hAnsi="仿宋" w:eastAsia="仿宋" w:cs="仿宋"/>
          <w:sz w:val="32"/>
          <w:szCs w:val="32"/>
        </w:rPr>
        <w:t>98.48</w:t>
      </w:r>
      <w:r>
        <w:rPr>
          <w:rFonts w:hint="eastAsia" w:ascii="仿宋" w:hAnsi="仿宋" w:eastAsia="仿宋" w:cs="仿宋"/>
          <w:sz w:val="32"/>
          <w:szCs w:val="32"/>
        </w:rPr>
        <w:t>分。发现的主要问题及原因：部分报账材料未能及时整理。下一步改进措施：及时整理报账材料，下年初完成年度资金进度安排。</w:t>
      </w:r>
    </w:p>
    <w:p>
      <w:pPr>
        <w:ind w:firstLine="640" w:firstLineChars="200"/>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w:instrText>
      </w:r>
      <w:r>
        <w:rPr>
          <w:rFonts w:hint="eastAsia" w:ascii="仿宋" w:hAnsi="仿宋" w:eastAsia="仿宋" w:cs="仿宋"/>
          <w:sz w:val="32"/>
          <w:szCs w:val="32"/>
        </w:rPr>
        <w:instrText xml:space="preserve">= 8 \* GB3</w:instrText>
      </w:r>
      <w:r>
        <w:rPr>
          <w:rFonts w:ascii="仿宋" w:hAnsi="仿宋" w:eastAsia="仿宋" w:cs="仿宋"/>
          <w:sz w:val="32"/>
          <w:szCs w:val="32"/>
        </w:rPr>
        <w:instrText xml:space="preserve"> </w:instrText>
      </w:r>
      <w:r>
        <w:rPr>
          <w:rFonts w:ascii="仿宋" w:hAnsi="仿宋" w:eastAsia="仿宋" w:cs="仿宋"/>
          <w:sz w:val="32"/>
          <w:szCs w:val="32"/>
        </w:rPr>
        <w:fldChar w:fldCharType="separate"/>
      </w:r>
      <w:r>
        <w:rPr>
          <w:rFonts w:hint="eastAsia" w:ascii="仿宋" w:hAnsi="仿宋" w:eastAsia="仿宋" w:cs="仿宋"/>
          <w:sz w:val="32"/>
          <w:szCs w:val="32"/>
        </w:rPr>
        <w:t>⑧</w:t>
      </w:r>
      <w:r>
        <w:rPr>
          <w:rFonts w:ascii="仿宋" w:hAnsi="仿宋" w:eastAsia="仿宋" w:cs="仿宋"/>
          <w:sz w:val="32"/>
          <w:szCs w:val="32"/>
        </w:rPr>
        <w:fldChar w:fldCharType="end"/>
      </w:r>
      <w:r>
        <w:rPr>
          <w:rFonts w:hint="eastAsia" w:ascii="仿宋" w:hAnsi="仿宋" w:eastAsia="仿宋" w:cs="仿宋"/>
          <w:sz w:val="32"/>
          <w:szCs w:val="32"/>
        </w:rPr>
        <w:t>奖励性补贴(非三保)项目自评得分为100分。发现的主要问题及原因：无。</w:t>
      </w:r>
    </w:p>
    <w:p>
      <w:pPr>
        <w:ind w:firstLine="640" w:firstLineChars="200"/>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w:instrText>
      </w:r>
      <w:r>
        <w:rPr>
          <w:rFonts w:hint="eastAsia" w:ascii="仿宋" w:hAnsi="仿宋" w:eastAsia="仿宋" w:cs="仿宋"/>
          <w:sz w:val="32"/>
          <w:szCs w:val="32"/>
        </w:rPr>
        <w:instrText xml:space="preserve">= 9 \* GB3</w:instrText>
      </w:r>
      <w:r>
        <w:rPr>
          <w:rFonts w:ascii="仿宋" w:hAnsi="仿宋" w:eastAsia="仿宋" w:cs="仿宋"/>
          <w:sz w:val="32"/>
          <w:szCs w:val="32"/>
        </w:rPr>
        <w:instrText xml:space="preserve"> </w:instrText>
      </w:r>
      <w:r>
        <w:rPr>
          <w:rFonts w:ascii="仿宋" w:hAnsi="仿宋" w:eastAsia="仿宋" w:cs="仿宋"/>
          <w:sz w:val="32"/>
          <w:szCs w:val="32"/>
        </w:rPr>
        <w:fldChar w:fldCharType="separate"/>
      </w:r>
      <w:r>
        <w:rPr>
          <w:rFonts w:hint="eastAsia" w:ascii="仿宋" w:hAnsi="仿宋" w:eastAsia="仿宋" w:cs="仿宋"/>
          <w:sz w:val="32"/>
          <w:szCs w:val="32"/>
        </w:rPr>
        <w:t>⑨</w:t>
      </w:r>
      <w:r>
        <w:rPr>
          <w:rFonts w:ascii="仿宋" w:hAnsi="仿宋" w:eastAsia="仿宋" w:cs="仿宋"/>
          <w:sz w:val="32"/>
          <w:szCs w:val="32"/>
        </w:rPr>
        <w:fldChar w:fldCharType="end"/>
      </w:r>
      <w:r>
        <w:rPr>
          <w:rFonts w:hint="eastAsia"/>
        </w:rPr>
        <w:t xml:space="preserve"> </w:t>
      </w:r>
      <w:r>
        <w:rPr>
          <w:rFonts w:hint="eastAsia" w:ascii="仿宋" w:hAnsi="仿宋" w:eastAsia="仿宋" w:cs="仿宋"/>
          <w:sz w:val="32"/>
          <w:szCs w:val="32"/>
        </w:rPr>
        <w:t>普惠性民办幼儿园奖补中央补助资金项目自评得分为</w:t>
      </w:r>
      <w:r>
        <w:rPr>
          <w:rFonts w:ascii="仿宋" w:hAnsi="仿宋" w:eastAsia="仿宋" w:cs="仿宋"/>
          <w:sz w:val="32"/>
          <w:szCs w:val="32"/>
        </w:rPr>
        <w:t>92.56</w:t>
      </w:r>
      <w:r>
        <w:rPr>
          <w:rFonts w:hint="eastAsia" w:ascii="仿宋" w:hAnsi="仿宋" w:eastAsia="仿宋" w:cs="仿宋"/>
          <w:sz w:val="32"/>
          <w:szCs w:val="32"/>
        </w:rPr>
        <w:t>分。发现的主要问题及原因：部分报账材料未能及时整理。下一步改进措施：及时整理报账材料，下年初完成年度资金进度安排。</w:t>
      </w:r>
    </w:p>
    <w:p>
      <w:pPr>
        <w:ind w:firstLine="640" w:firstLineChars="200"/>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w:instrText>
      </w:r>
      <w:r>
        <w:rPr>
          <w:rFonts w:hint="eastAsia" w:ascii="仿宋" w:hAnsi="仿宋" w:eastAsia="仿宋" w:cs="仿宋"/>
          <w:sz w:val="32"/>
          <w:szCs w:val="32"/>
        </w:rPr>
        <w:instrText xml:space="preserve">= 10 \* GB3</w:instrText>
      </w:r>
      <w:r>
        <w:rPr>
          <w:rFonts w:ascii="仿宋" w:hAnsi="仿宋" w:eastAsia="仿宋" w:cs="仿宋"/>
          <w:sz w:val="32"/>
          <w:szCs w:val="32"/>
        </w:rPr>
        <w:instrText xml:space="preserve"> </w:instrText>
      </w:r>
      <w:r>
        <w:rPr>
          <w:rFonts w:ascii="仿宋" w:hAnsi="仿宋" w:eastAsia="仿宋" w:cs="仿宋"/>
          <w:sz w:val="32"/>
          <w:szCs w:val="32"/>
        </w:rPr>
        <w:fldChar w:fldCharType="separate"/>
      </w:r>
      <w:r>
        <w:rPr>
          <w:rFonts w:hint="eastAsia" w:ascii="仿宋" w:hAnsi="仿宋" w:eastAsia="仿宋" w:cs="仿宋"/>
          <w:sz w:val="32"/>
          <w:szCs w:val="32"/>
        </w:rPr>
        <w:t>⑩</w:t>
      </w:r>
      <w:r>
        <w:rPr>
          <w:rFonts w:ascii="仿宋" w:hAnsi="仿宋" w:eastAsia="仿宋" w:cs="仿宋"/>
          <w:sz w:val="32"/>
          <w:szCs w:val="32"/>
        </w:rPr>
        <w:fldChar w:fldCharType="end"/>
      </w:r>
      <w:r>
        <w:rPr>
          <w:rFonts w:hint="eastAsia"/>
        </w:rPr>
        <w:t xml:space="preserve"> </w:t>
      </w:r>
      <w:r>
        <w:rPr>
          <w:rFonts w:hint="eastAsia" w:ascii="仿宋" w:hAnsi="仿宋" w:eastAsia="仿宋" w:cs="仿宋"/>
          <w:sz w:val="32"/>
          <w:szCs w:val="32"/>
        </w:rPr>
        <w:t>学前教育免保教费县本级补助资金项目自评得分为</w:t>
      </w:r>
      <w:r>
        <w:rPr>
          <w:rFonts w:ascii="仿宋" w:hAnsi="仿宋" w:eastAsia="仿宋" w:cs="仿宋"/>
          <w:sz w:val="32"/>
          <w:szCs w:val="32"/>
        </w:rPr>
        <w:t>99.4</w:t>
      </w:r>
      <w:r>
        <w:rPr>
          <w:rFonts w:hint="eastAsia" w:ascii="仿宋" w:hAnsi="仿宋" w:eastAsia="仿宋" w:cs="仿宋"/>
          <w:sz w:val="32"/>
          <w:szCs w:val="32"/>
        </w:rPr>
        <w:t>分。发现的主要问题及原因：部分报账材料未能及时整理。下一步改进措施：及时整理报账材料，下年初完成年度资金进度安排。</w:t>
      </w:r>
    </w:p>
    <w:p>
      <w:pPr>
        <w:ind w:firstLine="640" w:firstLineChars="200"/>
        <w:rPr>
          <w:rFonts w:ascii="仿宋" w:hAnsi="仿宋" w:eastAsia="仿宋" w:cs="仿宋"/>
          <w:sz w:val="32"/>
          <w:szCs w:val="32"/>
        </w:rPr>
      </w:pPr>
      <w:r>
        <w:rPr>
          <w:rFonts w:ascii="仿宋" w:hAnsi="仿宋" w:eastAsia="仿宋" w:cs="仿宋"/>
          <w:sz w:val="32"/>
          <w:szCs w:val="32"/>
        </w:rPr>
        <w:fldChar w:fldCharType="begin"/>
      </w:r>
      <w:r>
        <w:rPr>
          <w:rFonts w:ascii="仿宋" w:hAnsi="仿宋" w:eastAsia="仿宋" w:cs="仿宋"/>
          <w:sz w:val="32"/>
          <w:szCs w:val="32"/>
        </w:rPr>
        <w:instrText xml:space="preserve"> </w:instrText>
      </w:r>
      <w:r>
        <w:rPr>
          <w:rFonts w:hint="eastAsia" w:ascii="仿宋" w:hAnsi="仿宋" w:eastAsia="仿宋" w:cs="仿宋"/>
          <w:sz w:val="32"/>
          <w:szCs w:val="32"/>
        </w:rPr>
        <w:instrText xml:space="preserve">= 11 </w:instrText>
      </w:r>
      <w:r>
        <w:rPr>
          <w:rFonts w:ascii="仿宋" w:hAnsi="仿宋" w:eastAsia="仿宋" w:cs="仿宋"/>
          <w:sz w:val="32"/>
          <w:szCs w:val="32"/>
        </w:rPr>
        <w:instrText xml:space="preserve"> </w:instrText>
      </w:r>
      <w:r>
        <w:rPr>
          <w:rFonts w:ascii="仿宋" w:hAnsi="仿宋" w:eastAsia="仿宋" w:cs="仿宋"/>
          <w:sz w:val="32"/>
          <w:szCs w:val="32"/>
        </w:rPr>
        <w:fldChar w:fldCharType="separate"/>
      </w:r>
      <w:r>
        <w:rPr>
          <w:rFonts w:ascii="仿宋" w:hAnsi="仿宋" w:eastAsia="仿宋" w:cs="仿宋"/>
          <w:sz w:val="32"/>
          <w:szCs w:val="32"/>
        </w:rPr>
        <w:t>11</w:t>
      </w:r>
      <w:r>
        <w:rPr>
          <w:rFonts w:ascii="仿宋" w:hAnsi="仿宋" w:eastAsia="仿宋" w:cs="仿宋"/>
          <w:sz w:val="32"/>
          <w:szCs w:val="32"/>
        </w:rPr>
        <w:fldChar w:fldCharType="end"/>
      </w:r>
      <w:r>
        <w:rPr>
          <w:rFonts w:hint="eastAsia" w:ascii="仿宋" w:hAnsi="仿宋" w:eastAsia="仿宋" w:cs="仿宋"/>
          <w:sz w:val="32"/>
          <w:szCs w:val="32"/>
        </w:rPr>
        <w:t>.全县校长绩效工资项目自评得分为100分。发现的主要问题及原因：部分报账材料未能及时整理。无。</w:t>
      </w:r>
    </w:p>
    <w:p>
      <w:pPr>
        <w:ind w:firstLine="640" w:firstLineChars="200"/>
        <w:rPr>
          <w:rFonts w:ascii="仿宋" w:hAnsi="仿宋" w:eastAsia="仿宋" w:cs="仿宋"/>
          <w:sz w:val="32"/>
          <w:szCs w:val="32"/>
        </w:rPr>
      </w:pPr>
      <w:r>
        <w:rPr>
          <w:rFonts w:hint="eastAsia" w:ascii="仿宋" w:hAnsi="仿宋" w:eastAsia="仿宋" w:cs="仿宋"/>
          <w:sz w:val="32"/>
          <w:szCs w:val="32"/>
        </w:rPr>
        <w:t>12.</w:t>
      </w:r>
      <w:r>
        <w:rPr>
          <w:rFonts w:hint="eastAsia"/>
        </w:rPr>
        <w:t xml:space="preserve"> </w:t>
      </w:r>
      <w:r>
        <w:rPr>
          <w:rFonts w:hint="eastAsia" w:ascii="仿宋" w:hAnsi="仿宋" w:eastAsia="仿宋" w:cs="仿宋"/>
          <w:sz w:val="32"/>
          <w:szCs w:val="32"/>
        </w:rPr>
        <w:t>环江县第一幼儿园2022年年初预算经费(教育保育费)项目自评得分为100分。发现的主要问题及原因：无。</w:t>
      </w:r>
    </w:p>
    <w:p>
      <w:pPr>
        <w:ind w:firstLine="640" w:firstLineChars="200"/>
        <w:rPr>
          <w:rFonts w:ascii="仿宋" w:hAnsi="仿宋" w:eastAsia="仿宋" w:cs="仿宋"/>
          <w:sz w:val="32"/>
          <w:szCs w:val="32"/>
        </w:rPr>
      </w:pPr>
      <w:r>
        <w:rPr>
          <w:rFonts w:hint="eastAsia" w:ascii="仿宋" w:hAnsi="仿宋" w:eastAsia="仿宋" w:cs="仿宋"/>
          <w:sz w:val="32"/>
          <w:szCs w:val="32"/>
        </w:rPr>
        <w:t>13.</w:t>
      </w:r>
      <w:r>
        <w:rPr>
          <w:rFonts w:hint="eastAsia"/>
        </w:rPr>
        <w:t xml:space="preserve"> </w:t>
      </w:r>
      <w:r>
        <w:rPr>
          <w:rFonts w:hint="eastAsia" w:ascii="仿宋" w:hAnsi="仿宋" w:eastAsia="仿宋" w:cs="仿宋"/>
          <w:sz w:val="32"/>
          <w:szCs w:val="32"/>
        </w:rPr>
        <w:t>普惠性民办幼儿园专职保安员配备自治区补助经费项目自评得分为95分。发现的主要问题及原因：部分报账材料未能及时整理。下一步改进措施：及时整理报账材料，下年初完成年度资金进度安排。</w:t>
      </w:r>
    </w:p>
    <w:p>
      <w:pPr>
        <w:ind w:firstLine="640" w:firstLineChars="200"/>
        <w:rPr>
          <w:rFonts w:ascii="仿宋" w:hAnsi="仿宋" w:eastAsia="仿宋" w:cs="仿宋"/>
          <w:sz w:val="32"/>
          <w:szCs w:val="32"/>
        </w:rPr>
      </w:pPr>
      <w:r>
        <w:rPr>
          <w:rFonts w:hint="eastAsia" w:ascii="仿宋" w:hAnsi="仿宋" w:eastAsia="仿宋" w:cs="仿宋"/>
          <w:sz w:val="32"/>
          <w:szCs w:val="32"/>
        </w:rPr>
        <w:t>14.</w:t>
      </w:r>
      <w:r>
        <w:rPr>
          <w:rFonts w:hint="eastAsia"/>
        </w:rPr>
        <w:t xml:space="preserve"> </w:t>
      </w:r>
      <w:r>
        <w:rPr>
          <w:rFonts w:hint="eastAsia" w:ascii="仿宋" w:hAnsi="仿宋" w:eastAsia="仿宋" w:cs="仿宋"/>
          <w:sz w:val="32"/>
          <w:szCs w:val="32"/>
        </w:rPr>
        <w:t>学前教育免除保教费中央补助资金项目自评得分为</w:t>
      </w:r>
      <w:r>
        <w:rPr>
          <w:rFonts w:ascii="仿宋" w:hAnsi="仿宋" w:eastAsia="仿宋" w:cs="仿宋"/>
          <w:sz w:val="32"/>
          <w:szCs w:val="32"/>
        </w:rPr>
        <w:t>98.57</w:t>
      </w:r>
      <w:r>
        <w:rPr>
          <w:rFonts w:hint="eastAsia" w:ascii="仿宋" w:hAnsi="仿宋" w:eastAsia="仿宋" w:cs="仿宋"/>
          <w:sz w:val="32"/>
          <w:szCs w:val="32"/>
        </w:rPr>
        <w:t>分。发现的主要问题及原因：部分报账材料未能及时整理。下一步改进措施：及时整理报账材料，下年初完成年度资金进度安排。</w:t>
      </w:r>
    </w:p>
    <w:p>
      <w:pPr>
        <w:ind w:firstLine="640" w:firstLineChars="200"/>
        <w:rPr>
          <w:rFonts w:ascii="仿宋" w:hAnsi="仿宋" w:eastAsia="仿宋" w:cs="仿宋"/>
          <w:sz w:val="32"/>
          <w:szCs w:val="32"/>
        </w:rPr>
      </w:pPr>
      <w:r>
        <w:rPr>
          <w:rFonts w:hint="eastAsia" w:ascii="仿宋" w:hAnsi="仿宋" w:eastAsia="仿宋" w:cs="仿宋"/>
          <w:sz w:val="32"/>
          <w:szCs w:val="32"/>
        </w:rPr>
        <w:t>15.</w:t>
      </w:r>
      <w:r>
        <w:rPr>
          <w:rFonts w:hint="eastAsia"/>
        </w:rPr>
        <w:t xml:space="preserve"> </w:t>
      </w:r>
      <w:r>
        <w:rPr>
          <w:rFonts w:hint="eastAsia" w:ascii="仿宋" w:hAnsi="仿宋" w:eastAsia="仿宋" w:cs="仿宋"/>
          <w:sz w:val="32"/>
          <w:szCs w:val="32"/>
        </w:rPr>
        <w:t>普惠幼儿园奖补县本级奖补资金项目自评得分为80分。发现的主要问题及原因：部分报账材料未能及时整理。下一步改进措施：及时整理报账材料，下年初完成年度资金进度安排。</w:t>
      </w:r>
    </w:p>
    <w:p>
      <w:pPr>
        <w:ind w:firstLine="640" w:firstLineChars="200"/>
        <w:rPr>
          <w:rFonts w:ascii="仿宋" w:hAnsi="仿宋" w:eastAsia="仿宋" w:cs="仿宋"/>
          <w:sz w:val="32"/>
          <w:szCs w:val="32"/>
        </w:rPr>
      </w:pPr>
      <w:r>
        <w:rPr>
          <w:rFonts w:hint="eastAsia" w:ascii="仿宋" w:hAnsi="仿宋" w:eastAsia="仿宋" w:cs="仿宋"/>
          <w:sz w:val="32"/>
          <w:szCs w:val="32"/>
        </w:rPr>
        <w:t>16.</w:t>
      </w:r>
      <w:r>
        <w:rPr>
          <w:rFonts w:hint="eastAsia"/>
        </w:rPr>
        <w:t xml:space="preserve"> </w:t>
      </w:r>
      <w:r>
        <w:rPr>
          <w:rFonts w:hint="eastAsia" w:ascii="仿宋" w:hAnsi="仿宋" w:eastAsia="仿宋" w:cs="仿宋"/>
          <w:sz w:val="32"/>
          <w:szCs w:val="32"/>
        </w:rPr>
        <w:t>党建工作经费项目自评得分为83分。发现的主要问题及原因：部分报账材料未能及时整理。下一步改进措施：及时整理报账材料，下年初完成年度资金进度安排。</w:t>
      </w:r>
    </w:p>
    <w:p>
      <w:pPr>
        <w:ind w:firstLine="640" w:firstLineChars="200"/>
        <w:rPr>
          <w:rFonts w:ascii="仿宋" w:hAnsi="仿宋" w:eastAsia="仿宋" w:cs="仿宋"/>
          <w:sz w:val="32"/>
          <w:szCs w:val="32"/>
        </w:rPr>
      </w:pPr>
      <w:r>
        <w:rPr>
          <w:rFonts w:hint="eastAsia" w:ascii="仿宋" w:hAnsi="仿宋" w:eastAsia="仿宋" w:cs="仿宋"/>
          <w:sz w:val="32"/>
          <w:szCs w:val="32"/>
        </w:rPr>
        <w:t>17.</w:t>
      </w:r>
      <w:r>
        <w:rPr>
          <w:rFonts w:hint="eastAsia"/>
        </w:rPr>
        <w:t xml:space="preserve"> </w:t>
      </w:r>
      <w:r>
        <w:rPr>
          <w:rFonts w:hint="eastAsia" w:ascii="仿宋" w:hAnsi="仿宋" w:eastAsia="仿宋" w:cs="仿宋"/>
          <w:sz w:val="32"/>
          <w:szCs w:val="32"/>
        </w:rPr>
        <w:t>六一儿童节活动经费项目自评得分为81分。发现的主要问题及原因：部分报账材料未能及时整理。下一步改进措施：及时整理报账材料，下年初完成年度资金进度安排。</w:t>
      </w:r>
    </w:p>
    <w:p>
      <w:pPr>
        <w:rPr>
          <w:rFonts w:ascii="仿宋" w:hAnsi="仿宋" w:eastAsia="仿宋" w:cs="仿宋"/>
          <w:sz w:val="32"/>
          <w:szCs w:val="32"/>
        </w:rPr>
      </w:pPr>
    </w:p>
    <w:p>
      <w:pPr>
        <w:rPr>
          <w:rFonts w:ascii="仿宋" w:hAnsi="仿宋" w:eastAsia="仿宋" w:cs="仿宋"/>
          <w:sz w:val="32"/>
          <w:szCs w:val="32"/>
        </w:rPr>
      </w:pPr>
    </w:p>
    <w:p>
      <w:pPr>
        <w:jc w:val="center"/>
        <w:rPr>
          <w:rFonts w:ascii="黑体" w:hAnsi="黑体" w:eastAsia="黑体" w:cs="黑体"/>
          <w:sz w:val="32"/>
          <w:szCs w:val="32"/>
        </w:rPr>
      </w:pPr>
      <w:r>
        <w:rPr>
          <w:rFonts w:hint="eastAsia" w:ascii="黑体" w:hAnsi="黑体" w:eastAsia="黑体" w:cs="黑体"/>
          <w:sz w:val="32"/>
          <w:szCs w:val="32"/>
        </w:rPr>
        <w:t>第四部分  名词解释</w:t>
      </w:r>
    </w:p>
    <w:p>
      <w:pPr>
        <w:jc w:val="left"/>
        <w:rPr>
          <w:rFonts w:ascii="仿宋" w:hAnsi="仿宋" w:eastAsia="仿宋" w:cs="仿宋"/>
          <w:sz w:val="32"/>
          <w:szCs w:val="32"/>
        </w:rPr>
      </w:pPr>
      <w:r>
        <w:rPr>
          <w:rFonts w:hint="eastAsia" w:ascii="仿宋" w:hAnsi="仿宋" w:eastAsia="仿宋" w:cs="仿宋"/>
          <w:sz w:val="32"/>
          <w:szCs w:val="32"/>
        </w:rPr>
        <w:t>一、财政拨款收入：指环江毛南族自治县环江毛南族自治县财政局门当年拨付的资金。</w:t>
      </w:r>
    </w:p>
    <w:p>
      <w:pPr>
        <w:jc w:val="left"/>
        <w:rPr>
          <w:rFonts w:ascii="仿宋" w:hAnsi="仿宋" w:eastAsia="仿宋" w:cs="仿宋"/>
          <w:sz w:val="32"/>
          <w:szCs w:val="32"/>
        </w:rPr>
      </w:pPr>
      <w:r>
        <w:rPr>
          <w:rFonts w:hint="eastAsia" w:ascii="仿宋" w:hAnsi="仿宋" w:eastAsia="仿宋" w:cs="仿宋"/>
          <w:sz w:val="32"/>
          <w:szCs w:val="32"/>
        </w:rPr>
        <w:t>二、事业收入：指事业单位开展专业业务活动及辅助活动所取得的收入。</w:t>
      </w:r>
    </w:p>
    <w:p>
      <w:pPr>
        <w:jc w:val="left"/>
        <w:rPr>
          <w:rFonts w:ascii="仿宋" w:hAnsi="仿宋" w:eastAsia="仿宋" w:cs="仿宋"/>
          <w:sz w:val="32"/>
          <w:szCs w:val="32"/>
        </w:rPr>
      </w:pPr>
      <w:r>
        <w:rPr>
          <w:rFonts w:hint="eastAsia" w:ascii="仿宋" w:hAnsi="仿宋" w:eastAsia="仿宋" w:cs="仿宋"/>
          <w:sz w:val="32"/>
          <w:szCs w:val="32"/>
        </w:rPr>
        <w:t>三、经营收入：指事业单位在专业业务活动及其辅助活动之外开展非独立核算经营活动取得的收入。</w:t>
      </w:r>
    </w:p>
    <w:p>
      <w:pPr>
        <w:jc w:val="left"/>
        <w:rPr>
          <w:rFonts w:ascii="仿宋" w:hAnsi="仿宋" w:eastAsia="仿宋" w:cs="仿宋"/>
          <w:sz w:val="32"/>
          <w:szCs w:val="32"/>
        </w:rPr>
      </w:pPr>
      <w:r>
        <w:rPr>
          <w:rFonts w:hint="eastAsia" w:ascii="仿宋" w:hAnsi="仿宋" w:eastAsia="仿宋" w:cs="仿宋"/>
          <w:sz w:val="32"/>
          <w:szCs w:val="32"/>
        </w:rPr>
        <w:t>四、其他收入：指除上述“财政拨款收入”“事业收入”“经营收入”等以外的收入。</w:t>
      </w:r>
    </w:p>
    <w:p>
      <w:pPr>
        <w:jc w:val="left"/>
        <w:rPr>
          <w:rFonts w:ascii="仿宋" w:hAnsi="仿宋" w:eastAsia="仿宋" w:cs="仿宋"/>
          <w:sz w:val="32"/>
          <w:szCs w:val="32"/>
        </w:rPr>
      </w:pPr>
      <w:r>
        <w:rPr>
          <w:rFonts w:hint="eastAsia" w:ascii="仿宋" w:hAnsi="仿宋" w:eastAsia="仿宋" w:cs="仿宋"/>
          <w:sz w:val="32"/>
          <w:szCs w:val="32"/>
        </w:rPr>
        <w:t>五、用事业基金弥补收支差额指事业单位在当年的“财政拨款收入”“事业收入”“经营收入”“其他收入”不足以安排当年支出的情况下，使用非财政拨款结余弥补本年度收支缺口的资金。</w:t>
      </w:r>
      <w:r>
        <w:rPr>
          <w:rFonts w:ascii="仿宋" w:hAnsi="仿宋" w:eastAsia="仿宋" w:cs="仿宋"/>
          <w:sz w:val="32"/>
          <w:szCs w:val="32"/>
        </w:rPr>
        <w:t> </w:t>
      </w:r>
    </w:p>
    <w:p>
      <w:pPr>
        <w:jc w:val="left"/>
        <w:rPr>
          <w:rFonts w:ascii="仿宋" w:hAnsi="仿宋" w:eastAsia="仿宋" w:cs="仿宋"/>
          <w:sz w:val="32"/>
          <w:szCs w:val="32"/>
        </w:rPr>
      </w:pPr>
      <w:r>
        <w:rPr>
          <w:rFonts w:hint="eastAsia" w:ascii="仿宋" w:hAnsi="仿宋" w:eastAsia="仿宋" w:cs="仿宋"/>
          <w:sz w:val="32"/>
          <w:szCs w:val="32"/>
        </w:rPr>
        <w:t>六、年初结转和结余：指以前年度尚未完成、结转到本年 按有关规定继续使用的资金。</w:t>
      </w:r>
    </w:p>
    <w:p>
      <w:pPr>
        <w:jc w:val="left"/>
        <w:rPr>
          <w:rFonts w:ascii="仿宋" w:hAnsi="仿宋" w:eastAsia="仿宋" w:cs="仿宋"/>
          <w:sz w:val="32"/>
          <w:szCs w:val="32"/>
        </w:rPr>
      </w:pPr>
      <w:r>
        <w:rPr>
          <w:rFonts w:hint="eastAsia" w:ascii="仿宋" w:hAnsi="仿宋" w:eastAsia="仿宋" w:cs="仿宋"/>
          <w:sz w:val="32"/>
          <w:szCs w:val="32"/>
        </w:rPr>
        <w:t>七、结余分配：指事业单位按规定提取的职工福利基金、事业基金和缴纳的所得税，以及建设单位按规定应交回的基本建设竣工项目结余资金。</w:t>
      </w:r>
      <w:r>
        <w:rPr>
          <w:rFonts w:ascii="仿宋" w:hAnsi="仿宋" w:eastAsia="仿宋" w:cs="仿宋"/>
          <w:sz w:val="32"/>
          <w:szCs w:val="32"/>
        </w:rPr>
        <w:t> </w:t>
      </w:r>
    </w:p>
    <w:p>
      <w:pPr>
        <w:jc w:val="left"/>
        <w:rPr>
          <w:rFonts w:ascii="仿宋" w:hAnsi="仿宋" w:eastAsia="仿宋" w:cs="仿宋"/>
          <w:sz w:val="32"/>
          <w:szCs w:val="32"/>
        </w:rPr>
      </w:pPr>
      <w:r>
        <w:rPr>
          <w:rFonts w:hint="eastAsia" w:ascii="仿宋" w:hAnsi="仿宋" w:eastAsia="仿宋" w:cs="仿宋"/>
          <w:sz w:val="32"/>
          <w:szCs w:val="32"/>
        </w:rPr>
        <w:t>八、年末结转和结余：指本年度或以前年度预算安排、因客观条件发生变化无法按原计划实施，需要延迟到以后年度按有关规定继续使用的资金。</w:t>
      </w:r>
      <w:r>
        <w:rPr>
          <w:rFonts w:ascii="仿宋" w:hAnsi="仿宋" w:eastAsia="仿宋" w:cs="仿宋"/>
          <w:sz w:val="32"/>
          <w:szCs w:val="32"/>
        </w:rPr>
        <w:t> </w:t>
      </w:r>
    </w:p>
    <w:p>
      <w:pPr>
        <w:jc w:val="left"/>
        <w:rPr>
          <w:rFonts w:ascii="仿宋" w:hAnsi="仿宋" w:eastAsia="仿宋" w:cs="仿宋"/>
          <w:sz w:val="32"/>
          <w:szCs w:val="32"/>
        </w:rPr>
      </w:pPr>
      <w:r>
        <w:rPr>
          <w:rFonts w:hint="eastAsia" w:ascii="仿宋" w:hAnsi="仿宋" w:eastAsia="仿宋" w:cs="仿宋"/>
          <w:sz w:val="32"/>
          <w:szCs w:val="32"/>
        </w:rPr>
        <w:t>九、基本支出：指为保障机构正常运转、完成日常工作任务而发生的人员支出和公用支出。</w:t>
      </w:r>
      <w:r>
        <w:rPr>
          <w:rFonts w:ascii="仿宋" w:hAnsi="仿宋" w:eastAsia="仿宋" w:cs="仿宋"/>
          <w:sz w:val="32"/>
          <w:szCs w:val="32"/>
        </w:rPr>
        <w:t> </w:t>
      </w:r>
    </w:p>
    <w:p>
      <w:pPr>
        <w:jc w:val="left"/>
        <w:rPr>
          <w:rFonts w:ascii="仿宋" w:hAnsi="仿宋" w:eastAsia="仿宋" w:cs="仿宋"/>
          <w:sz w:val="32"/>
          <w:szCs w:val="32"/>
        </w:rPr>
      </w:pPr>
      <w:r>
        <w:rPr>
          <w:rFonts w:hint="eastAsia" w:ascii="仿宋" w:hAnsi="仿宋" w:eastAsia="仿宋" w:cs="仿宋"/>
          <w:sz w:val="32"/>
          <w:szCs w:val="32"/>
        </w:rPr>
        <w:t>十、项目支出：指在基本支出之外为完成特定行政任务和事业发展目标所发生的支出。</w:t>
      </w:r>
      <w:r>
        <w:rPr>
          <w:rFonts w:ascii="仿宋" w:hAnsi="仿宋" w:eastAsia="仿宋" w:cs="仿宋"/>
          <w:sz w:val="32"/>
          <w:szCs w:val="32"/>
        </w:rPr>
        <w:t> </w:t>
      </w:r>
    </w:p>
    <w:p>
      <w:pPr>
        <w:jc w:val="left"/>
        <w:rPr>
          <w:rFonts w:ascii="仿宋" w:hAnsi="仿宋" w:eastAsia="仿宋" w:cs="仿宋"/>
          <w:sz w:val="32"/>
          <w:szCs w:val="32"/>
        </w:rPr>
      </w:pPr>
      <w:r>
        <w:rPr>
          <w:rFonts w:hint="eastAsia" w:ascii="仿宋" w:hAnsi="仿宋" w:eastAsia="仿宋" w:cs="仿宋"/>
          <w:sz w:val="32"/>
          <w:szCs w:val="32"/>
        </w:rPr>
        <w:t>十一、经营支出：指事业单位在专业业务活动及其辅助活动之外开展非独立核算经营活动发生的支出。</w:t>
      </w:r>
    </w:p>
    <w:p>
      <w:pPr>
        <w:jc w:val="left"/>
        <w:rPr>
          <w:rFonts w:ascii="仿宋" w:hAnsi="仿宋" w:eastAsia="仿宋" w:cs="仿宋"/>
          <w:sz w:val="32"/>
          <w:szCs w:val="32"/>
        </w:rPr>
      </w:pPr>
      <w:r>
        <w:rPr>
          <w:rFonts w:hint="eastAsia" w:ascii="仿宋" w:hAnsi="仿宋" w:eastAsia="仿宋" w:cs="仿宋"/>
          <w:sz w:val="32"/>
          <w:szCs w:val="32"/>
        </w:rPr>
        <w:t>十二、“三公”经费：纳入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 w:hAnsi="仿宋" w:eastAsia="仿宋" w:cs="仿宋"/>
          <w:sz w:val="32"/>
          <w:szCs w:val="32"/>
        </w:rPr>
        <w:t> </w:t>
      </w:r>
    </w:p>
    <w:p>
      <w:pPr>
        <w:jc w:val="left"/>
        <w:rPr>
          <w:rFonts w:ascii="仿宋" w:hAnsi="仿宋" w:eastAsia="仿宋" w:cs="仿宋"/>
          <w:sz w:val="32"/>
          <w:szCs w:val="32"/>
        </w:rPr>
        <w:sectPr>
          <w:pgSz w:w="11906" w:h="16838"/>
          <w:pgMar w:top="1440" w:right="1800" w:bottom="1440" w:left="1800" w:header="851" w:footer="992" w:gutter="0"/>
          <w:cols w:space="0" w:num="1"/>
          <w:docGrid w:type="lines" w:linePitch="312" w:charSpace="0"/>
        </w:sectPr>
      </w:pPr>
      <w:r>
        <w:rPr>
          <w:rFonts w:hint="eastAsia" w:ascii="仿宋" w:hAnsi="仿宋" w:eastAsia="仿宋" w:cs="仿宋"/>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left"/>
        <w:rPr>
          <w:rFonts w:ascii="仿宋" w:hAnsi="仿宋" w:eastAsia="仿宋" w:cs="仿宋"/>
          <w:color w:val="FF0000"/>
          <w:sz w:val="32"/>
          <w:szCs w:val="32"/>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FiOTZkYjkwN2Q1MTBhY2U1NDI3ZmEwNzcyMDM4OGMifQ=="/>
  </w:docVars>
  <w:rsids>
    <w:rsidRoot w:val="637D7558"/>
    <w:rsid w:val="00002C84"/>
    <w:rsid w:val="00022149"/>
    <w:rsid w:val="000263BC"/>
    <w:rsid w:val="00047F6C"/>
    <w:rsid w:val="000544E4"/>
    <w:rsid w:val="000650BA"/>
    <w:rsid w:val="00093C26"/>
    <w:rsid w:val="000949EC"/>
    <w:rsid w:val="00094B91"/>
    <w:rsid w:val="000B06D8"/>
    <w:rsid w:val="000B4732"/>
    <w:rsid w:val="000C2696"/>
    <w:rsid w:val="000E4711"/>
    <w:rsid w:val="000E5855"/>
    <w:rsid w:val="000F38D5"/>
    <w:rsid w:val="00115770"/>
    <w:rsid w:val="00121584"/>
    <w:rsid w:val="001418A5"/>
    <w:rsid w:val="00143029"/>
    <w:rsid w:val="00147D40"/>
    <w:rsid w:val="00156EF2"/>
    <w:rsid w:val="00170A1C"/>
    <w:rsid w:val="00187891"/>
    <w:rsid w:val="001A226E"/>
    <w:rsid w:val="001D300C"/>
    <w:rsid w:val="001D7B97"/>
    <w:rsid w:val="001E1210"/>
    <w:rsid w:val="002061AF"/>
    <w:rsid w:val="00210E20"/>
    <w:rsid w:val="00223F38"/>
    <w:rsid w:val="002253CF"/>
    <w:rsid w:val="00233613"/>
    <w:rsid w:val="00254DBE"/>
    <w:rsid w:val="00275CAB"/>
    <w:rsid w:val="0028709C"/>
    <w:rsid w:val="0029328F"/>
    <w:rsid w:val="002B2731"/>
    <w:rsid w:val="002B35FB"/>
    <w:rsid w:val="002C4CE2"/>
    <w:rsid w:val="002E376B"/>
    <w:rsid w:val="002F655B"/>
    <w:rsid w:val="003013FA"/>
    <w:rsid w:val="00311A27"/>
    <w:rsid w:val="00332464"/>
    <w:rsid w:val="00351B06"/>
    <w:rsid w:val="003645FA"/>
    <w:rsid w:val="00382867"/>
    <w:rsid w:val="003A4973"/>
    <w:rsid w:val="003C1C96"/>
    <w:rsid w:val="003C69F8"/>
    <w:rsid w:val="003E40BA"/>
    <w:rsid w:val="003E7165"/>
    <w:rsid w:val="003F3328"/>
    <w:rsid w:val="0041579D"/>
    <w:rsid w:val="00427074"/>
    <w:rsid w:val="00434D04"/>
    <w:rsid w:val="00454A98"/>
    <w:rsid w:val="004765D8"/>
    <w:rsid w:val="00497384"/>
    <w:rsid w:val="004A7663"/>
    <w:rsid w:val="004B4FCF"/>
    <w:rsid w:val="004C4D73"/>
    <w:rsid w:val="004D7D0E"/>
    <w:rsid w:val="004E1E23"/>
    <w:rsid w:val="005167DA"/>
    <w:rsid w:val="005234F5"/>
    <w:rsid w:val="00531745"/>
    <w:rsid w:val="00573E2B"/>
    <w:rsid w:val="00574196"/>
    <w:rsid w:val="005B571E"/>
    <w:rsid w:val="005C1BC8"/>
    <w:rsid w:val="006123AD"/>
    <w:rsid w:val="00645B83"/>
    <w:rsid w:val="0066173C"/>
    <w:rsid w:val="006C492A"/>
    <w:rsid w:val="006D677A"/>
    <w:rsid w:val="00704B45"/>
    <w:rsid w:val="00733AEA"/>
    <w:rsid w:val="00753BF3"/>
    <w:rsid w:val="007553E5"/>
    <w:rsid w:val="007640BB"/>
    <w:rsid w:val="007714BF"/>
    <w:rsid w:val="00771953"/>
    <w:rsid w:val="00776E0B"/>
    <w:rsid w:val="007831C4"/>
    <w:rsid w:val="007A0641"/>
    <w:rsid w:val="007A297A"/>
    <w:rsid w:val="007C52E7"/>
    <w:rsid w:val="007C54EA"/>
    <w:rsid w:val="007C776D"/>
    <w:rsid w:val="007D7CE3"/>
    <w:rsid w:val="007E2F6C"/>
    <w:rsid w:val="007E641C"/>
    <w:rsid w:val="007F6978"/>
    <w:rsid w:val="00817C69"/>
    <w:rsid w:val="00823A94"/>
    <w:rsid w:val="00824151"/>
    <w:rsid w:val="008315A9"/>
    <w:rsid w:val="00834354"/>
    <w:rsid w:val="00837F79"/>
    <w:rsid w:val="00896377"/>
    <w:rsid w:val="008A0929"/>
    <w:rsid w:val="008F1B95"/>
    <w:rsid w:val="008F1BD5"/>
    <w:rsid w:val="008F4AE2"/>
    <w:rsid w:val="008F6882"/>
    <w:rsid w:val="00920AA1"/>
    <w:rsid w:val="00934C72"/>
    <w:rsid w:val="00946CCF"/>
    <w:rsid w:val="00952F59"/>
    <w:rsid w:val="0097286F"/>
    <w:rsid w:val="00974F6C"/>
    <w:rsid w:val="0097721B"/>
    <w:rsid w:val="009831F8"/>
    <w:rsid w:val="009A3AC7"/>
    <w:rsid w:val="009B3E00"/>
    <w:rsid w:val="009C4F7A"/>
    <w:rsid w:val="009D1667"/>
    <w:rsid w:val="009F215C"/>
    <w:rsid w:val="00A001F0"/>
    <w:rsid w:val="00A07CCE"/>
    <w:rsid w:val="00A212D5"/>
    <w:rsid w:val="00A27266"/>
    <w:rsid w:val="00A27624"/>
    <w:rsid w:val="00A358E6"/>
    <w:rsid w:val="00A73AFD"/>
    <w:rsid w:val="00A96F13"/>
    <w:rsid w:val="00AA78EE"/>
    <w:rsid w:val="00AB53E1"/>
    <w:rsid w:val="00AC318E"/>
    <w:rsid w:val="00AC37EF"/>
    <w:rsid w:val="00AD5C4D"/>
    <w:rsid w:val="00AE5706"/>
    <w:rsid w:val="00AE5F66"/>
    <w:rsid w:val="00B0643A"/>
    <w:rsid w:val="00B07A0B"/>
    <w:rsid w:val="00B11616"/>
    <w:rsid w:val="00B162DB"/>
    <w:rsid w:val="00B22F28"/>
    <w:rsid w:val="00B37453"/>
    <w:rsid w:val="00B45479"/>
    <w:rsid w:val="00B60171"/>
    <w:rsid w:val="00B837AC"/>
    <w:rsid w:val="00B95E33"/>
    <w:rsid w:val="00BB4FB8"/>
    <w:rsid w:val="00BB6917"/>
    <w:rsid w:val="00BD315D"/>
    <w:rsid w:val="00BD4E57"/>
    <w:rsid w:val="00BE7F1E"/>
    <w:rsid w:val="00C31988"/>
    <w:rsid w:val="00C31D39"/>
    <w:rsid w:val="00C3279E"/>
    <w:rsid w:val="00C34857"/>
    <w:rsid w:val="00C40982"/>
    <w:rsid w:val="00CA2E26"/>
    <w:rsid w:val="00CC4A82"/>
    <w:rsid w:val="00D00918"/>
    <w:rsid w:val="00D06370"/>
    <w:rsid w:val="00D14326"/>
    <w:rsid w:val="00D157E2"/>
    <w:rsid w:val="00D36A1F"/>
    <w:rsid w:val="00D4580E"/>
    <w:rsid w:val="00D772CC"/>
    <w:rsid w:val="00D84F30"/>
    <w:rsid w:val="00D878A6"/>
    <w:rsid w:val="00DA5FBF"/>
    <w:rsid w:val="00DE58E8"/>
    <w:rsid w:val="00DE6656"/>
    <w:rsid w:val="00DE74BD"/>
    <w:rsid w:val="00DE7D07"/>
    <w:rsid w:val="00DF33E0"/>
    <w:rsid w:val="00DF45AE"/>
    <w:rsid w:val="00E26AF9"/>
    <w:rsid w:val="00E6742A"/>
    <w:rsid w:val="00E96C99"/>
    <w:rsid w:val="00EB7822"/>
    <w:rsid w:val="00EC4D86"/>
    <w:rsid w:val="00EC50A9"/>
    <w:rsid w:val="00ED04DB"/>
    <w:rsid w:val="00EF6F0B"/>
    <w:rsid w:val="00F1723B"/>
    <w:rsid w:val="00F20373"/>
    <w:rsid w:val="00F21455"/>
    <w:rsid w:val="00F5354B"/>
    <w:rsid w:val="00F54158"/>
    <w:rsid w:val="00F541BE"/>
    <w:rsid w:val="00F722F8"/>
    <w:rsid w:val="00F95135"/>
    <w:rsid w:val="00F9658C"/>
    <w:rsid w:val="00F978FD"/>
    <w:rsid w:val="00FA2262"/>
    <w:rsid w:val="00FA306F"/>
    <w:rsid w:val="00FA738E"/>
    <w:rsid w:val="00FB40E8"/>
    <w:rsid w:val="00FC438B"/>
    <w:rsid w:val="01234E98"/>
    <w:rsid w:val="015F1951"/>
    <w:rsid w:val="020C171D"/>
    <w:rsid w:val="0216715F"/>
    <w:rsid w:val="02E0291A"/>
    <w:rsid w:val="04E54546"/>
    <w:rsid w:val="05992762"/>
    <w:rsid w:val="05CD7B66"/>
    <w:rsid w:val="07B0770E"/>
    <w:rsid w:val="0942143F"/>
    <w:rsid w:val="0D100297"/>
    <w:rsid w:val="0D202B45"/>
    <w:rsid w:val="0F0847B9"/>
    <w:rsid w:val="0F8D4C87"/>
    <w:rsid w:val="0FF17FD6"/>
    <w:rsid w:val="10505FAA"/>
    <w:rsid w:val="105F7E7E"/>
    <w:rsid w:val="11E56B5B"/>
    <w:rsid w:val="1255782F"/>
    <w:rsid w:val="125C77AB"/>
    <w:rsid w:val="14CB726E"/>
    <w:rsid w:val="174F0CF1"/>
    <w:rsid w:val="17E92249"/>
    <w:rsid w:val="18D304F1"/>
    <w:rsid w:val="19F32577"/>
    <w:rsid w:val="19F45B80"/>
    <w:rsid w:val="1B0C078D"/>
    <w:rsid w:val="1B2B31E2"/>
    <w:rsid w:val="1B4C295A"/>
    <w:rsid w:val="1B973C63"/>
    <w:rsid w:val="1BA1001E"/>
    <w:rsid w:val="1D317259"/>
    <w:rsid w:val="1E483C47"/>
    <w:rsid w:val="1E664F5B"/>
    <w:rsid w:val="1EB34BE1"/>
    <w:rsid w:val="215E639F"/>
    <w:rsid w:val="21EC3183"/>
    <w:rsid w:val="225E72CD"/>
    <w:rsid w:val="246E2F77"/>
    <w:rsid w:val="254B4E2B"/>
    <w:rsid w:val="283D7C94"/>
    <w:rsid w:val="29480E03"/>
    <w:rsid w:val="2983634D"/>
    <w:rsid w:val="2BB02055"/>
    <w:rsid w:val="2C575A56"/>
    <w:rsid w:val="2F257714"/>
    <w:rsid w:val="2F3275E5"/>
    <w:rsid w:val="30AA08EF"/>
    <w:rsid w:val="30D23D1C"/>
    <w:rsid w:val="31221CF5"/>
    <w:rsid w:val="31400178"/>
    <w:rsid w:val="321E3342"/>
    <w:rsid w:val="327759C8"/>
    <w:rsid w:val="33185FE3"/>
    <w:rsid w:val="34EE2E36"/>
    <w:rsid w:val="36777241"/>
    <w:rsid w:val="36AF4EB1"/>
    <w:rsid w:val="371E78D5"/>
    <w:rsid w:val="379D2F5B"/>
    <w:rsid w:val="37BD36D2"/>
    <w:rsid w:val="388A5575"/>
    <w:rsid w:val="38A951DB"/>
    <w:rsid w:val="38B31605"/>
    <w:rsid w:val="39003F4F"/>
    <w:rsid w:val="3C07002B"/>
    <w:rsid w:val="3D0D152A"/>
    <w:rsid w:val="3DF62756"/>
    <w:rsid w:val="3F1B7587"/>
    <w:rsid w:val="41E57B4F"/>
    <w:rsid w:val="432F26F6"/>
    <w:rsid w:val="43880F63"/>
    <w:rsid w:val="441C5A6F"/>
    <w:rsid w:val="44C44FCC"/>
    <w:rsid w:val="44CC7369"/>
    <w:rsid w:val="457F5108"/>
    <w:rsid w:val="46951B6B"/>
    <w:rsid w:val="49A34401"/>
    <w:rsid w:val="4A3E30AB"/>
    <w:rsid w:val="4AC14DAC"/>
    <w:rsid w:val="4C433C79"/>
    <w:rsid w:val="4D154C85"/>
    <w:rsid w:val="4E752F43"/>
    <w:rsid w:val="4EB35ECE"/>
    <w:rsid w:val="4EB97401"/>
    <w:rsid w:val="508F4E24"/>
    <w:rsid w:val="51461E90"/>
    <w:rsid w:val="51463753"/>
    <w:rsid w:val="52553A93"/>
    <w:rsid w:val="53521F8B"/>
    <w:rsid w:val="53E22F47"/>
    <w:rsid w:val="54522FF8"/>
    <w:rsid w:val="55450629"/>
    <w:rsid w:val="56692963"/>
    <w:rsid w:val="568B0F48"/>
    <w:rsid w:val="5786217B"/>
    <w:rsid w:val="59337A15"/>
    <w:rsid w:val="59810274"/>
    <w:rsid w:val="5CA00C74"/>
    <w:rsid w:val="5CA96A00"/>
    <w:rsid w:val="5CF730BC"/>
    <w:rsid w:val="5E5F0DCE"/>
    <w:rsid w:val="5E856373"/>
    <w:rsid w:val="5F351B48"/>
    <w:rsid w:val="5FA40A7B"/>
    <w:rsid w:val="5FD56D29"/>
    <w:rsid w:val="5FEC7F3F"/>
    <w:rsid w:val="60F74BC3"/>
    <w:rsid w:val="617D3BF8"/>
    <w:rsid w:val="61841F6A"/>
    <w:rsid w:val="623007A9"/>
    <w:rsid w:val="637D7558"/>
    <w:rsid w:val="644F19AC"/>
    <w:rsid w:val="65AA4920"/>
    <w:rsid w:val="65E31D0B"/>
    <w:rsid w:val="67694F1E"/>
    <w:rsid w:val="693E2594"/>
    <w:rsid w:val="69597934"/>
    <w:rsid w:val="69DF617A"/>
    <w:rsid w:val="6B964DDC"/>
    <w:rsid w:val="6C783074"/>
    <w:rsid w:val="6D9E65C6"/>
    <w:rsid w:val="6DA81947"/>
    <w:rsid w:val="6DAD31F1"/>
    <w:rsid w:val="6EB66DE2"/>
    <w:rsid w:val="6ED3075F"/>
    <w:rsid w:val="6F2A2D4B"/>
    <w:rsid w:val="6F8A0C1E"/>
    <w:rsid w:val="6F8E1817"/>
    <w:rsid w:val="703F45D4"/>
    <w:rsid w:val="715D6546"/>
    <w:rsid w:val="71BE069E"/>
    <w:rsid w:val="72824796"/>
    <w:rsid w:val="73953409"/>
    <w:rsid w:val="73E069A3"/>
    <w:rsid w:val="78104AA8"/>
    <w:rsid w:val="78E257C5"/>
    <w:rsid w:val="794B35BE"/>
    <w:rsid w:val="7B0A3A31"/>
    <w:rsid w:val="7B3360ED"/>
    <w:rsid w:val="7BDF037E"/>
    <w:rsid w:val="7BF50948"/>
    <w:rsid w:val="7C142DB9"/>
    <w:rsid w:val="7CE66A78"/>
    <w:rsid w:val="7D23564C"/>
    <w:rsid w:val="7D50042A"/>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4.xml.rels><?xml version="1.0" encoding="UTF-8" standalone="yes"?>
<Relationships xmlns="http://schemas.openxmlformats.org/package/2006/relationships"><Relationship Id="rId1" Type="http://schemas.openxmlformats.org/officeDocument/2006/relationships/oleObject" Target="file:///C:\Users\hjxjyj\Desktop\&#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jxjyj\Desktop\&#22270;&#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jxjyj\Desktop\&#22270;&#34920;.xls"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541.21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t>对个人和家庭的补助</a:t>
            </a:r>
            <a:endParaRPr lang="en-US"/>
          </a:p>
        </c:rich>
      </c:tx>
      <c:layout/>
      <c:overlay val="0"/>
    </c:title>
    <c:autoTitleDeleted val="0"/>
    <c:plotArea>
      <c:layout/>
      <c:barChart>
        <c:barDir val="col"/>
        <c:grouping val="clustered"/>
        <c:varyColors val="0"/>
        <c:ser>
          <c:idx val="0"/>
          <c:order val="0"/>
          <c:tx>
            <c:strRef>
              <c:f>Sheet1!$B$1</c:f>
              <c:strCache>
                <c:ptCount val="1"/>
                <c:pt idx="0">
                  <c:v>科目代码</c:v>
                </c:pt>
              </c:strCache>
            </c:strRef>
          </c:tx>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35.7</c:v>
                </c:pt>
                <c:pt idx="5">
                  <c:v>0</c:v>
                </c:pt>
                <c:pt idx="6">
                  <c:v>0</c:v>
                </c:pt>
                <c:pt idx="7">
                  <c:v>0</c:v>
                </c:pt>
                <c:pt idx="8">
                  <c:v>0</c:v>
                </c:pt>
                <c:pt idx="9">
                  <c:v>0</c:v>
                </c:pt>
                <c:pt idx="10">
                  <c:v>0</c:v>
                </c:pt>
                <c:pt idx="11">
                  <c:v>0.02</c:v>
                </c:pt>
              </c:numCache>
            </c:numRef>
          </c:val>
        </c:ser>
        <c:dLbls>
          <c:showLegendKey val="0"/>
          <c:showVal val="0"/>
          <c:showCatName val="0"/>
          <c:showSerName val="0"/>
          <c:showPercent val="0"/>
          <c:showBubbleSize val="0"/>
        </c:dLbls>
        <c:gapWidth val="219"/>
        <c:overlap val="-27"/>
        <c:axId val="41900288"/>
        <c:axId val="41902080"/>
      </c:barChart>
      <c:catAx>
        <c:axId val="41900288"/>
        <c:scaling>
          <c:orientation val="minMax"/>
        </c:scaling>
        <c:delete val="0"/>
        <c:axPos val="b"/>
        <c:numFmt formatCode="General" sourceLinked="0"/>
        <c:majorTickMark val="none"/>
        <c:minorTickMark val="none"/>
        <c:tickLblPos val="nextTo"/>
        <c:txPr>
          <a:bodyPr rot="0" spcFirstLastPara="0" vertOverflow="ellipsis" vert="eaVert" wrap="square" anchor="ctr" anchorCtr="1"/>
          <a:lstStyle/>
          <a:p>
            <a:pPr>
              <a:defRPr lang="zh-CN" sz="1000" b="0" i="0" u="none" strike="noStrike" kern="1200" baseline="0">
                <a:solidFill>
                  <a:schemeClr val="tx1"/>
                </a:solidFill>
                <a:latin typeface="+mn-lt"/>
                <a:ea typeface="+mn-ea"/>
                <a:cs typeface="+mn-cs"/>
              </a:defRPr>
            </a:pPr>
          </a:p>
        </c:txPr>
        <c:crossAx val="41902080"/>
        <c:crosses val="autoZero"/>
        <c:auto val="1"/>
        <c:lblAlgn val="ctr"/>
        <c:lblOffset val="100"/>
        <c:noMultiLvlLbl val="0"/>
      </c:catAx>
      <c:valAx>
        <c:axId val="41902080"/>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1900288"/>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41909632"/>
        <c:axId val="41927808"/>
      </c:barChart>
      <c:catAx>
        <c:axId val="4190963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927808"/>
        <c:crosses val="autoZero"/>
        <c:auto val="1"/>
        <c:lblAlgn val="ctr"/>
        <c:lblOffset val="100"/>
        <c:noMultiLvlLbl val="0"/>
      </c:catAx>
      <c:valAx>
        <c:axId val="419278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9096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40743680"/>
        <c:axId val="40745216"/>
      </c:barChart>
      <c:catAx>
        <c:axId val="4074368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745216"/>
        <c:crosses val="autoZero"/>
        <c:auto val="1"/>
        <c:lblAlgn val="ctr"/>
        <c:lblOffset val="100"/>
        <c:noMultiLvlLbl val="0"/>
      </c:catAx>
      <c:valAx>
        <c:axId val="407452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74368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42035072"/>
        <c:axId val="42036608"/>
      </c:barChart>
      <c:catAx>
        <c:axId val="4203507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036608"/>
        <c:crosses val="autoZero"/>
        <c:auto val="1"/>
        <c:lblAlgn val="ctr"/>
        <c:lblOffset val="100"/>
        <c:noMultiLvlLbl val="0"/>
      </c:catAx>
      <c:valAx>
        <c:axId val="420366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0350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4.59</c:v>
                </c:pt>
                <c:pt idx="1">
                  <c:v>486.85</c:v>
                </c:pt>
                <c:pt idx="2">
                  <c:v>32.38</c:v>
                </c:pt>
                <c:pt idx="3">
                  <c:v>24.14</c:v>
                </c:pt>
                <c:pt idx="4">
                  <c:v>55.88</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4.63</c:v>
                </c:pt>
                <c:pt idx="1">
                  <c:v>430.27</c:v>
                </c:pt>
                <c:pt idx="2">
                  <c:v>35.69</c:v>
                </c:pt>
                <c:pt idx="3">
                  <c:v>26.52</c:v>
                </c:pt>
                <c:pt idx="4">
                  <c:v>44.1</c:v>
                </c:pt>
              </c:numCache>
            </c:numRef>
          </c:val>
        </c:ser>
        <c:dLbls>
          <c:showLegendKey val="0"/>
          <c:showVal val="0"/>
          <c:showCatName val="0"/>
          <c:showSerName val="0"/>
          <c:showPercent val="0"/>
          <c:showBubbleSize val="0"/>
        </c:dLbls>
        <c:gapWidth val="219"/>
        <c:overlap val="-27"/>
        <c:axId val="41530112"/>
        <c:axId val="41531648"/>
      </c:barChart>
      <c:catAx>
        <c:axId val="4153011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531648"/>
        <c:crosses val="autoZero"/>
        <c:auto val="1"/>
        <c:lblAlgn val="ctr"/>
        <c:lblOffset val="100"/>
        <c:noMultiLvlLbl val="0"/>
      </c:catAx>
      <c:valAx>
        <c:axId val="4153164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5301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4.63</c:v>
                </c:pt>
                <c:pt idx="1">
                  <c:v>4.63</c:v>
                </c:pt>
              </c:numCache>
            </c:numRef>
          </c:val>
        </c:ser>
        <c:dLbls>
          <c:showLegendKey val="0"/>
          <c:showVal val="0"/>
          <c:showCatName val="0"/>
          <c:showSerName val="0"/>
          <c:showPercent val="0"/>
          <c:showBubbleSize val="0"/>
        </c:dLbls>
        <c:gapWidth val="219"/>
        <c:overlap val="-27"/>
        <c:axId val="41363328"/>
        <c:axId val="41364864"/>
      </c:barChart>
      <c:catAx>
        <c:axId val="4136332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364864"/>
        <c:crosses val="autoZero"/>
        <c:auto val="1"/>
        <c:lblAlgn val="ctr"/>
        <c:lblOffset val="100"/>
        <c:noMultiLvlLbl val="0"/>
      </c:catAx>
      <c:valAx>
        <c:axId val="413648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3633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教育支出</a:t>
            </a: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a:p>
            <a:pPr defTabSz="914400">
              <a:defRPr lang="zh-CN" sz="1400" b="0" i="0" u="none" strike="noStrike" kern="1200" spc="0" baseline="0">
                <a:solidFill>
                  <a:schemeClr val="tx1">
                    <a:lumMod val="65000"/>
                    <a:lumOff val="35000"/>
                  </a:schemeClr>
                </a:solidFill>
                <a:latin typeface="+mn-lt"/>
                <a:ea typeface="+mn-ea"/>
                <a:cs typeface="+mn-cs"/>
              </a:defRPr>
            </a:pP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318572418572419"/>
          <c:y val="0.00628930817610063"/>
        </c:manualLayout>
      </c:layout>
      <c:overlay val="0"/>
      <c:spPr>
        <a:noFill/>
        <a:ln>
          <a:noFill/>
        </a:ln>
        <a:effectLst/>
      </c:spPr>
    </c:title>
    <c:autoTitleDeleted val="0"/>
    <c:plotArea>
      <c:layout>
        <c:manualLayout>
          <c:layoutTarget val="inner"/>
          <c:xMode val="edge"/>
          <c:yMode val="edge"/>
          <c:x val="0.0898266190719021"/>
          <c:y val="0.162095582197405"/>
          <c:w val="0.891687914329424"/>
          <c:h val="0.681622598127771"/>
        </c:manualLayout>
      </c:layout>
      <c:barChart>
        <c:barDir val="col"/>
        <c:grouping val="clustered"/>
        <c:varyColors val="0"/>
        <c:ser>
          <c:idx val="0"/>
          <c:order val="0"/>
          <c:tx>
            <c:strRef>
              <c:f>[图表.xls]Sheet1!$D$10</c:f>
              <c:strCache>
                <c:ptCount val="1"/>
                <c:pt idx="0">
                  <c:v>科目代码</c:v>
                </c:pt>
              </c:strCache>
            </c:strRef>
          </c:tx>
          <c:spPr>
            <a:solidFill>
              <a:schemeClr val="accent1"/>
            </a:solidFill>
            <a:ln>
              <a:noFill/>
            </a:ln>
            <a:effectLst/>
          </c:spPr>
          <c:invertIfNegative val="0"/>
          <c:dLbls>
            <c:delete val="1"/>
          </c:dLbls>
          <c:cat>
            <c:strRef>
              <c:f>[图表.xls]Sheet1!$C$11:$C$13</c:f>
              <c:strCache>
                <c:ptCount val="3"/>
                <c:pt idx="0">
                  <c:v>2050201</c:v>
                </c:pt>
                <c:pt idx="1">
                  <c:v>2050299</c:v>
                </c:pt>
                <c:pt idx="2">
                  <c:v>205x</c:v>
                </c:pt>
              </c:strCache>
            </c:strRef>
          </c:cat>
          <c:val>
            <c:numRef>
              <c:f>[图表.xls]Sheet1!$D$11:$D$13</c:f>
              <c:numCache>
                <c:formatCode>General</c:formatCode>
                <c:ptCount val="3"/>
                <c:pt idx="0">
                  <c:v>429.97</c:v>
                </c:pt>
                <c:pt idx="1">
                  <c:v>0.56</c:v>
                </c:pt>
                <c:pt idx="2">
                  <c:v>430.53</c:v>
                </c:pt>
              </c:numCache>
            </c:numRef>
          </c:val>
        </c:ser>
        <c:dLbls>
          <c:showLegendKey val="0"/>
          <c:showVal val="0"/>
          <c:showCatName val="0"/>
          <c:showSerName val="0"/>
          <c:showPercent val="0"/>
          <c:showBubbleSize val="0"/>
        </c:dLbls>
        <c:gapWidth val="219"/>
        <c:overlap val="-27"/>
        <c:axId val="636359378"/>
        <c:axId val="572285334"/>
      </c:barChart>
      <c:catAx>
        <c:axId val="63635937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2285334"/>
        <c:crosses val="autoZero"/>
        <c:auto val="1"/>
        <c:lblAlgn val="ctr"/>
        <c:lblOffset val="100"/>
        <c:noMultiLvlLbl val="0"/>
      </c:catAx>
      <c:valAx>
        <c:axId val="57228533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635937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20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社会保障和就业支出</a:t>
            </a: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a:p>
            <a:pPr defTabSz="914400">
              <a:defRPr lang="zh-CN" sz="1400" b="0" i="0" u="none" strike="noStrike" kern="1200" spc="0" baseline="0">
                <a:solidFill>
                  <a:schemeClr val="tx1">
                    <a:lumMod val="65000"/>
                    <a:lumOff val="35000"/>
                  </a:schemeClr>
                </a:solidFill>
                <a:latin typeface="+mn-lt"/>
                <a:ea typeface="+mn-ea"/>
                <a:cs typeface="+mn-cs"/>
              </a:defRPr>
            </a:pP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185516285516286"/>
          <c:y val="0.00628930817610063"/>
        </c:manualLayout>
      </c:layout>
      <c:overlay val="0"/>
      <c:spPr>
        <a:noFill/>
        <a:ln>
          <a:noFill/>
        </a:ln>
        <a:effectLst/>
      </c:spPr>
    </c:title>
    <c:autoTitleDeleted val="0"/>
    <c:plotArea>
      <c:layout>
        <c:manualLayout>
          <c:layoutTarget val="inner"/>
          <c:xMode val="edge"/>
          <c:yMode val="edge"/>
          <c:x val="0.0898266190719021"/>
          <c:y val="0.162095582197405"/>
          <c:w val="0.891687914329424"/>
          <c:h val="0.681622598127771"/>
        </c:manualLayout>
      </c:layout>
      <c:barChart>
        <c:barDir val="col"/>
        <c:grouping val="clustered"/>
        <c:varyColors val="0"/>
        <c:ser>
          <c:idx val="0"/>
          <c:order val="0"/>
          <c:tx>
            <c:strRef>
              <c:f>[图表.xls]Sheet1!$D$10</c:f>
              <c:strCache>
                <c:ptCount val="1"/>
                <c:pt idx="0">
                  <c:v>科目代码</c:v>
                </c:pt>
              </c:strCache>
            </c:strRef>
          </c:tx>
          <c:spPr>
            <a:solidFill>
              <a:schemeClr val="accent1"/>
            </a:solidFill>
            <a:ln>
              <a:noFill/>
            </a:ln>
            <a:effectLst/>
          </c:spPr>
          <c:invertIfNegative val="0"/>
          <c:dLbls>
            <c:delete val="1"/>
          </c:dLbls>
          <c:cat>
            <c:strRef>
              <c:f>[图表.xls]Sheet1!$C$11:$C$12</c:f>
              <c:strCache>
                <c:ptCount val="2"/>
                <c:pt idx="0">
                  <c:v>2080505</c:v>
                </c:pt>
                <c:pt idx="1">
                  <c:v>208x</c:v>
                </c:pt>
              </c:strCache>
            </c:strRef>
          </c:cat>
          <c:val>
            <c:numRef>
              <c:f>[图表.xls]Sheet1!$D$11:$D$12</c:f>
              <c:numCache>
                <c:formatCode>General</c:formatCode>
                <c:ptCount val="2"/>
                <c:pt idx="0">
                  <c:v>35.69</c:v>
                </c:pt>
                <c:pt idx="1">
                  <c:v>35.69</c:v>
                </c:pt>
              </c:numCache>
            </c:numRef>
          </c:val>
        </c:ser>
        <c:dLbls>
          <c:showLegendKey val="0"/>
          <c:showVal val="0"/>
          <c:showCatName val="0"/>
          <c:showSerName val="0"/>
          <c:showPercent val="0"/>
          <c:showBubbleSize val="0"/>
        </c:dLbls>
        <c:gapWidth val="219"/>
        <c:overlap val="-27"/>
        <c:axId val="636359378"/>
        <c:axId val="572285334"/>
      </c:barChart>
      <c:catAx>
        <c:axId val="63635937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2285334"/>
        <c:crosses val="autoZero"/>
        <c:auto val="1"/>
        <c:lblAlgn val="ctr"/>
        <c:lblOffset val="100"/>
        <c:noMultiLvlLbl val="0"/>
      </c:catAx>
      <c:valAx>
        <c:axId val="57228533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635937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sz="20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住房保障支出</a:t>
            </a: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a:p>
            <a:pPr defTabSz="914400">
              <a:defRPr lang="zh-CN" sz="1400" b="0" i="0" u="none" strike="noStrike" kern="1200" spc="0" baseline="0">
                <a:solidFill>
                  <a:schemeClr val="tx1">
                    <a:lumMod val="65000"/>
                    <a:lumOff val="35000"/>
                  </a:schemeClr>
                </a:solidFill>
                <a:latin typeface="+mn-lt"/>
                <a:ea typeface="+mn-ea"/>
                <a:cs typeface="+mn-cs"/>
              </a:defRPr>
            </a:pPr>
            <a:endParaRPr lang="en-US" altLang="zh-CN" sz="2400" b="1"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34975744975745"/>
          <c:y val="0.00628930817610063"/>
        </c:manualLayout>
      </c:layout>
      <c:overlay val="0"/>
      <c:spPr>
        <a:noFill/>
        <a:ln>
          <a:noFill/>
        </a:ln>
        <a:effectLst/>
      </c:spPr>
    </c:title>
    <c:autoTitleDeleted val="0"/>
    <c:plotArea>
      <c:layout>
        <c:manualLayout>
          <c:layoutTarget val="inner"/>
          <c:xMode val="edge"/>
          <c:yMode val="edge"/>
          <c:x val="0.0898266190719021"/>
          <c:y val="0.162095582197405"/>
          <c:w val="0.891687914329424"/>
          <c:h val="0.681622598127771"/>
        </c:manualLayout>
      </c:layout>
      <c:barChart>
        <c:barDir val="col"/>
        <c:grouping val="clustered"/>
        <c:varyColors val="0"/>
        <c:ser>
          <c:idx val="0"/>
          <c:order val="0"/>
          <c:tx>
            <c:strRef>
              <c:f>[图表.xls]Sheet1!$D$10</c:f>
              <c:strCache>
                <c:ptCount val="1"/>
                <c:pt idx="0">
                  <c:v>科目代码</c:v>
                </c:pt>
              </c:strCache>
            </c:strRef>
          </c:tx>
          <c:spPr>
            <a:solidFill>
              <a:schemeClr val="accent1"/>
            </a:solidFill>
            <a:ln>
              <a:noFill/>
            </a:ln>
            <a:effectLst/>
          </c:spPr>
          <c:invertIfNegative val="0"/>
          <c:dLbls>
            <c:delete val="1"/>
          </c:dLbls>
          <c:cat>
            <c:strRef>
              <c:f>[图表.xls]Sheet1!$C$11:$C$12</c:f>
              <c:strCache>
                <c:ptCount val="2"/>
                <c:pt idx="0">
                  <c:v>2210201</c:v>
                </c:pt>
                <c:pt idx="1">
                  <c:v>221x</c:v>
                </c:pt>
              </c:strCache>
            </c:strRef>
          </c:cat>
          <c:val>
            <c:numRef>
              <c:f>[图表.xls]Sheet1!$D$11:$D$12</c:f>
              <c:numCache>
                <c:formatCode>General</c:formatCode>
                <c:ptCount val="2"/>
                <c:pt idx="0">
                  <c:v>26.52</c:v>
                </c:pt>
                <c:pt idx="1">
                  <c:v>26.52</c:v>
                </c:pt>
              </c:numCache>
            </c:numRef>
          </c:val>
        </c:ser>
        <c:dLbls>
          <c:showLegendKey val="0"/>
          <c:showVal val="0"/>
          <c:showCatName val="0"/>
          <c:showSerName val="0"/>
          <c:showPercent val="0"/>
          <c:showBubbleSize val="0"/>
        </c:dLbls>
        <c:gapWidth val="219"/>
        <c:overlap val="-27"/>
        <c:axId val="636359378"/>
        <c:axId val="572285334"/>
      </c:barChart>
      <c:catAx>
        <c:axId val="63635937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2285334"/>
        <c:crosses val="autoZero"/>
        <c:auto val="1"/>
        <c:lblAlgn val="ctr"/>
        <c:lblOffset val="100"/>
        <c:noMultiLvlLbl val="0"/>
      </c:catAx>
      <c:valAx>
        <c:axId val="57228533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635937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44.1</c:v>
                </c:pt>
                <c:pt idx="1">
                  <c:v>44.1</c:v>
                </c:pt>
              </c:numCache>
            </c:numRef>
          </c:val>
        </c:ser>
        <c:dLbls>
          <c:showLegendKey val="0"/>
          <c:showVal val="0"/>
          <c:showCatName val="0"/>
          <c:showSerName val="0"/>
          <c:showPercent val="0"/>
          <c:showBubbleSize val="0"/>
        </c:dLbls>
        <c:gapWidth val="219"/>
        <c:overlap val="-27"/>
        <c:axId val="41327232"/>
        <c:axId val="41501056"/>
      </c:barChart>
      <c:catAx>
        <c:axId val="4132723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501056"/>
        <c:crosses val="autoZero"/>
        <c:auto val="1"/>
        <c:lblAlgn val="ctr"/>
        <c:lblOffset val="100"/>
        <c:noMultiLvlLbl val="0"/>
      </c:catAx>
      <c:valAx>
        <c:axId val="415010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3272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110.85</c:v>
                </c:pt>
                <c:pt idx="1">
                  <c:v>11.14</c:v>
                </c:pt>
                <c:pt idx="2">
                  <c:v>86.3</c:v>
                </c:pt>
                <c:pt idx="3">
                  <c:v>0</c:v>
                </c:pt>
                <c:pt idx="4">
                  <c:v>55.29</c:v>
                </c:pt>
                <c:pt idx="5">
                  <c:v>35.69</c:v>
                </c:pt>
                <c:pt idx="6">
                  <c:v>0</c:v>
                </c:pt>
                <c:pt idx="7">
                  <c:v>12.95</c:v>
                </c:pt>
                <c:pt idx="8">
                  <c:v>0</c:v>
                </c:pt>
                <c:pt idx="9">
                  <c:v>1.78</c:v>
                </c:pt>
                <c:pt idx="10">
                  <c:v>26.52</c:v>
                </c:pt>
                <c:pt idx="11">
                  <c:v>0</c:v>
                </c:pt>
                <c:pt idx="12">
                  <c:v>0</c:v>
                </c:pt>
              </c:numCache>
            </c:numRef>
          </c:val>
        </c:ser>
        <c:dLbls>
          <c:showLegendKey val="0"/>
          <c:showVal val="0"/>
          <c:showCatName val="0"/>
          <c:showSerName val="0"/>
          <c:showPercent val="0"/>
          <c:showBubbleSize val="0"/>
        </c:dLbls>
        <c:gapWidth val="219"/>
        <c:overlap val="-27"/>
        <c:axId val="207945728"/>
        <c:axId val="207947264"/>
      </c:barChart>
      <c:catAx>
        <c:axId val="20794572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7947264"/>
        <c:crosses val="autoZero"/>
        <c:auto val="1"/>
        <c:lblAlgn val="ctr"/>
        <c:lblOffset val="100"/>
        <c:noMultiLvlLbl val="0"/>
      </c:catAx>
      <c:valAx>
        <c:axId val="2079472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79457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4.63</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41641472"/>
        <c:axId val="41643008"/>
      </c:barChart>
      <c:catAx>
        <c:axId val="4164147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643008"/>
        <c:crosses val="autoZero"/>
        <c:auto val="1"/>
        <c:lblAlgn val="ctr"/>
        <c:lblOffset val="100"/>
        <c:noMultiLvlLbl val="0"/>
      </c:catAx>
      <c:valAx>
        <c:axId val="416430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64147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PC</Company>
  <Pages>37</Pages>
  <Words>1614</Words>
  <Characters>1845</Characters>
  <Lines>105</Lines>
  <Paragraphs>29</Paragraphs>
  <TotalTime>4</TotalTime>
  <ScaleCrop>false</ScaleCrop>
  <LinksUpToDate>false</LinksUpToDate>
  <CharactersWithSpaces>2050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2024-12-29T06:17:00Z</dcterms:created>
  <dc:creator>C D D</dc:creator>
  <cp:lastModifiedBy>Administrator</cp:lastModifiedBy>
  <cp:lastPrinted>2023-11-20T08:51:00Z</cp:lastPrinted>
  <dcterms:modified xsi:type="dcterms:W3CDTF">2025-01-02T01:33:39Z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y fmtid="{D5CDD505-2E9C-101B-9397-08002B2CF9AE}" pid="4" name="KSOTemplateDocerSaveRecord">
    <vt:lpwstr>eyJoZGlkIjoiMWUzMjNhYWEyMDc2Njk1MGYxMGJhZGM2Y2RiZWVjYTQiLCJ1c2VySWQiOiI0NTAwMTA3NjMifQ==</vt:lpwstr>
  </property>
</Properties>
</file>