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Times New Roman" w:eastAsia="方正小标宋简体" w:cs="ArialUnicodeMS"/>
          <w:kern w:val="0"/>
          <w:sz w:val="52"/>
          <w:szCs w:val="52"/>
        </w:rPr>
      </w:pPr>
      <w:r>
        <w:rPr>
          <w:rFonts w:hint="eastAsia" w:ascii="方正小标宋简体" w:hAnsi="Times New Roman" w:eastAsia="方正小标宋简体" w:cs="ArialUnicodeMS"/>
          <w:kern w:val="0"/>
          <w:sz w:val="52"/>
          <w:szCs w:val="52"/>
          <w:lang w:eastAsia="zh-CN"/>
        </w:rPr>
        <w:t>环江毛南族自治县东兴镇中心小学</w:t>
      </w:r>
      <w:r>
        <w:rPr>
          <w:rFonts w:hint="eastAsia" w:ascii="方正小标宋简体" w:hAnsi="Times New Roman" w:eastAsia="方正小标宋简体" w:cs="ArialUnicodeMS"/>
          <w:kern w:val="0"/>
          <w:sz w:val="52"/>
          <w:szCs w:val="52"/>
        </w:rPr>
        <w:t>202</w:t>
      </w:r>
      <w:r>
        <w:rPr>
          <w:rFonts w:hint="eastAsia" w:ascii="方正小标宋简体" w:hAnsi="Times New Roman" w:eastAsia="方正小标宋简体" w:cs="ArialUnicodeMS"/>
          <w:kern w:val="0"/>
          <w:sz w:val="52"/>
          <w:szCs w:val="52"/>
          <w:lang w:val="en-US" w:eastAsia="zh-CN"/>
        </w:rPr>
        <w:t>3</w:t>
      </w:r>
      <w:r>
        <w:rPr>
          <w:rFonts w:hint="eastAsia" w:ascii="方正小标宋简体" w:hAnsi="Times New Roman" w:eastAsia="方正小标宋简体" w:cs="ArialUnicodeMS"/>
          <w:kern w:val="0"/>
          <w:sz w:val="52"/>
          <w:szCs w:val="52"/>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单位负责人：覃朝慧</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2024年12月3日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spacing w:line="560" w:lineRule="exact"/>
        <w:ind w:firstLine="646"/>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目</w:t>
      </w:r>
      <w:r>
        <w:rPr>
          <w:rFonts w:hint="eastAsia" w:ascii="方正小标宋简体" w:hAnsi="Times New Roman" w:eastAsia="方正小标宋简体" w:cs="Times New Roman"/>
          <w:b/>
          <w:sz w:val="44"/>
          <w:szCs w:val="44"/>
          <w:lang w:val="en-US" w:eastAsia="zh-CN"/>
        </w:rPr>
        <w:t xml:space="preserve">  </w:t>
      </w:r>
      <w:r>
        <w:rPr>
          <w:rFonts w:hint="eastAsia" w:ascii="方正小标宋简体" w:hAnsi="Times New Roman" w:eastAsia="方正小标宋简体" w:cs="Times New Roman"/>
          <w:b/>
          <w:sz w:val="44"/>
          <w:szCs w:val="44"/>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概况</w:t>
      </w:r>
    </w:p>
    <w:p>
      <w:pPr>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lang w:eastAsia="zh-CN"/>
        </w:rPr>
        <w:t>本部门职责</w:t>
      </w:r>
    </w:p>
    <w:p>
      <w:pPr>
        <w:rPr>
          <w:rFonts w:hint="eastAsia"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eastAsia="仿宋_GB2312"/>
          <w:sz w:val="32"/>
          <w:szCs w:val="32"/>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环江毛南族自治县东兴镇中心小学</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w:t>
      </w:r>
      <w:r>
        <w:rPr>
          <w:rFonts w:hint="eastAsia" w:ascii="黑体" w:hAnsi="黑体" w:eastAsia="黑体" w:cs="黑体"/>
          <w:sz w:val="32"/>
          <w:szCs w:val="32"/>
          <w:highlight w:val="none"/>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val="en-US" w:eastAsia="zh-CN"/>
        </w:rPr>
        <w:t>环江毛南族自治县东兴镇中心小学的主要职能是：</w:t>
      </w:r>
    </w:p>
    <w:p>
      <w:pPr>
        <w:keepNext w:val="0"/>
        <w:keepLines w:val="0"/>
        <w:pageBreakBefore w:val="0"/>
        <w:widowControl w:val="0"/>
        <w:numPr>
          <w:ilvl w:val="0"/>
          <w:numId w:val="1"/>
        </w:numPr>
        <w:kinsoku/>
        <w:wordWrap/>
        <w:overflowPunct/>
        <w:topLinePunct w:val="0"/>
        <w:bidi w:val="0"/>
        <w:snapToGrid/>
        <w:spacing w:line="520" w:lineRule="exact"/>
        <w:ind w:left="0" w:leftChars="0" w:firstLine="420" w:firstLineChars="0"/>
        <w:jc w:val="left"/>
        <w:textAlignment w:val="auto"/>
        <w:rPr>
          <w:rFonts w:hint="eastAsia" w:ascii="仿宋" w:hAnsi="仿宋" w:eastAsia="仿宋"/>
          <w:sz w:val="32"/>
          <w:szCs w:val="32"/>
        </w:rPr>
      </w:pPr>
      <w:r>
        <w:rPr>
          <w:rFonts w:hint="eastAsia" w:ascii="仿宋" w:hAnsi="仿宋" w:eastAsia="仿宋"/>
          <w:sz w:val="32"/>
          <w:szCs w:val="32"/>
        </w:rPr>
        <w:t>贯彻执行党和国家的教育方针、政策和法律法规；</w:t>
      </w:r>
      <w:r>
        <w:rPr>
          <w:rFonts w:hint="eastAsia" w:ascii="仿宋" w:hAnsi="仿宋" w:eastAsia="仿宋"/>
          <w:sz w:val="32"/>
          <w:szCs w:val="32"/>
          <w:lang w:val="en-US" w:eastAsia="zh-CN"/>
        </w:rPr>
        <w:t>根据国家、上级有关要求规定及我镇小学教育实际情况，</w:t>
      </w:r>
      <w:r>
        <w:rPr>
          <w:rFonts w:hint="eastAsia" w:ascii="仿宋" w:hAnsi="仿宋" w:eastAsia="仿宋"/>
          <w:sz w:val="32"/>
          <w:szCs w:val="32"/>
        </w:rPr>
        <w:t>拟订全</w:t>
      </w:r>
      <w:r>
        <w:rPr>
          <w:rFonts w:hint="eastAsia" w:ascii="仿宋" w:hAnsi="仿宋" w:eastAsia="仿宋"/>
          <w:sz w:val="32"/>
          <w:szCs w:val="32"/>
          <w:lang w:val="en-US" w:eastAsia="zh-CN"/>
        </w:rPr>
        <w:t>镇小学</w:t>
      </w:r>
      <w:r>
        <w:rPr>
          <w:rFonts w:hint="eastAsia" w:ascii="仿宋" w:hAnsi="仿宋" w:eastAsia="仿宋"/>
          <w:sz w:val="32"/>
          <w:szCs w:val="32"/>
        </w:rPr>
        <w:t>教育改革与发展规划并组织实施。</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研究拟定全镇</w:t>
      </w:r>
      <w:r>
        <w:rPr>
          <w:rFonts w:hint="eastAsia" w:ascii="仿宋" w:hAnsi="仿宋" w:eastAsia="仿宋" w:cs="仿宋"/>
          <w:kern w:val="0"/>
          <w:sz w:val="32"/>
          <w:szCs w:val="32"/>
          <w:lang w:val="en-US" w:eastAsia="zh-CN"/>
        </w:rPr>
        <w:t>小学</w:t>
      </w:r>
      <w:r>
        <w:rPr>
          <w:rFonts w:hint="eastAsia" w:ascii="仿宋" w:hAnsi="仿宋" w:eastAsia="仿宋" w:cs="仿宋"/>
          <w:kern w:val="0"/>
          <w:sz w:val="32"/>
          <w:szCs w:val="32"/>
        </w:rPr>
        <w:t>教育发展战略和教育工作的规定、办法，监督和检查所属学校对党和国家的教育方针、政策、法规的贯彻执行。要依法办学，不断提高管理水平和教育质量。不断改善办学水平和提高教育质量，促进全镇小学教育均衡发展。</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_GB2312" w:hAnsi="Times New Roman" w:eastAsia="仿宋_GB2312" w:cs="仿宋_GB2312"/>
          <w:kern w:val="0"/>
          <w:sz w:val="32"/>
          <w:szCs w:val="32"/>
        </w:rPr>
      </w:pPr>
      <w:r>
        <w:rPr>
          <w:rFonts w:hint="eastAsia" w:ascii="仿宋" w:hAnsi="仿宋" w:eastAsia="仿宋" w:cs="仿宋"/>
          <w:kern w:val="0"/>
          <w:sz w:val="32"/>
          <w:szCs w:val="32"/>
        </w:rPr>
        <w:t>管理和指导全镇教育教学研究工作；规划、指导教育现代化和教育信息化工作；发挥小学教研中心作用。在中心学校统一领导下，组织全镇小学教师开展教育教学研究课、教学观摩、教学竞赛、课题实验、经验交流、教学基本功训练、专题研讨等教研活动。</w:t>
      </w:r>
      <w:r>
        <w:rPr>
          <w:rFonts w:hint="eastAsia" w:ascii="仿宋_GB2312" w:hAnsi="Times New Roman" w:eastAsia="仿宋_GB2312" w:cs="仿宋_GB2312"/>
          <w:kern w:val="0"/>
          <w:sz w:val="32"/>
          <w:szCs w:val="32"/>
        </w:rPr>
        <w:t>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发挥小学教师进修培训作用。乡镇中心学校负责制定并实施本乡镇小学教师继续计划，并有针对性的组织教师参加培训进修，更新教育观念，提高教师职业道德水平和教育教学能力。</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管理小学学籍。建立全乡镇适龄儿童、少年档案，掌握全镇每学年适龄儿童、适龄少年人数，严格控制学生辍学。已入学学生建立学籍档案，并报教育行政部门备案。</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负责本乡镇小学教师的教育教学业务档案的管理、教育统计、教师工资统计、学校报帐。管理本部门教育经费；拟定教育经费筹措和管理的规定及财务管理制度；统计并监测全镇教育经费的筹措和使用情况。</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协助乡镇政府组织发动学生入学，负责和协助学校做好社会治安综合治理及安全保卫工作。</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协助教育行政部门做好教师编制核定、资格认定、职务评聘、调配和交流、培训和考核等工作。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0" w:leftChars="0" w:firstLine="420" w:firstLineChars="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协助乡镇政府和教育行政部门做好调整校点布局</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rPr>
        <w:t>有关工作。</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kern w:val="0"/>
          <w:sz w:val="32"/>
          <w:szCs w:val="32"/>
        </w:rPr>
        <w:t>在教育行政部门指导下，负责组织小学毕业考试、教育教学质量检测评估工作。</w:t>
      </w:r>
      <w:r>
        <w:rPr>
          <w:rFonts w:hint="eastAsia" w:ascii="仿宋" w:hAnsi="仿宋" w:eastAsia="仿宋" w:cs="仿宋"/>
          <w:kern w:val="0"/>
          <w:sz w:val="32"/>
          <w:szCs w:val="32"/>
          <w:lang w:val="en-US" w:eastAsia="zh-CN"/>
        </w:rPr>
        <w:t>同时，</w:t>
      </w:r>
      <w:r>
        <w:rPr>
          <w:rFonts w:hint="eastAsia" w:ascii="仿宋" w:hAnsi="仿宋" w:eastAsia="仿宋" w:cs="仿宋"/>
          <w:kern w:val="0"/>
          <w:sz w:val="32"/>
          <w:szCs w:val="32"/>
        </w:rPr>
        <w:t>自觉接受县教育局、镇党委、政府及党总支的监督与指导，积极承办镇政府及上级主管部门交办的其他事项</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2023年环江毛南族自治县东兴镇中心小学下设机构有4个，分别为东兴镇中心校、东兴镇第二小学、东兴镇为才小学、东兴镇笃雅教学点(2023年秋季学期该处教学点已撤并)。我部门</w:t>
      </w:r>
      <w:r>
        <w:rPr>
          <w:rFonts w:hint="eastAsia" w:ascii="仿宋" w:hAnsi="仿宋" w:eastAsia="仿宋" w:cs="仿宋"/>
          <w:color w:val="auto"/>
          <w:sz w:val="32"/>
          <w:szCs w:val="32"/>
        </w:rPr>
        <w:t>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2301.26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1772.62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202.2</w:t>
            </w: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2304.3</w:t>
            </w:r>
            <w:r>
              <w:rPr>
                <w:rFonts w:hint="eastAsia" w:ascii="宋体" w:hAnsi="宋体" w:eastAsia="宋体" w:cs="宋体"/>
                <w:b/>
                <w:bCs/>
                <w:color w:val="000000"/>
                <w:sz w:val="22"/>
                <w:szCs w:val="22"/>
                <w:highlight w:val="none"/>
                <w:lang w:val="en-US" w:eastAsia="zh-CN"/>
              </w:rPr>
              <w:t>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2304.3</w:t>
            </w:r>
            <w:r>
              <w:rPr>
                <w:rFonts w:hint="eastAsia" w:ascii="宋体" w:hAnsi="宋体" w:eastAsia="宋体" w:cs="宋体"/>
                <w:b/>
                <w:bCs/>
                <w:color w:val="000000"/>
                <w:sz w:val="22"/>
                <w:szCs w:val="22"/>
                <w:highlight w:val="none"/>
                <w:lang w:val="en-US" w:eastAsia="zh-CN"/>
              </w:rPr>
              <w:t>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1754.6</w:t>
            </w:r>
            <w:r>
              <w:rPr>
                <w:rFonts w:hint="eastAsia" w:ascii="宋体" w:hAnsi="宋体" w:eastAsia="宋体" w:cs="宋体"/>
                <w:color w:val="000000"/>
                <w:kern w:val="0"/>
                <w:sz w:val="22"/>
                <w:szCs w:val="22"/>
                <w:highlight w:val="none"/>
                <w:lang w:val="en-US" w:eastAsia="zh-CN" w:bidi="ar"/>
              </w:rPr>
              <w:t>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1754.6</w:t>
            </w:r>
            <w:r>
              <w:rPr>
                <w:rFonts w:hint="eastAsia" w:ascii="宋体" w:hAnsi="宋体" w:eastAsia="宋体" w:cs="宋体"/>
                <w:color w:val="000000"/>
                <w:kern w:val="0"/>
                <w:sz w:val="22"/>
                <w:szCs w:val="22"/>
                <w:highlight w:val="none"/>
                <w:lang w:val="en-US" w:eastAsia="zh-CN" w:bidi="ar"/>
              </w:rPr>
              <w:t>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 xml:space="preserve">     </w:t>
            </w:r>
            <w:r>
              <w:rPr>
                <w:rFonts w:hint="default" w:ascii="宋体" w:hAnsi="宋体" w:eastAsia="宋体" w:cs="宋体"/>
                <w:color w:val="000000"/>
                <w:kern w:val="0"/>
                <w:sz w:val="22"/>
                <w:szCs w:val="22"/>
                <w:highlight w:val="none"/>
                <w:lang w:bidi="ar"/>
              </w:rPr>
              <w:t>133.77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202.20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202.20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val="en-US" w:eastAsia="zh-CN"/>
              </w:rPr>
            </w:pPr>
            <w:r>
              <w:rPr>
                <w:rFonts w:hint="default" w:ascii="宋体" w:hAnsi="宋体" w:eastAsia="宋体" w:cs="宋体"/>
                <w:b/>
                <w:bCs/>
                <w:color w:val="000000"/>
                <w:sz w:val="22"/>
                <w:szCs w:val="22"/>
                <w:highlight w:val="none"/>
              </w:rPr>
              <w:t>2304.3</w:t>
            </w:r>
            <w:r>
              <w:rPr>
                <w:rFonts w:hint="eastAsia" w:ascii="宋体" w:hAnsi="宋体" w:eastAsia="宋体" w:cs="宋体"/>
                <w:b/>
                <w:bCs/>
                <w:color w:val="000000"/>
                <w:sz w:val="22"/>
                <w:szCs w:val="22"/>
                <w:highlight w:val="none"/>
                <w:lang w:val="en-US" w:eastAsia="zh-CN"/>
              </w:rPr>
              <w:t>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1971.46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332.83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329.79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1772.62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1442.83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329.79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1754.6</w:t>
            </w:r>
            <w:r>
              <w:rPr>
                <w:rFonts w:hint="eastAsia" w:ascii="宋体" w:hAnsi="宋体" w:eastAsia="宋体" w:cs="宋体"/>
                <w:color w:val="000000"/>
                <w:kern w:val="0"/>
                <w:sz w:val="22"/>
                <w:szCs w:val="22"/>
                <w:highlight w:val="none"/>
                <w:lang w:val="en-US" w:eastAsia="zh-CN" w:bidi="ar"/>
              </w:rPr>
              <w:t>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1442.4</w:t>
            </w:r>
            <w:r>
              <w:rPr>
                <w:rFonts w:hint="eastAsia" w:ascii="宋体" w:hAnsi="宋体" w:eastAsia="宋体" w:cs="宋体"/>
                <w:color w:val="000000"/>
                <w:kern w:val="0"/>
                <w:sz w:val="22"/>
                <w:szCs w:val="22"/>
                <w:highlight w:val="none"/>
                <w:lang w:val="en-US" w:eastAsia="zh-CN" w:bidi="ar"/>
              </w:rPr>
              <w:t>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312.21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特殊学校教育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202.20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199.16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2301.26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22.73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1772.62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1772.62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133.77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202.2</w:t>
            </w:r>
            <w:r>
              <w:rPr>
                <w:rFonts w:hint="eastAsia" w:ascii="宋体" w:hAnsi="宋体" w:eastAsia="宋体" w:cs="宋体"/>
                <w:color w:val="000000"/>
                <w:kern w:val="0"/>
                <w:sz w:val="22"/>
                <w:szCs w:val="22"/>
                <w:highlight w:val="none"/>
                <w:lang w:val="en-US" w:eastAsia="zh-CN" w:bidi="ar"/>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199.16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2301.26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2304.3</w:t>
            </w:r>
            <w:r>
              <w:rPr>
                <w:rFonts w:hint="eastAsia" w:ascii="宋体" w:hAnsi="宋体" w:eastAsia="宋体" w:cs="宋体"/>
                <w:color w:val="000000"/>
                <w:kern w:val="0"/>
                <w:sz w:val="22"/>
                <w:szCs w:val="22"/>
                <w:highlight w:val="none"/>
                <w:lang w:val="en-US" w:eastAsia="zh-CN" w:bidi="ar"/>
              </w:rPr>
              <w:t>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2301.26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2301.26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1971.46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329.79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1772.62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1442.83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329.79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1772.62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1442.83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329.79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1754.6</w:t>
            </w:r>
            <w:r>
              <w:rPr>
                <w:rFonts w:hint="eastAsia" w:ascii="宋体" w:hAnsi="宋体" w:eastAsia="宋体" w:cs="宋体"/>
                <w:color w:val="000000"/>
                <w:sz w:val="22"/>
                <w:szCs w:val="22"/>
                <w:highlight w:val="none"/>
                <w:lang w:val="en-US" w:eastAsia="zh-CN"/>
              </w:rPr>
              <w:t>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1442.4</w:t>
            </w:r>
            <w:r>
              <w:rPr>
                <w:rFonts w:hint="eastAsia" w:ascii="宋体" w:hAnsi="宋体" w:eastAsia="宋体" w:cs="宋体"/>
                <w:color w:val="000000"/>
                <w:sz w:val="22"/>
                <w:szCs w:val="22"/>
                <w:highlight w:val="none"/>
                <w:lang w:val="en-US" w:eastAsia="zh-CN"/>
              </w:rPr>
              <w:t>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312.21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15.52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15.08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220" w:firstLineChars="10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199.16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199.16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199.16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199.16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1830.92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515.96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173.45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509.78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246.24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172.97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8.69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133.77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117.81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117.8</w:t>
            </w:r>
            <w:r>
              <w:rPr>
                <w:rFonts w:hint="eastAsia" w:ascii="宋体" w:hAnsi="宋体" w:eastAsia="宋体" w:cs="宋体"/>
                <w:color w:val="000000"/>
                <w:sz w:val="22"/>
                <w:szCs w:val="22"/>
                <w:highlight w:val="no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1948.73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22.73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3.04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w:t>
      </w:r>
      <w:r>
        <w:rPr>
          <w:rFonts w:hint="default" w:ascii="宋体" w:hAnsi="宋体" w:eastAsia="宋体" w:cs="宋体"/>
          <w:color w:val="000000"/>
          <w:kern w:val="0"/>
          <w:sz w:val="22"/>
          <w:szCs w:val="22"/>
          <w:highlight w:val="none"/>
          <w:lang w:val="en-US" w:eastAsia="zh-CN" w:bidi="ar"/>
        </w:rPr>
        <w:t>202</w:t>
      </w:r>
      <w:r>
        <w:rPr>
          <w:rFonts w:hint="eastAsia" w:ascii="宋体" w:hAnsi="宋体" w:eastAsia="宋体" w:cs="宋体"/>
          <w:color w:val="000000"/>
          <w:kern w:val="0"/>
          <w:sz w:val="22"/>
          <w:szCs w:val="22"/>
          <w:highlight w:val="none"/>
          <w:lang w:val="en-US" w:eastAsia="zh-CN" w:bidi="ar"/>
        </w:rPr>
        <w:t>3年度没有国有资本经营预算财政拨款收入，也没有国有资本经营预算财政拨款安排的支出，故本表无数据。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环江毛南族自治县东兴镇中心小学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说明：本部门</w:t>
            </w:r>
            <w:r>
              <w:rPr>
                <w:rFonts w:hint="default" w:ascii="宋体" w:hAnsi="宋体" w:eastAsia="宋体" w:cs="宋体"/>
                <w:color w:val="000000"/>
                <w:kern w:val="0"/>
                <w:sz w:val="22"/>
                <w:szCs w:val="22"/>
                <w:highlight w:val="none"/>
                <w:lang w:val="en-US" w:eastAsia="zh-CN" w:bidi="ar"/>
              </w:rPr>
              <w:t>202</w:t>
            </w:r>
            <w:r>
              <w:rPr>
                <w:rFonts w:hint="eastAsia" w:ascii="宋体" w:hAnsi="宋体" w:eastAsia="宋体" w:cs="宋体"/>
                <w:color w:val="000000"/>
                <w:kern w:val="0"/>
                <w:sz w:val="22"/>
                <w:szCs w:val="22"/>
                <w:highlight w:val="none"/>
                <w:lang w:val="en-US" w:eastAsia="zh-CN" w:bidi="ar"/>
              </w:rPr>
              <w:t>3年度财政拨款</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000000"/>
                <w:kern w:val="0"/>
                <w:sz w:val="22"/>
                <w:szCs w:val="22"/>
                <w:highlight w:val="none"/>
                <w:lang w:val="en-US" w:eastAsia="zh-CN" w:bidi="ar"/>
              </w:rPr>
              <w:t>收入，也没有财政拨款</w:t>
            </w:r>
            <w:r>
              <w:rPr>
                <w:rFonts w:hint="eastAsia" w:ascii="宋体" w:hAnsi="宋体" w:eastAsia="宋体" w:cs="宋体"/>
                <w:color w:val="000000"/>
                <w:kern w:val="0"/>
                <w:sz w:val="22"/>
                <w:szCs w:val="22"/>
                <w:highlight w:val="none"/>
                <w:lang w:bidi="ar"/>
              </w:rPr>
              <w:t>“三公”经费</w:t>
            </w:r>
            <w:r>
              <w:rPr>
                <w:rFonts w:hint="eastAsia" w:ascii="宋体" w:hAnsi="宋体" w:eastAsia="宋体" w:cs="宋体"/>
                <w:color w:val="000000"/>
                <w:kern w:val="0"/>
                <w:sz w:val="22"/>
                <w:szCs w:val="22"/>
                <w:highlight w:val="none"/>
                <w:lang w:val="en-US" w:eastAsia="zh-CN" w:bidi="ar"/>
              </w:rPr>
              <w:t>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环江毛南族自治县东兴镇中心小学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年度总收入2304.3万元，较202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增加268.99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增长13.22</w:t>
      </w:r>
      <w:r>
        <w:rPr>
          <w:rFonts w:ascii="仿宋" w:hAnsi="仿宋" w:eastAsia="仿宋" w:cs="仿宋"/>
          <w:sz w:val="32"/>
          <w:u w:color="auto"/>
        </w:rPr>
        <w:t>%</w:t>
      </w:r>
      <w:r>
        <w:rPr>
          <w:rFonts w:hint="eastAsia" w:ascii="仿宋" w:hAnsi="仿宋" w:eastAsia="仿宋" w:cs="仿宋"/>
          <w:sz w:val="32"/>
          <w:szCs w:val="32"/>
          <w:highlight w:val="none"/>
        </w:rPr>
        <w:t>，其中本年收入2304.3万元。收入具体情况如下。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1.一般公共预算财政拨款收入2301.26万元，为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本级财政当年拨付的资金。较2022年度决算数增加267.4万元，增长</w:t>
      </w:r>
      <w:r>
        <w:rPr>
          <w:rFonts w:hint="eastAsia" w:ascii="仿宋" w:hAnsi="仿宋" w:eastAsia="仿宋" w:cs="仿宋"/>
          <w:sz w:val="32"/>
          <w:u w:color="auto"/>
          <w:lang w:val="en-US" w:eastAsia="zh-CN"/>
        </w:rPr>
        <w:t>13.15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人员工资提高，社会保障和就业支出及住房公积金增长提高，财政拨款增加。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2.政府性基金预算财政拨款收入3.04万元，为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1.59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w:t>
      </w:r>
      <w:r>
        <w:rPr>
          <w:rFonts w:hint="eastAsia" w:ascii="仿宋" w:hAnsi="仿宋" w:eastAsia="仿宋" w:cs="仿宋"/>
          <w:sz w:val="32"/>
          <w:u w:color="auto"/>
          <w:lang w:val="en-US" w:eastAsia="zh-CN"/>
        </w:rPr>
        <w:t>9.66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主要原因是：学校开展乡村学校少年宫活动项目所需经费增加。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主要原因：相关</w:t>
      </w:r>
      <w:r>
        <w:rPr>
          <w:rFonts w:hint="eastAsia" w:ascii="仿宋" w:hAnsi="仿宋" w:eastAsia="仿宋" w:cs="仿宋"/>
          <w:color w:val="auto"/>
          <w:kern w:val="2"/>
          <w:sz w:val="32"/>
          <w:szCs w:val="32"/>
          <w:highlight w:val="none"/>
          <w:lang w:val="en-US" w:eastAsia="zh-CN" w:bidi="ar"/>
        </w:rPr>
        <w:t>项目均已在本年执行完毕，不需要结转至下年继续执行。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szCs w:val="32"/>
          <w:highlight w:val="none"/>
          <w:lang w:val="en-US" w:eastAsia="zh-CN"/>
        </w:rPr>
        <w:t>2304.3</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2304.3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增加268.99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13.22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类）22.73万元：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学校工会活动</w:t>
      </w:r>
      <w:r>
        <w:rPr>
          <w:rFonts w:hint="eastAsia" w:ascii="仿宋" w:hAnsi="仿宋" w:eastAsia="仿宋" w:cs="仿宋"/>
          <w:color w:val="auto"/>
          <w:sz w:val="32"/>
          <w:szCs w:val="32"/>
          <w:highlight w:val="none"/>
          <w:lang w:val="en-US" w:eastAsia="zh-CN"/>
        </w:rPr>
        <w:t>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4.84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主要原因是：部门人员工资提高，工会活动经费增加，工会活动经费支出增加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类）1772.62万元：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部门</w:t>
      </w:r>
      <w:r>
        <w:rPr>
          <w:rFonts w:hint="eastAsia" w:ascii="仿宋" w:hAnsi="仿宋" w:eastAsia="仿宋" w:cs="仿宋"/>
          <w:color w:val="auto"/>
          <w:sz w:val="32"/>
          <w:szCs w:val="32"/>
          <w:highlight w:val="none"/>
          <w:lang w:val="en-US" w:eastAsia="zh-CN"/>
        </w:rPr>
        <w:t>人员工资五险等人员经费支出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增加283.99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19.08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主要原因是：在职及</w:t>
      </w:r>
      <w:r>
        <w:rPr>
          <w:rFonts w:hint="eastAsia" w:ascii="仿宋" w:hAnsi="仿宋" w:eastAsia="仿宋" w:cs="仿宋"/>
          <w:color w:val="auto"/>
          <w:kern w:val="2"/>
          <w:sz w:val="32"/>
          <w:szCs w:val="32"/>
          <w:highlight w:val="none"/>
          <w:lang w:val="en-US" w:eastAsia="zh-CN" w:bidi="ar"/>
        </w:rPr>
        <w:t>聘用人员工资提高，人员经费支出增加。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类）172.97万元：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增加40.28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增长30.36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主要原因是：部门人员工资提高</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机关事业单位基本养老保险缴费基数提高，该项支出也相应增加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类）133.77万元：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本部门人员住房公积金缴费支出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22.25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19.95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主要原因是：部门人员住房公积金缴存基数上升，</w:t>
      </w:r>
      <w:r>
        <w:rPr>
          <w:rFonts w:hint="eastAsia" w:ascii="仿宋" w:hAnsi="仿宋" w:eastAsia="仿宋" w:cs="仿宋"/>
          <w:color w:val="000000" w:themeColor="text1"/>
          <w:sz w:val="32"/>
          <w:szCs w:val="32"/>
          <w:highlight w:val="none"/>
          <w:lang w:val="en-US" w:eastAsia="zh-CN"/>
          <w14:textFill>
            <w14:solidFill>
              <w14:schemeClr w14:val="tx1"/>
            </w14:solidFill>
          </w14:textFill>
        </w:rPr>
        <w:t>住房公积金缴费支出增加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其中彩票公益金安排的支出(22960类)3.04万元，其他支出(22999类)199.16万元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中央专项彩票公益金支持乡村学校少年宫经费项目支出及发放职工奖励性补贴</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78.59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27.99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主要原因是：本年度学校少年宫开展的活动数量有所减少，学校教职工人数较上年度减少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default" w:ascii="仿宋" w:hAnsi="仿宋" w:eastAsia="仿宋" w:cs="仿宋"/>
          <w:sz w:val="32"/>
          <w:szCs w:val="32"/>
          <w:highlight w:val="none"/>
        </w:rPr>
        <w:t>结余分配</w:t>
      </w:r>
      <w:r>
        <w:rPr>
          <w:rFonts w:hint="eastAsia" w:ascii="仿宋" w:hAnsi="仿宋" w:eastAsia="仿宋" w:cs="仿宋"/>
          <w:sz w:val="32"/>
          <w:szCs w:val="32"/>
          <w:highlight w:val="none"/>
        </w:rPr>
        <w:t>0.00</w:t>
      </w:r>
      <w:r>
        <w:rPr>
          <w:rFonts w:hint="default"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rPr>
        <w:t>年决算</w:t>
      </w:r>
      <w:r>
        <w:rPr>
          <w:rFonts w:hint="eastAsia" w:ascii="仿宋" w:hAnsi="仿宋" w:eastAsia="仿宋" w:cs="仿宋"/>
          <w:sz w:val="32"/>
          <w:szCs w:val="32"/>
          <w:highlight w:val="none"/>
        </w:rPr>
        <w:t>0.00</w:t>
      </w:r>
      <w:r>
        <w:rPr>
          <w:rFonts w:hint="default"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增加0.00</w:t>
      </w:r>
      <w:r>
        <w:rPr>
          <w:rFonts w:hint="default" w:ascii="仿宋" w:hAnsi="仿宋" w:eastAsia="仿宋" w:cs="仿宋"/>
          <w:sz w:val="32"/>
          <w:szCs w:val="32"/>
          <w:highlight w:val="none"/>
        </w:rPr>
        <w:t>万元，</w:t>
      </w:r>
      <w:r>
        <w:rPr>
          <w:rFonts w:hint="eastAsia" w:ascii="仿宋" w:hAnsi="仿宋" w:eastAsia="仿宋" w:cs="仿宋"/>
          <w:sz w:val="32"/>
          <w:szCs w:val="32"/>
          <w:highlight w:val="none"/>
        </w:rPr>
        <w:t>增长0%</w:t>
      </w:r>
      <w:r>
        <w:rPr>
          <w:rFonts w:hint="default"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：部门本年度无结余分配。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主要原因是：部门本年度无年末结转和结余。</w:t>
      </w:r>
    </w:p>
    <w:p>
      <w:pPr>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rFonts w:hint="eastAsia"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2301.26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ascii="仿宋" w:hAnsi="仿宋" w:eastAsia="仿宋" w:cs="仿宋"/>
          <w:sz w:val="32"/>
          <w:u w:color="auto"/>
        </w:rPr>
        <w:t>26</w:t>
      </w:r>
      <w:r>
        <w:rPr>
          <w:rFonts w:hint="eastAsia" w:ascii="仿宋" w:hAnsi="仿宋" w:eastAsia="仿宋" w:cs="仿宋"/>
          <w:sz w:val="32"/>
          <w:u w:color="auto"/>
          <w:lang w:val="en-US" w:eastAsia="zh-CN"/>
        </w:rPr>
        <w:t>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13.15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1971.46</w:t>
      </w:r>
      <w:r>
        <w:rPr>
          <w:rFonts w:hint="eastAsia" w:ascii="仿宋" w:hAnsi="仿宋" w:eastAsia="仿宋" w:cs="仿宋"/>
          <w:sz w:val="32"/>
          <w:szCs w:val="32"/>
          <w:highlight w:val="none"/>
        </w:rPr>
        <w:t>万元，项目支出</w:t>
      </w:r>
      <w:r>
        <w:rPr>
          <w:rFonts w:hint="eastAsia" w:ascii="仿宋" w:hAnsi="仿宋" w:eastAsia="仿宋" w:cs="仿宋"/>
          <w:sz w:val="32"/>
          <w:u w:color="auto"/>
        </w:rPr>
        <w:t>329.79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szCs w:val="32"/>
          <w:highlight w:val="none"/>
          <w:lang w:val="en-US" w:eastAsia="zh-CN"/>
        </w:rPr>
        <w:t>1585.82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2301.26</w:t>
      </w:r>
      <w:r>
        <w:rPr>
          <w:rFonts w:hint="eastAsia" w:ascii="仿宋" w:hAnsi="仿宋" w:eastAsia="仿宋" w:cs="仿宋"/>
          <w:sz w:val="32"/>
          <w:szCs w:val="32"/>
          <w:highlight w:val="none"/>
        </w:rPr>
        <w:t>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45.11</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22.73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22.73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基本无差异。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学校工会活动经费支出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1232.03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1772.62</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43.88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原因是：学校的人员工资提高；部分项目经费由上级部门预算直接下达，本部门无需做该项预算。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068"/>
        <w:gridCol w:w="912"/>
        <w:gridCol w:w="996"/>
        <w:gridCol w:w="876"/>
        <w:gridCol w:w="1898"/>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1232.03</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1754.6</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142.42%</w:t>
            </w: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学校的人员经费、学校日常办公经费、学生营养改善计划经费、家庭经济困难学生生活补助支出等</w:t>
            </w: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firstLine="180" w:firstLineChars="100"/>
              <w:jc w:val="both"/>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学校的人员工资提高；部分项目经费由上级部门预算直接下达，本部门无需做该项预算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15.52</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校长奖励性绩效工资、部分学校办公经费支出等</w:t>
            </w: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该项经费由上级部门预算直接下达，本部门无需做该项预算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1.43</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18"/>
                <w:szCs w:val="18"/>
                <w:highlight w:val="none"/>
                <w:u w:val="none"/>
                <w:lang w:val="en-US" w:eastAsia="zh-CN"/>
              </w:rPr>
              <w:t>学校残疾学生送教生门等项支出</w:t>
            </w: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18"/>
                <w:szCs w:val="18"/>
                <w:highlight w:val="none"/>
                <w:u w:val="none"/>
                <w:lang w:val="en-US" w:eastAsia="zh-CN"/>
              </w:rPr>
              <w:t>该项经费由上级部门预算直接下达，本部门无需做该项预算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18"/>
                <w:szCs w:val="18"/>
                <w:highlight w:val="none"/>
                <w:u w:val="none"/>
                <w:lang w:val="en-US" w:eastAsia="zh-CN"/>
              </w:rPr>
              <w:t>学校协管员工资项目支出</w:t>
            </w: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18"/>
                <w:szCs w:val="18"/>
                <w:highlight w:val="none"/>
                <w:u w:val="none"/>
                <w:lang w:val="en-US" w:eastAsia="zh-CN"/>
              </w:rPr>
              <w:t>该项经费由上级部门预算直接下达，本部门无需做该项预算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1232.03</w:t>
            </w:r>
          </w:p>
        </w:tc>
        <w:tc>
          <w:tcPr>
            <w:tcW w:w="9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1772.62</w:t>
            </w:r>
          </w:p>
        </w:tc>
        <w:tc>
          <w:tcPr>
            <w:tcW w:w="8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143.88%</w:t>
            </w:r>
          </w:p>
        </w:tc>
        <w:tc>
          <w:tcPr>
            <w:tcW w:w="189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189.18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172.97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91.43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原因是：学校在职、聘用人员减少，单位基本养老保险缴费支出相应减少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141.88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133.77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94.28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原因是：学校在职、聘用人员减少，单位住房公积金支出相应减少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学校教职工住房公积金缴费支出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学校在职、聘用人员减少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万元，支出决算为199.16万元。</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原因是：2023年度内本部门根据上级文件要求发放的奖励性补贴</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学校奖励性补贴支出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该资金由上级部门做预算直接下达，本部门无需做预算。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年度一般公共预算财政拨款基本支出1971.46万元，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1948.73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22.73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工资福利支出1830.92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123.46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主要原因是：2023年人员工资提高，机关事业养老保险等缴费基数提高，住房公积金缴费基数提高等，工资福利支出有所增加</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515.96万元，30102津贴补贴173.45万元，30103奖金509.78万元，30107绩效工资246.24万元，30108机关事业单位基本养老保险缴费172.97万元，30110职工基本医疗保险缴费70.07万元，30112其他社会保障缴费8.69万元，30113住房公积金133.77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22.73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用于学校工会活动支出</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30205水费0.00万元，30206电费0.00万元，30207邮电费0.00万元，30209物业管理费0.00万元，30211差旅费0.00万元，30213维修（护）费0.00万元，30218专用材料费0.00万元，30226劳务费0.00万元，30228工会经费22.73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对个人和家庭的补助117.81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151.12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主要原因是：年退有新增退休人员。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30305生活补助117.8万元，30308助学金0.00万元，30309奖励金0.01万元，30399其他对个人和家庭的补助0.00万元。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主要原因是：本单位部门2023年度无债务利息及费用支出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主要原因是：学校在2023年度无资本性支出</w:t>
      </w:r>
      <w:r>
        <w:rPr>
          <w:rFonts w:hint="eastAsia" w:ascii="仿宋" w:hAnsi="仿宋" w:eastAsia="仿宋" w:cs="仿宋"/>
          <w:color w:val="auto"/>
          <w:kern w:val="2"/>
          <w:sz w:val="32"/>
          <w:szCs w:val="32"/>
          <w:highlight w:val="none"/>
          <w:lang w:val="en-US" w:eastAsia="zh-CN" w:bidi="ar"/>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主要原因是：本单位部门2023年度无其他支出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81195" cy="2826385"/>
            <wp:effectExtent l="4445" t="4445" r="10160" b="1905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3.04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增加1.59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增长109.66</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3.04</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1.52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3.04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00%</w:t>
      </w:r>
      <w:r>
        <w:rPr>
          <w:rFonts w:hint="eastAsia" w:ascii="仿宋" w:hAnsi="仿宋" w:eastAsia="仿宋" w:cs="仿宋"/>
          <w:sz w:val="32"/>
          <w:szCs w:val="32"/>
          <w:highlight w:val="none"/>
        </w:rPr>
        <w:t>。</w:t>
      </w:r>
    </w:p>
    <w:p>
      <w:pPr>
        <w:keepNext w:val="0"/>
        <w:keepLines w:val="0"/>
        <w:widowControl w:val="0"/>
        <w:numPr>
          <w:ilvl w:val="0"/>
          <w:numId w:val="4"/>
        </w:numPr>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ascii="仿宋" w:hAnsi="仿宋" w:eastAsia="仿宋" w:cs="仿宋"/>
          <w:color w:val="000000"/>
          <w:sz w:val="32"/>
          <w:u w:color="auto"/>
        </w:rPr>
        <w:t>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（项）年初预算为</w:t>
      </w:r>
      <w:r>
        <w:rPr>
          <w:rFonts w:hint="eastAsia" w:ascii="仿宋" w:hAnsi="仿宋" w:eastAsia="仿宋" w:cs="仿宋"/>
          <w:color w:val="000000"/>
          <w:sz w:val="32"/>
          <w:szCs w:val="32"/>
          <w:shd w:val="clear" w:color="auto" w:fill="FFFFFF"/>
          <w:lang w:val="en-US" w:eastAsia="zh-CN"/>
        </w:rPr>
        <w:t>1.52</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3.04</w:t>
      </w:r>
      <w:r>
        <w:rPr>
          <w:rFonts w:hint="eastAsia" w:ascii="仿宋" w:hAnsi="仿宋" w:eastAsia="仿宋" w:cs="仿宋"/>
          <w:color w:val="000000"/>
          <w:sz w:val="32"/>
          <w:szCs w:val="32"/>
          <w:shd w:val="clear" w:color="auto" w:fill="FFFFFF"/>
        </w:rPr>
        <w:t>万元，完成年初预算的</w:t>
      </w:r>
      <w:r>
        <w:rPr>
          <w:rFonts w:hint="eastAsia" w:ascii="仿宋" w:hAnsi="仿宋" w:eastAsia="仿宋" w:cs="仿宋"/>
          <w:color w:val="000000"/>
          <w:sz w:val="32"/>
          <w:szCs w:val="32"/>
          <w:shd w:val="clear" w:color="auto" w:fill="FFFFFF"/>
          <w:lang w:val="en-US" w:eastAsia="zh-CN"/>
        </w:rPr>
        <w:t>2</w:t>
      </w:r>
      <w:r>
        <w:rPr>
          <w:rFonts w:ascii="仿宋" w:hAnsi="仿宋" w:eastAsia="仿宋" w:cs="仿宋"/>
          <w:color w:val="000000"/>
          <w:sz w:val="32"/>
          <w:u w:color="auto"/>
        </w:rPr>
        <w:t>00%</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highlight w:val="none"/>
          <w:lang w:val="en-US" w:eastAsia="zh-CN"/>
        </w:rPr>
        <w:t>该政府性基金为中央专项彩票公益金支持乡村学校少年宫项目经费，用于建设及开展学校少年宫活动支出</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环江毛南族自治县东兴镇中心小学</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w:t>
      </w:r>
      <w:r>
        <w:rPr>
          <w:rFonts w:ascii="仿宋" w:hAnsi="仿宋" w:eastAsia="仿宋" w:cs="仿宋"/>
          <w:sz w:val="32"/>
          <w:szCs w:val="32"/>
          <w:highlight w:val="none"/>
        </w:rPr>
        <w:t>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lang w:val="en-US" w:eastAsia="zh-CN"/>
        </w:rPr>
        <w:t>环江毛南族自治县东兴镇中心小学2023年度没有国有资本经营预算收入，也没有国有资本经营预算安排的支出。</w:t>
      </w:r>
      <w:bookmarkEnd w:id="4"/>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主要原因是：本单位部门2023年度没有</w:t>
      </w:r>
      <w:r>
        <w:rPr>
          <w:rFonts w:hint="eastAsia" w:ascii="仿宋" w:hAnsi="仿宋" w:eastAsia="仿宋" w:cs="仿宋"/>
          <w:sz w:val="32"/>
          <w:szCs w:val="32"/>
          <w:highlight w:val="none"/>
        </w:rPr>
        <w:t>一般公共预算财政拨款安排的“三公”经费支出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本单位部门2023年度没有</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本单位部门2023年度没有</w:t>
      </w:r>
      <w:r>
        <w:rPr>
          <w:rFonts w:hint="eastAsia" w:ascii="仿宋" w:hAnsi="仿宋" w:eastAsia="仿宋" w:cs="仿宋"/>
          <w:sz w:val="32"/>
          <w:szCs w:val="32"/>
          <w:highlight w:val="none"/>
        </w:rPr>
        <w:t>公务用车购置</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本单位部门2023年度没有</w:t>
      </w:r>
      <w:r>
        <w:rPr>
          <w:rFonts w:hint="eastAsia" w:ascii="仿宋" w:hAnsi="仿宋" w:eastAsia="仿宋" w:cs="仿宋"/>
          <w:sz w:val="32"/>
          <w:szCs w:val="32"/>
          <w:highlight w:val="none"/>
        </w:rPr>
        <w:t>公务用车运行维护费</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本单位部门2023年度没有</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 xml:space="preserve">（一）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both"/>
        <w:rPr>
          <w:rFonts w:hint="eastAsia" w:ascii="仿宋" w:hAnsi="仿宋" w:eastAsia="仿宋" w:cs="仿宋"/>
          <w:color w:val="FF0000"/>
          <w:sz w:val="32"/>
          <w:szCs w:val="32"/>
          <w:highlight w:val="none"/>
        </w:rPr>
      </w:pPr>
      <w:r>
        <w:rPr>
          <w:rFonts w:hint="eastAsia" w:ascii="仿宋" w:hAnsi="仿宋" w:eastAsia="仿宋" w:cs="仿宋"/>
          <w:color w:val="auto"/>
          <w:sz w:val="32"/>
          <w:szCs w:val="32"/>
          <w:highlight w:val="none"/>
          <w:lang w:val="en-US" w:eastAsia="zh-CN"/>
        </w:rPr>
        <w:t>2023年度本部门无机关运行经费支出。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我部门2023年度部门预算数700.38万元，执行数670.54万元，整体支出绩效自评结果为一等。从自评情况来看，本年度我部门项目支出总体完成情况较好，执行的项目基本达到了该项目的年度绩效目标。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项目绩效自评总体情况：我部门2023年度项目23个，项目支出总额670.54万元。其中，本级项目23个，本级项目支出</w:t>
      </w:r>
      <w:r>
        <w:rPr>
          <w:rFonts w:hint="eastAsia" w:ascii="仿宋_GB2312" w:eastAsia="仿宋_GB2312" w:cs="仿宋_GB2312"/>
          <w:kern w:val="0"/>
          <w:sz w:val="32"/>
          <w:szCs w:val="32"/>
          <w:lang w:val="en-US" w:eastAsia="zh-CN"/>
        </w:rPr>
        <w:t>23</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万元。项目中，无敏感涉密项目。</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23个项目评为一等，涉及资金670.54万元，占项目总数比例100%，占项目支出总额比例100%。自评发现的主要问题及原因：一是项目绩效指标设置未具体细化；二是项目执行过程的档案材料未能得到及时地妥善收集保管。下一步改进措施：一是加强有关工作人员的培训，重视项目绩效管理工作；二是安排人员及时跟踪项目执行情况，及时收集妥善保管项目材料。</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奖励性补贴项目项目自评得分为100分，一等，项目全年预算数为115.17万元，执行数为115.17万元，完成预算的100%。项目绩效目标完成情况：通过奖励性补贴，提高教职工的生活水平，提高教师职业幸福感，促进教育事业发展 ，基本达成该项目绩效目标。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组织对“奖励性补贴”等23个重点项目进行了部门评价，评价结果均为一等，涉及资金670.54万元。从评价情况来看，本年度我部门较好地完成相关项目，所执行的项目基本都达成了该项目的年度绩效指标及目标。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2023年度本部门公开《项目支出绩效自评表》附后。</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center"/>
        <w:rPr>
          <w:rFonts w:hint="default" w:ascii="仿宋" w:hAnsi="仿宋" w:eastAsia="仿宋" w:cs="仿宋"/>
          <w:sz w:val="32"/>
          <w:szCs w:val="32"/>
          <w:highlight w:val="none"/>
          <w:lang w:val="en-US" w:eastAsia="zh-CN"/>
        </w:rPr>
      </w:pPr>
      <w:bookmarkStart w:id="5" w:name="_GoBack"/>
      <w:bookmarkEnd w:id="5"/>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55DB"/>
    <w:multiLevelType w:val="singleLevel"/>
    <w:tmpl w:val="95DC55DB"/>
    <w:lvl w:ilvl="0" w:tentative="0">
      <w:start w:val="1"/>
      <w:numFmt w:val="chineseCounting"/>
      <w:suff w:val="nothing"/>
      <w:lvlText w:val="（%1）"/>
      <w:lvlJc w:val="left"/>
      <w:pPr>
        <w:ind w:left="0" w:firstLine="420"/>
      </w:pPr>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BB696AFE"/>
    <w:multiLevelType w:val="singleLevel"/>
    <w:tmpl w:val="BB696AFE"/>
    <w:lvl w:ilvl="0" w:tentative="0">
      <w:start w:val="1"/>
      <w:numFmt w:val="decimal"/>
      <w:lvlText w:val="(%1)"/>
      <w:lvlJc w:val="left"/>
      <w:pPr>
        <w:tabs>
          <w:tab w:val="left" w:pos="312"/>
        </w:tabs>
      </w:p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zg0NzBlMzJiOTFiNTgxM2VjYjkwOWJhMGRkZT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1749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D5158"/>
    <w:rsid w:val="020C171D"/>
    <w:rsid w:val="0216715F"/>
    <w:rsid w:val="02E0291A"/>
    <w:rsid w:val="03705158"/>
    <w:rsid w:val="047E413B"/>
    <w:rsid w:val="04BC738C"/>
    <w:rsid w:val="04E54546"/>
    <w:rsid w:val="04F84F51"/>
    <w:rsid w:val="052D6D27"/>
    <w:rsid w:val="05992762"/>
    <w:rsid w:val="06145943"/>
    <w:rsid w:val="06A02FCA"/>
    <w:rsid w:val="06A13304"/>
    <w:rsid w:val="07342561"/>
    <w:rsid w:val="073B6A3E"/>
    <w:rsid w:val="07B0770E"/>
    <w:rsid w:val="07CD7685"/>
    <w:rsid w:val="08385709"/>
    <w:rsid w:val="08C20CCF"/>
    <w:rsid w:val="0942143F"/>
    <w:rsid w:val="099A310A"/>
    <w:rsid w:val="0A267937"/>
    <w:rsid w:val="0C480CD6"/>
    <w:rsid w:val="0D100297"/>
    <w:rsid w:val="0D202B45"/>
    <w:rsid w:val="0D6C609B"/>
    <w:rsid w:val="0E0855FC"/>
    <w:rsid w:val="0F8D4C87"/>
    <w:rsid w:val="0FC7281C"/>
    <w:rsid w:val="0FD63FD1"/>
    <w:rsid w:val="10505FAA"/>
    <w:rsid w:val="105F7E7E"/>
    <w:rsid w:val="114657A9"/>
    <w:rsid w:val="11A369B6"/>
    <w:rsid w:val="11B86BB3"/>
    <w:rsid w:val="11E56B5B"/>
    <w:rsid w:val="11F86688"/>
    <w:rsid w:val="125C77AB"/>
    <w:rsid w:val="142E52DC"/>
    <w:rsid w:val="14A043AA"/>
    <w:rsid w:val="14CB726E"/>
    <w:rsid w:val="15094E25"/>
    <w:rsid w:val="15114005"/>
    <w:rsid w:val="158A5F9C"/>
    <w:rsid w:val="15F31BF6"/>
    <w:rsid w:val="164857F3"/>
    <w:rsid w:val="1692422D"/>
    <w:rsid w:val="175A688C"/>
    <w:rsid w:val="1799482C"/>
    <w:rsid w:val="17E92249"/>
    <w:rsid w:val="18D304F1"/>
    <w:rsid w:val="19AB643C"/>
    <w:rsid w:val="19F32577"/>
    <w:rsid w:val="19F45B80"/>
    <w:rsid w:val="1B0C078D"/>
    <w:rsid w:val="1B2B31E2"/>
    <w:rsid w:val="1B4C295A"/>
    <w:rsid w:val="1B592560"/>
    <w:rsid w:val="1B6D0497"/>
    <w:rsid w:val="1B973C63"/>
    <w:rsid w:val="1BA1001E"/>
    <w:rsid w:val="1C2265DC"/>
    <w:rsid w:val="1C4A39CA"/>
    <w:rsid w:val="1C4C74F2"/>
    <w:rsid w:val="1D317259"/>
    <w:rsid w:val="1E4E1FBE"/>
    <w:rsid w:val="1E664F5B"/>
    <w:rsid w:val="1EB34BE1"/>
    <w:rsid w:val="1FDF5B8F"/>
    <w:rsid w:val="21075E26"/>
    <w:rsid w:val="215E639F"/>
    <w:rsid w:val="21EC3183"/>
    <w:rsid w:val="225E72CD"/>
    <w:rsid w:val="2326058D"/>
    <w:rsid w:val="23AB30DC"/>
    <w:rsid w:val="23D96DD2"/>
    <w:rsid w:val="24123AD5"/>
    <w:rsid w:val="246E2F77"/>
    <w:rsid w:val="24FD1ECA"/>
    <w:rsid w:val="254B4E2B"/>
    <w:rsid w:val="27424A6E"/>
    <w:rsid w:val="275C4EF0"/>
    <w:rsid w:val="27820C6F"/>
    <w:rsid w:val="27962809"/>
    <w:rsid w:val="27CB70CF"/>
    <w:rsid w:val="283D7C94"/>
    <w:rsid w:val="284E293A"/>
    <w:rsid w:val="285E29AE"/>
    <w:rsid w:val="28D97A2C"/>
    <w:rsid w:val="29480E03"/>
    <w:rsid w:val="2983634D"/>
    <w:rsid w:val="29FA53BE"/>
    <w:rsid w:val="2A49700C"/>
    <w:rsid w:val="2A5B4F83"/>
    <w:rsid w:val="2BB02055"/>
    <w:rsid w:val="2C575A56"/>
    <w:rsid w:val="2C681281"/>
    <w:rsid w:val="2CFF066C"/>
    <w:rsid w:val="2D4D5DE4"/>
    <w:rsid w:val="2E34598A"/>
    <w:rsid w:val="2E866222"/>
    <w:rsid w:val="2F023F72"/>
    <w:rsid w:val="2F257714"/>
    <w:rsid w:val="2F3275E5"/>
    <w:rsid w:val="2FBE78D3"/>
    <w:rsid w:val="2FE70192"/>
    <w:rsid w:val="30706BEF"/>
    <w:rsid w:val="30AA08EF"/>
    <w:rsid w:val="30D23D1C"/>
    <w:rsid w:val="31221CF5"/>
    <w:rsid w:val="31400178"/>
    <w:rsid w:val="31993E7B"/>
    <w:rsid w:val="31EB4A43"/>
    <w:rsid w:val="321B2375"/>
    <w:rsid w:val="321E3342"/>
    <w:rsid w:val="327759C8"/>
    <w:rsid w:val="33060643"/>
    <w:rsid w:val="330F27A5"/>
    <w:rsid w:val="331663BC"/>
    <w:rsid w:val="33185FE3"/>
    <w:rsid w:val="34940B3F"/>
    <w:rsid w:val="34AB4C24"/>
    <w:rsid w:val="34EE2E36"/>
    <w:rsid w:val="358E5831"/>
    <w:rsid w:val="36777241"/>
    <w:rsid w:val="36913DD1"/>
    <w:rsid w:val="371E78D5"/>
    <w:rsid w:val="372F6DF0"/>
    <w:rsid w:val="376161AB"/>
    <w:rsid w:val="38241AB4"/>
    <w:rsid w:val="38A951DB"/>
    <w:rsid w:val="38B31605"/>
    <w:rsid w:val="38BF6852"/>
    <w:rsid w:val="38FA0BCF"/>
    <w:rsid w:val="39003F4F"/>
    <w:rsid w:val="3935206C"/>
    <w:rsid w:val="39376662"/>
    <w:rsid w:val="39EA35CB"/>
    <w:rsid w:val="3A763CAA"/>
    <w:rsid w:val="3A7C6B1B"/>
    <w:rsid w:val="3AA608A5"/>
    <w:rsid w:val="3AB07646"/>
    <w:rsid w:val="3B2E5F33"/>
    <w:rsid w:val="3B3779FE"/>
    <w:rsid w:val="3B695FB7"/>
    <w:rsid w:val="3B6B0F10"/>
    <w:rsid w:val="3BC3547D"/>
    <w:rsid w:val="3C07002B"/>
    <w:rsid w:val="3C183B80"/>
    <w:rsid w:val="3D0D152A"/>
    <w:rsid w:val="3DF62756"/>
    <w:rsid w:val="3ECD3236"/>
    <w:rsid w:val="3F1B7587"/>
    <w:rsid w:val="3F4975BA"/>
    <w:rsid w:val="40AF2AF7"/>
    <w:rsid w:val="40D847A6"/>
    <w:rsid w:val="4115599F"/>
    <w:rsid w:val="41E57B4F"/>
    <w:rsid w:val="41F932C8"/>
    <w:rsid w:val="421D53C4"/>
    <w:rsid w:val="424A738F"/>
    <w:rsid w:val="432F26F6"/>
    <w:rsid w:val="43813EC9"/>
    <w:rsid w:val="43880F63"/>
    <w:rsid w:val="43B955C3"/>
    <w:rsid w:val="441C5A6F"/>
    <w:rsid w:val="44C44FCC"/>
    <w:rsid w:val="44CC7369"/>
    <w:rsid w:val="44DF739B"/>
    <w:rsid w:val="45126C23"/>
    <w:rsid w:val="457F5108"/>
    <w:rsid w:val="46951B6B"/>
    <w:rsid w:val="46D86BAA"/>
    <w:rsid w:val="482076C5"/>
    <w:rsid w:val="483462D6"/>
    <w:rsid w:val="498D274E"/>
    <w:rsid w:val="49A34401"/>
    <w:rsid w:val="49D26815"/>
    <w:rsid w:val="49DD10A1"/>
    <w:rsid w:val="4A393D33"/>
    <w:rsid w:val="4A3E30AB"/>
    <w:rsid w:val="4A5E47CC"/>
    <w:rsid w:val="4AC14DAC"/>
    <w:rsid w:val="4AE67AB9"/>
    <w:rsid w:val="4AFF7E27"/>
    <w:rsid w:val="4B18454E"/>
    <w:rsid w:val="4B2F7480"/>
    <w:rsid w:val="4B4749F9"/>
    <w:rsid w:val="4CF270BF"/>
    <w:rsid w:val="4D154C85"/>
    <w:rsid w:val="4D345B3E"/>
    <w:rsid w:val="4D6924B5"/>
    <w:rsid w:val="4D9F39A9"/>
    <w:rsid w:val="4E7A264C"/>
    <w:rsid w:val="4EB35ECE"/>
    <w:rsid w:val="4F752402"/>
    <w:rsid w:val="4F8333B6"/>
    <w:rsid w:val="4FA42819"/>
    <w:rsid w:val="508F4E24"/>
    <w:rsid w:val="50EF617E"/>
    <w:rsid w:val="51160B6B"/>
    <w:rsid w:val="51461E90"/>
    <w:rsid w:val="51463753"/>
    <w:rsid w:val="51937E34"/>
    <w:rsid w:val="52553A93"/>
    <w:rsid w:val="53521F8B"/>
    <w:rsid w:val="53E22F47"/>
    <w:rsid w:val="54522FF8"/>
    <w:rsid w:val="550C36E4"/>
    <w:rsid w:val="55450629"/>
    <w:rsid w:val="5583356B"/>
    <w:rsid w:val="55B90631"/>
    <w:rsid w:val="56692963"/>
    <w:rsid w:val="568B0F48"/>
    <w:rsid w:val="56E50055"/>
    <w:rsid w:val="56F05ED5"/>
    <w:rsid w:val="5786217B"/>
    <w:rsid w:val="57883B27"/>
    <w:rsid w:val="583E2CEF"/>
    <w:rsid w:val="591F3C56"/>
    <w:rsid w:val="59337A15"/>
    <w:rsid w:val="59810274"/>
    <w:rsid w:val="5B0B0929"/>
    <w:rsid w:val="5B931CD9"/>
    <w:rsid w:val="5BFE4F6F"/>
    <w:rsid w:val="5C173B26"/>
    <w:rsid w:val="5C4B310C"/>
    <w:rsid w:val="5CA96A00"/>
    <w:rsid w:val="5CB861DA"/>
    <w:rsid w:val="5CF730BC"/>
    <w:rsid w:val="5D314A82"/>
    <w:rsid w:val="5D780793"/>
    <w:rsid w:val="5E091A5E"/>
    <w:rsid w:val="5E5F0DCE"/>
    <w:rsid w:val="5F4445FC"/>
    <w:rsid w:val="5FA40A7B"/>
    <w:rsid w:val="5FD56D29"/>
    <w:rsid w:val="5FEC7F3F"/>
    <w:rsid w:val="60E34DD9"/>
    <w:rsid w:val="60F74BC3"/>
    <w:rsid w:val="617D3BF8"/>
    <w:rsid w:val="61841F6A"/>
    <w:rsid w:val="61E735F4"/>
    <w:rsid w:val="61EF3C1A"/>
    <w:rsid w:val="621456D4"/>
    <w:rsid w:val="623007A9"/>
    <w:rsid w:val="62C11794"/>
    <w:rsid w:val="637D7558"/>
    <w:rsid w:val="638D0016"/>
    <w:rsid w:val="63D0463C"/>
    <w:rsid w:val="644F19AC"/>
    <w:rsid w:val="65736F64"/>
    <w:rsid w:val="65823A4B"/>
    <w:rsid w:val="65AA4920"/>
    <w:rsid w:val="65E31D0B"/>
    <w:rsid w:val="66C60DE4"/>
    <w:rsid w:val="66CD2692"/>
    <w:rsid w:val="66D3679F"/>
    <w:rsid w:val="66D843D0"/>
    <w:rsid w:val="67694F1E"/>
    <w:rsid w:val="679F3188"/>
    <w:rsid w:val="67DB2E53"/>
    <w:rsid w:val="67FB439B"/>
    <w:rsid w:val="68756489"/>
    <w:rsid w:val="68F312FB"/>
    <w:rsid w:val="69597934"/>
    <w:rsid w:val="69B639DD"/>
    <w:rsid w:val="6A1F2805"/>
    <w:rsid w:val="6A26607E"/>
    <w:rsid w:val="6A3E6EBC"/>
    <w:rsid w:val="6A4578FD"/>
    <w:rsid w:val="6A591481"/>
    <w:rsid w:val="6A596AB2"/>
    <w:rsid w:val="6B3057ED"/>
    <w:rsid w:val="6B321A64"/>
    <w:rsid w:val="6B873BC5"/>
    <w:rsid w:val="6B964DDC"/>
    <w:rsid w:val="6C783074"/>
    <w:rsid w:val="6D2A303F"/>
    <w:rsid w:val="6D7A376E"/>
    <w:rsid w:val="6D9E65C6"/>
    <w:rsid w:val="6DA81947"/>
    <w:rsid w:val="6DB23F9A"/>
    <w:rsid w:val="6E9141D5"/>
    <w:rsid w:val="6EB66DE2"/>
    <w:rsid w:val="6ED3075F"/>
    <w:rsid w:val="6EFA021B"/>
    <w:rsid w:val="6F2A2D4B"/>
    <w:rsid w:val="6F8A0C1E"/>
    <w:rsid w:val="703F45D4"/>
    <w:rsid w:val="709851BE"/>
    <w:rsid w:val="715D6546"/>
    <w:rsid w:val="71BE069E"/>
    <w:rsid w:val="724B0E14"/>
    <w:rsid w:val="73953409"/>
    <w:rsid w:val="73E069A3"/>
    <w:rsid w:val="75171CE6"/>
    <w:rsid w:val="75AD0232"/>
    <w:rsid w:val="76644FAA"/>
    <w:rsid w:val="768A408A"/>
    <w:rsid w:val="78104AA8"/>
    <w:rsid w:val="788B2BAE"/>
    <w:rsid w:val="78B70D2B"/>
    <w:rsid w:val="78CE60D3"/>
    <w:rsid w:val="78E257C5"/>
    <w:rsid w:val="794B35BE"/>
    <w:rsid w:val="7A930ACE"/>
    <w:rsid w:val="7B0A3A31"/>
    <w:rsid w:val="7B3360ED"/>
    <w:rsid w:val="7B687661"/>
    <w:rsid w:val="7BDF037E"/>
    <w:rsid w:val="7BF50948"/>
    <w:rsid w:val="7C3719D4"/>
    <w:rsid w:val="7C3C4D9E"/>
    <w:rsid w:val="7CE66A78"/>
    <w:rsid w:val="7D111591"/>
    <w:rsid w:val="7D23564C"/>
    <w:rsid w:val="7D3F443B"/>
    <w:rsid w:val="7D5E062D"/>
    <w:rsid w:val="7D6E5432"/>
    <w:rsid w:val="7DA243F4"/>
    <w:rsid w:val="7DDF046B"/>
    <w:rsid w:val="7DF54C23"/>
    <w:rsid w:val="7DF76CD8"/>
    <w:rsid w:val="7E516E43"/>
    <w:rsid w:val="7F695C26"/>
    <w:rsid w:val="7FCF62D3"/>
    <w:rsid w:val="7FEE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2301.26</c:v>
                </c:pt>
                <c:pt idx="1">
                  <c:v>3.04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117.8</c:v>
                </c:pt>
                <c:pt idx="5">
                  <c:v>0</c:v>
                </c:pt>
                <c:pt idx="6">
                  <c:v>0</c:v>
                </c:pt>
                <c:pt idx="7">
                  <c:v>0</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21.68</c:v>
                </c:pt>
                <c:pt idx="1">
                  <c:v>1488.63</c:v>
                </c:pt>
                <c:pt idx="2">
                  <c:v>132.69</c:v>
                </c:pt>
                <c:pt idx="3">
                  <c:v>111.52</c:v>
                </c:pt>
                <c:pt idx="4">
                  <c:v>280.79</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22.73</c:v>
                </c:pt>
                <c:pt idx="1">
                  <c:v>1772.62</c:v>
                </c:pt>
                <c:pt idx="2">
                  <c:v>172.97</c:v>
                </c:pt>
                <c:pt idx="3">
                  <c:v>133.77</c:v>
                </c:pt>
                <c:pt idx="4">
                  <c:v>202.2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22.73</c:v>
                </c:pt>
                <c:pt idx="1">
                  <c:v>22.73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2050701</c:v>
                </c:pt>
                <c:pt idx="3">
                  <c:v>2050999</c:v>
                </c:pt>
                <c:pt idx="4">
                  <c:v>205x</c:v>
                </c:pt>
              </c:strCache>
            </c:strRef>
          </c:cat>
          <c:val>
            <c:numRef>
              <c:f>Sheet1!$B$2:$B$6</c:f>
              <c:numCache>
                <c:formatCode>General</c:formatCode>
                <c:ptCount val="5"/>
                <c:pt idx="0">
                  <c:v>1754.6</c:v>
                </c:pt>
                <c:pt idx="1">
                  <c:v>15.52</c:v>
                </c:pt>
                <c:pt idx="2">
                  <c:v>1.43</c:v>
                </c:pt>
                <c:pt idx="3">
                  <c:v>1.08</c:v>
                </c:pt>
                <c:pt idx="4">
                  <c:v>1772.62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172.97</c:v>
                </c:pt>
                <c:pt idx="1">
                  <c:v>172.97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133.77</c:v>
                </c:pt>
                <c:pt idx="1">
                  <c:v>133.77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199.16</c:v>
                </c:pt>
                <c:pt idx="1">
                  <c:v>199.16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515.96</c:v>
                </c:pt>
                <c:pt idx="1">
                  <c:v>173.45</c:v>
                </c:pt>
                <c:pt idx="2">
                  <c:v>509.78</c:v>
                </c:pt>
                <c:pt idx="3">
                  <c:v>0</c:v>
                </c:pt>
                <c:pt idx="4">
                  <c:v>246.24</c:v>
                </c:pt>
                <c:pt idx="5">
                  <c:v>172.97</c:v>
                </c:pt>
                <c:pt idx="6">
                  <c:v>0</c:v>
                </c:pt>
                <c:pt idx="7">
                  <c:v>70.07</c:v>
                </c:pt>
                <c:pt idx="8">
                  <c:v>0</c:v>
                </c:pt>
                <c:pt idx="9">
                  <c:v>8.69</c:v>
                </c:pt>
                <c:pt idx="10">
                  <c:v>133.77</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22.73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3397</Words>
  <Characters>5324</Characters>
  <Lines>90</Lines>
  <Paragraphs>25</Paragraphs>
  <TotalTime>13</TotalTime>
  <ScaleCrop>false</ScaleCrop>
  <LinksUpToDate>false</LinksUpToDate>
  <CharactersWithSpaces>5380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2023-11-20T10:31:00Z</cp:lastPrinted>
  <dcterms:modified xsi:type="dcterms:W3CDTF">2025-01-04T07:59:27Z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BCEB6B2CBAC944FF91BFFAB3594BBA63_13</vt:lpwstr>
  </property>
  <property fmtid="{D5CDD505-2E9C-101B-9397-08002B2CF9AE}" pid="4" name="KSOTemplateDocerSaveRecord">
    <vt:lpwstr>eyJoZGlkIjoiZTA3Mzg0NzBlMzJiOTFiNTgxM2VjYjkwOWJhMGRkZTYiLCJ1c2VySWQiOiI0ODk2Njg5ODMifQ==</vt:lpwstr>
  </property>
</Properties>
</file>