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环江毛南族自治县东兴镇中心幼儿园</w:t>
      </w:r>
      <w:r>
        <w:rPr>
          <w:rFonts w:hint="eastAsia" w:ascii="黑体" w:hAnsi="黑体" w:eastAsia="黑体" w:cs="黑体"/>
          <w:b/>
          <w:bCs/>
          <w:sz w:val="52"/>
          <w:szCs w:val="52"/>
          <w:highlight w:val="none"/>
          <w:lang w:eastAsia="zh-CN"/>
        </w:rPr>
        <w:t>2023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640" w:firstLineChars="600"/>
        <w:jc w:val="left"/>
        <w:rPr>
          <w:rFonts w:hint="default"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单位负责人：欧杏兹</w:t>
      </w: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jc w:val="center"/>
        <w:rPr>
          <w:rFonts w:ascii="黑体" w:hAnsi="黑体" w:eastAsia="黑体" w:cs="黑体"/>
          <w:b/>
          <w:bCs/>
          <w:sz w:val="36"/>
          <w:szCs w:val="36"/>
          <w:highlight w:val="none"/>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环江毛南族自治县东兴镇中心幼儿园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环江毛南族自治县东兴镇中心幼儿园</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环江毛南族自治县东兴镇中心幼儿园</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环江毛南族自治县东兴镇中心幼儿园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（二）编制本园教育事业发展规划并检查实施情况，向自治县人民政府和上级教育部门作出报告。</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（八）检查指导学校教育教学设备的装备、管理和使用工作。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（九）检查指导全园开展电化教育和信息化教学工作。</w:t>
      </w:r>
    </w:p>
    <w:p>
      <w:pPr>
        <w:spacing w:line="560" w:lineRule="exact"/>
        <w:ind w:firstLine="646"/>
        <w:rPr>
          <w:rFonts w:hint="eastAsia" w:ascii="仿宋" w:hAnsi="仿宋" w:eastAsia="仿宋" w:cs="仿宋"/>
          <w:color w:val="FF0000"/>
          <w:sz w:val="32"/>
          <w:szCs w:val="32"/>
          <w:lang w:val="en-US" w:eastAsia="zh-CN"/>
        </w:rPr>
      </w:pPr>
      <w:r>
        <w:rPr>
          <w:rFonts w:hint="eastAsia" w:ascii="Times New Roman" w:hAnsi="Times New Roman" w:eastAsia="仿宋_GB2312" w:cs="Times New Roman"/>
          <w:sz w:val="32"/>
          <w:szCs w:val="32"/>
        </w:rPr>
        <w:t>（十）负责全园教师初级专业技术职务资格的评审，中、高级专业技术职务资格的申报工作。按照管理权限对教师进行考核、聘任、奖惩、晋升等工作。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黑体" w:hAnsi="黑体" w:eastAsia="黑体" w:cs="黑体"/>
          <w:sz w:val="32"/>
          <w:szCs w:val="32"/>
          <w:highlight w:val="none"/>
          <w:lang w:val="en-US" w:eastAsia="zh-CN"/>
        </w:rPr>
      </w:pP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环江毛南族自治县东兴镇中心幼儿园</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2"/>
        <w:gridCol w:w="651"/>
        <w:gridCol w:w="464"/>
        <w:gridCol w:w="690"/>
        <w:gridCol w:w="1070"/>
        <w:gridCol w:w="4163"/>
        <w:gridCol w:w="272"/>
        <w:gridCol w:w="384"/>
        <w:gridCol w:w="336"/>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6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6387" w:type="dxa"/>
            <w:gridSpan w:val="4"/>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收入支出决算总表</w:t>
            </w:r>
          </w:p>
        </w:tc>
        <w:tc>
          <w:tcPr>
            <w:tcW w:w="656"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5"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6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4"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6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6"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5"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6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部门：环江毛南族自治县东兴镇中心幼儿园</w:t>
            </w:r>
          </w:p>
        </w:tc>
        <w:tc>
          <w:tcPr>
            <w:tcW w:w="65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4"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6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6"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5"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7"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44"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pP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pP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32</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33</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34</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37</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38</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41</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42</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44</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45</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46</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47</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48</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49</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51</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52</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53</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54</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24</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0"/>
                <w:szCs w:val="20"/>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25</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0"/>
                <w:szCs w:val="20"/>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56</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26</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0"/>
                <w:szCs w:val="20"/>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57</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58</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59</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60</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61</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7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w:t>
            </w:r>
          </w:p>
        </w:tc>
        <w:tc>
          <w:tcPr>
            <w:tcW w:w="10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62</w:t>
            </w:r>
          </w:p>
        </w:tc>
        <w:tc>
          <w:tcPr>
            <w:tcW w:w="18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81"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81" w:type="dxa"/>
            <w:gridSpan w:val="10"/>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1346"/>
        <w:gridCol w:w="583"/>
        <w:gridCol w:w="537"/>
        <w:gridCol w:w="1650"/>
        <w:gridCol w:w="1710"/>
        <w:gridCol w:w="1890"/>
        <w:gridCol w:w="1350"/>
        <w:gridCol w:w="664"/>
        <w:gridCol w:w="959"/>
        <w:gridCol w:w="959"/>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267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8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250"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8"/>
                <w:szCs w:val="28"/>
                <w:u w:val="none"/>
                <w:lang w:val="en-US" w:eastAsia="zh-CN" w:bidi="ar"/>
              </w:rPr>
              <w:t>收入决算表</w:t>
            </w:r>
          </w:p>
        </w:tc>
        <w:tc>
          <w:tcPr>
            <w:tcW w:w="13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6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5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5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0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267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8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6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5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5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0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3792"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部门：环江毛南族自治县东兴镇中心幼儿园</w:t>
            </w:r>
          </w:p>
        </w:tc>
        <w:tc>
          <w:tcPr>
            <w:tcW w:w="16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9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6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5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066"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442"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32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16"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16"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16"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442"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442"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241.20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1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41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1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3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1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4081" w:type="dxa"/>
            <w:gridSpan w:val="12"/>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p>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支出决算表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7"/>
        <w:gridCol w:w="1919"/>
        <w:gridCol w:w="222"/>
        <w:gridCol w:w="222"/>
        <w:gridCol w:w="3182"/>
        <w:gridCol w:w="1350"/>
        <w:gridCol w:w="1350"/>
        <w:gridCol w:w="1350"/>
        <w:gridCol w:w="758"/>
        <w:gridCol w:w="758"/>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498"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7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7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7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6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6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5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3942"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部门：环江毛南族自治县东兴镇中心幼儿园</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179"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54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637"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179"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7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179"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241.20</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128.56</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112.63</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563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563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209.47</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96.84</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112.63</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63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563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5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563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13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0" w:type="auto"/>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7"/>
        <w:gridCol w:w="208"/>
        <w:gridCol w:w="347"/>
        <w:gridCol w:w="66"/>
        <w:gridCol w:w="1331"/>
        <w:gridCol w:w="2820"/>
        <w:gridCol w:w="357"/>
        <w:gridCol w:w="59"/>
        <w:gridCol w:w="392"/>
        <w:gridCol w:w="975"/>
        <w:gridCol w:w="648"/>
        <w:gridCol w:w="552"/>
        <w:gridCol w:w="739"/>
        <w:gridCol w:w="737"/>
        <w:gridCol w:w="219"/>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1" w:hRule="atLeast"/>
        </w:trPr>
        <w:tc>
          <w:tcPr>
            <w:tcW w:w="3445"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582" w:type="dxa"/>
            <w:gridSpan w:val="7"/>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firstLine="964" w:firstLineChars="300"/>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财政拨款收入支出决算总表</w:t>
            </w:r>
          </w:p>
        </w:tc>
        <w:tc>
          <w:tcPr>
            <w:tcW w:w="1291"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56"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9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3445"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3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2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6"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015"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1"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56"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9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3858"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部门：环江毛南族自治县东兴镇中心幼儿园</w:t>
            </w:r>
          </w:p>
        </w:tc>
        <w:tc>
          <w:tcPr>
            <w:tcW w:w="133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2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6"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015"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1"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56"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9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189"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892" w:type="dxa"/>
            <w:gridSpan w:val="11"/>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209.47</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b/>
                <w:bCs/>
                <w:i w:val="0"/>
                <w:iCs w:val="0"/>
                <w:color w:val="000000"/>
                <w:sz w:val="20"/>
                <w:szCs w:val="20"/>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2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12687" w:type="dxa"/>
            <w:gridSpan w:val="1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394" w:type="dxa"/>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4"/>
        <w:gridCol w:w="1800"/>
        <w:gridCol w:w="222"/>
        <w:gridCol w:w="222"/>
        <w:gridCol w:w="3657"/>
        <w:gridCol w:w="1969"/>
        <w:gridCol w:w="1839"/>
        <w:gridCol w:w="51"/>
        <w:gridCol w:w="2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3524"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626"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一般公共预算财政拨款支出决算表</w:t>
            </w:r>
          </w:p>
        </w:tc>
        <w:tc>
          <w:tcPr>
            <w:tcW w:w="189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59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746"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部门：环江毛南族自治县东兴镇中心幼儿园</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25"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456" w:type="dxa"/>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72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901"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4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625"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6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7625"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241.20</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128.56</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1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590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590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9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209.47</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96.84</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90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590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9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590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9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8"/>
          <w:szCs w:val="28"/>
          <w:highlight w:val="none"/>
        </w:rPr>
      </w:pPr>
      <w:r>
        <w:rPr>
          <w:rFonts w:hint="eastAsia" w:ascii="仿宋" w:hAnsi="仿宋" w:eastAsia="仿宋" w:cs="仿宋"/>
          <w:sz w:val="24"/>
          <w:highlight w:val="none"/>
        </w:rPr>
        <w:t>表六：一般公共预算财政拨款基本支出决算表</w:t>
      </w:r>
    </w:p>
    <w:tbl>
      <w:tblPr>
        <w:tblStyle w:val="6"/>
        <w:tblpPr w:leftFromText="180" w:rightFromText="180" w:vertAnchor="text" w:horzAnchor="page" w:tblpXSpec="center" w:tblpY="643"/>
        <w:tblOverlap w:val="never"/>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1078"/>
        <w:gridCol w:w="1858"/>
        <w:gridCol w:w="140"/>
        <w:gridCol w:w="1518"/>
        <w:gridCol w:w="997"/>
        <w:gridCol w:w="1574"/>
        <w:gridCol w:w="320"/>
        <w:gridCol w:w="767"/>
        <w:gridCol w:w="154"/>
        <w:gridCol w:w="789"/>
        <w:gridCol w:w="160"/>
        <w:gridCol w:w="2105"/>
        <w:gridCol w:w="75"/>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jc w:val="center"/>
        </w:trPr>
        <w:tc>
          <w:tcPr>
            <w:tcW w:w="214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457" w:type="dxa"/>
            <w:gridSpan w:val="1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c>
          <w:tcPr>
            <w:tcW w:w="157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14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98"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1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9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1"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9"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18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4141"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部门：环江毛南族自治县东兴镇中心幼儿园</w:t>
            </w:r>
          </w:p>
        </w:tc>
        <w:tc>
          <w:tcPr>
            <w:tcW w:w="151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9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1" w:type="dxa"/>
            <w:gridSpan w:val="3"/>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9"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180"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7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5659"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515" w:type="dxa"/>
            <w:gridSpan w:val="10"/>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3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5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94"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4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6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4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3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94"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6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126.74</w:t>
            </w: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41.59</w:t>
            </w: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w:t>
            </w: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936"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400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126.74</w:t>
            </w:r>
          </w:p>
        </w:tc>
        <w:tc>
          <w:tcPr>
            <w:tcW w:w="6866" w:type="dxa"/>
            <w:gridSpan w:val="8"/>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4174" w:type="dxa"/>
            <w:gridSpan w:val="15"/>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7"/>
        <w:gridCol w:w="292"/>
        <w:gridCol w:w="292"/>
        <w:gridCol w:w="1440"/>
        <w:gridCol w:w="1068"/>
        <w:gridCol w:w="1068"/>
        <w:gridCol w:w="1068"/>
        <w:gridCol w:w="1068"/>
        <w:gridCol w:w="1069"/>
        <w:gridCol w:w="1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14081" w:type="dxa"/>
            <w:gridSpan w:val="10"/>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8"/>
                <w:szCs w:val="8"/>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部门：环江毛南族自治县东兴镇中心幼儿园</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571"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83"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8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8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w:t>
            </w:r>
            <w:r>
              <w:rPr>
                <w:rFonts w:hint="eastAsia" w:ascii="Times New Roman" w:hAnsi="Times New Roman" w:eastAsia="宋体" w:cs="Times New Roman"/>
                <w:color w:val="auto"/>
                <w:kern w:val="2"/>
                <w:sz w:val="21"/>
                <w:szCs w:val="21"/>
                <w:lang w:val="en-US" w:eastAsia="zh-CN" w:bidi="ar"/>
              </w:rPr>
              <w:t>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4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30"/>
        <w:gridCol w:w="325"/>
        <w:gridCol w:w="325"/>
        <w:gridCol w:w="1606"/>
        <w:gridCol w:w="1670"/>
        <w:gridCol w:w="1670"/>
        <w:gridCol w:w="3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4020" w:type="dxa"/>
            <w:gridSpan w:val="7"/>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6"/>
                <w:szCs w:val="36"/>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部门：环江毛南族自治县东兴镇中心幼儿园</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427"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985"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98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98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注：本表反映部门本年度国有资本经营预算财政拨款支出情况。</w:t>
            </w:r>
          </w:p>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w:t>
            </w:r>
            <w:r>
              <w:rPr>
                <w:rFonts w:hint="eastAsia" w:ascii="Times New Roman" w:hAnsi="Times New Roman" w:eastAsia="宋体" w:cs="Times New Roman"/>
                <w:color w:val="auto"/>
                <w:kern w:val="2"/>
                <w:sz w:val="21"/>
                <w:szCs w:val="21"/>
                <w:lang w:val="en-US" w:eastAsia="zh-CN" w:bidi="ar"/>
              </w:rPr>
              <w:t>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tc>
      </w:tr>
    </w:tbl>
    <w:p>
      <w:pPr>
        <w:jc w:val="left"/>
        <w:rPr>
          <w:rFonts w:hint="eastAsia" w:ascii="仿宋" w:hAnsi="仿宋" w:eastAsia="仿宋" w:cs="仿宋"/>
          <w:sz w:val="24"/>
          <w:highlight w:val="none"/>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lang w:val="en-US" w:eastAsia="zh-CN" w:bidi="ar"/>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tbl>
      <w:tblPr>
        <w:tblStyle w:val="6"/>
        <w:tblW w:w="13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2"/>
        <w:gridCol w:w="1185"/>
        <w:gridCol w:w="1425"/>
        <w:gridCol w:w="1470"/>
        <w:gridCol w:w="1260"/>
        <w:gridCol w:w="1005"/>
        <w:gridCol w:w="840"/>
        <w:gridCol w:w="765"/>
        <w:gridCol w:w="645"/>
        <w:gridCol w:w="1170"/>
        <w:gridCol w:w="1110"/>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13765" w:type="dxa"/>
            <w:gridSpan w:val="1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36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2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7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6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36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部门：环江毛南族自治县东兴镇中心幼儿园</w:t>
            </w:r>
          </w:p>
        </w:tc>
        <w:tc>
          <w:tcPr>
            <w:tcW w:w="118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2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7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6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2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707"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058"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w:t>
            </w:r>
            <w:bookmarkStart w:id="3" w:name="_GoBack"/>
            <w:bookmarkEnd w:id="3"/>
            <w:r>
              <w:rPr>
                <w:rFonts w:hint="eastAsia" w:ascii="宋体" w:hAnsi="宋体" w:eastAsia="宋体" w:cs="宋体"/>
                <w:i w:val="0"/>
                <w:iCs w:val="0"/>
                <w:color w:val="000000"/>
                <w:kern w:val="0"/>
                <w:sz w:val="22"/>
                <w:szCs w:val="22"/>
                <w:u w:val="none"/>
                <w:lang w:val="en-US" w:eastAsia="zh-CN" w:bidi="ar"/>
              </w:rPr>
              <w:t>维护费</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36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2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765"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w:t>
            </w:r>
            <w:r>
              <w:rPr>
                <w:rFonts w:hint="eastAsia" w:ascii="Times New Roman" w:hAnsi="Times New Roman" w:eastAsia="宋体" w:cs="Times New Roman"/>
                <w:color w:val="auto"/>
                <w:kern w:val="2"/>
                <w:sz w:val="21"/>
                <w:szCs w:val="21"/>
                <w:lang w:val="en-US" w:eastAsia="zh-CN" w:bidi="ar"/>
              </w:rPr>
              <w:t>23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765" w:type="dxa"/>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环江毛南族自治县东兴镇中心幼儿园</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241.20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56.72</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30.75</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241.20</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241.20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56.72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30.75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主要原因：本部门</w:t>
      </w:r>
      <w:r>
        <w:rPr>
          <w:rFonts w:hint="eastAsia" w:ascii="仿宋" w:hAnsi="仿宋" w:eastAsia="仿宋" w:cs="仿宋"/>
          <w:color w:val="auto"/>
          <w:kern w:val="2"/>
          <w:sz w:val="32"/>
          <w:szCs w:val="32"/>
          <w:highlight w:val="none"/>
          <w:lang w:val="en-US" w:eastAsia="zh-CN" w:bidi="ar"/>
        </w:rPr>
        <w:t>2023</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年度新增4名公招教师控制数，</w:t>
      </w:r>
      <w:r>
        <w:rPr>
          <w:rFonts w:hint="eastAsia" w:ascii="仿宋" w:hAnsi="仿宋" w:eastAsia="仿宋" w:cs="仿宋"/>
          <w:color w:val="auto"/>
          <w:kern w:val="2"/>
          <w:sz w:val="32"/>
          <w:szCs w:val="32"/>
          <w:highlight w:val="none"/>
          <w:lang w:val="en-US" w:eastAsia="zh-CN" w:bidi="ar"/>
        </w:rPr>
        <w:t>以其五险基数调整</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万元，为上级部门当年拨付的资金。较2022年度决算数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（二）本部门</w:t>
      </w: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年度总支出</w:t>
      </w:r>
      <w:r>
        <w:rPr>
          <w:rFonts w:hint="eastAsia" w:ascii="仿宋" w:hAnsi="仿宋" w:eastAsia="仿宋" w:cs="仿宋"/>
          <w:color w:val="auto"/>
          <w:sz w:val="32"/>
          <w:u w:color="auto"/>
        </w:rPr>
        <w:t>241.2</w:t>
      </w:r>
      <w:r>
        <w:rPr>
          <w:rFonts w:hint="eastAsia" w:ascii="仿宋" w:hAnsi="仿宋" w:eastAsia="仿宋" w:cs="仿宋"/>
          <w:color w:val="auto"/>
          <w:sz w:val="32"/>
          <w:szCs w:val="32"/>
          <w:highlight w:val="none"/>
        </w:rPr>
        <w:t>万元，其中本年</w:t>
      </w:r>
      <w:r>
        <w:rPr>
          <w:rFonts w:hint="eastAsia" w:ascii="仿宋" w:hAnsi="仿宋" w:eastAsia="仿宋" w:cs="仿宋"/>
          <w:sz w:val="32"/>
          <w:szCs w:val="32"/>
          <w:highlight w:val="none"/>
        </w:rPr>
        <w:t>支出</w:t>
      </w:r>
      <w:r>
        <w:rPr>
          <w:rFonts w:hint="eastAsia" w:ascii="仿宋" w:hAnsi="仿宋" w:eastAsia="仿宋" w:cs="仿宋"/>
          <w:sz w:val="32"/>
          <w:u w:color="auto"/>
        </w:rPr>
        <w:t>241.2</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56.72</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30.75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1.82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val="en-US" w:eastAsia="zh-CN"/>
        </w:rPr>
        <w:t>群众团体事务</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1.21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198.36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主要原因是：本部门2023年度新增4名公招教师控制数，工会费相应提高</w:t>
      </w:r>
      <w:r>
        <w:rPr>
          <w:rFonts w:hint="eastAsia" w:ascii="仿宋" w:hAnsi="仿宋" w:eastAsia="仿宋" w:cs="仿宋"/>
          <w:color w:val="auto"/>
          <w:kern w:val="2"/>
          <w:sz w:val="32"/>
          <w:szCs w:val="32"/>
          <w:highlight w:val="none"/>
          <w:lang w:val="en-US" w:eastAsia="zh-CN" w:bidi="ar"/>
        </w:rPr>
        <w:t>。</w:t>
      </w:r>
    </w:p>
    <w:p>
      <w:pPr>
        <w:autoSpaceDE w:val="0"/>
        <w:autoSpaceDN w:val="0"/>
        <w:adjustRightInd w:val="0"/>
        <w:spacing w:line="560" w:lineRule="exact"/>
        <w:ind w:firstLine="640" w:firstLineChars="200"/>
        <w:rPr>
          <w:rFonts w:hint="eastAsia" w:ascii="Times New Roman" w:hAnsi="Times New Roman" w:eastAsia="仿宋_GB2312" w:cs="Times New Roman"/>
          <w:kern w:val="0"/>
          <w:sz w:val="32"/>
          <w:szCs w:val="32"/>
          <w:lang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209.47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rPr>
        <w:t>人员基本工资，商品服务支出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43.43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26.16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主要原因是：本部门2023年度新增4名公招教师控制数；2023年度调整工资标准</w:t>
      </w:r>
      <w:r>
        <w:rPr>
          <w:rFonts w:hint="eastAsia" w:ascii="Times New Roman" w:hAnsi="Times New Roman" w:eastAsia="仿宋_GB2312" w:cs="Times New Roman"/>
          <w:kern w:val="0"/>
          <w:sz w:val="32"/>
          <w:szCs w:val="32"/>
          <w:lang w:eastAsia="zh-CN"/>
        </w:rPr>
        <w:t>。</w:t>
      </w:r>
    </w:p>
    <w:p>
      <w:pPr>
        <w:autoSpaceDE w:val="0"/>
        <w:autoSpaceDN w:val="0"/>
        <w:adjustRightInd w:val="0"/>
        <w:spacing w:line="56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10.62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主要用于住房公积金缴费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4.76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81.23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主要原因是：本部门2023年度新增4名公招教师控制数；2023年度调整缴费基数</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7.66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主要用于住房公积金缴费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3.57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87.29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主要原因是：本部门2023年度新增4名公招教师控制数；2023年度调整缴费基数</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11.62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人员工资福利</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3.74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47.46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2023</w:t>
      </w:r>
      <w:r>
        <w:rPr>
          <w:rFonts w:hint="eastAsia" w:ascii="Times New Roman" w:hAnsi="Times New Roman" w:eastAsia="仿宋_GB2312" w:cs="Times New Roman"/>
          <w:kern w:val="0"/>
          <w:sz w:val="32"/>
          <w:szCs w:val="32"/>
        </w:rPr>
        <w:t>年公招新进</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人</w:t>
      </w:r>
      <w:r>
        <w:rPr>
          <w:rFonts w:hint="eastAsia" w:ascii="Times New Roman" w:hAnsi="Times New Roman" w:eastAsia="仿宋_GB2312" w:cs="Times New Roman"/>
          <w:kern w:val="0"/>
          <w:sz w:val="32"/>
          <w:szCs w:val="32"/>
          <w:lang w:eastAsia="zh-CN"/>
        </w:rPr>
        <w:t>，</w:t>
      </w:r>
      <w:r>
        <w:rPr>
          <w:rFonts w:hint="eastAsia" w:ascii="仿宋" w:hAnsi="仿宋" w:eastAsia="仿宋" w:cs="仿宋"/>
          <w:color w:val="auto"/>
          <w:kern w:val="2"/>
          <w:sz w:val="32"/>
          <w:szCs w:val="32"/>
          <w:highlight w:val="none"/>
          <w:lang w:val="en-US" w:eastAsia="zh-CN" w:bidi="ar"/>
        </w:rPr>
        <w:t>以其五险基数调整。</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环江毛南族自治县东兴镇中心幼儿园2023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rPr>
        <w:t>241.2</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56.72</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30.75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128.56</w:t>
      </w:r>
      <w:r>
        <w:rPr>
          <w:rFonts w:hint="eastAsia" w:ascii="仿宋" w:hAnsi="仿宋" w:eastAsia="仿宋" w:cs="仿宋"/>
          <w:sz w:val="32"/>
          <w:szCs w:val="32"/>
          <w:highlight w:val="none"/>
        </w:rPr>
        <w:t>万元，项目支出</w:t>
      </w:r>
      <w:r>
        <w:rPr>
          <w:rFonts w:hint="eastAsia" w:ascii="仿宋" w:hAnsi="仿宋" w:eastAsia="仿宋" w:cs="仿宋"/>
          <w:sz w:val="32"/>
          <w:u w:color="auto"/>
        </w:rPr>
        <w:t>112.63</w:t>
      </w:r>
      <w:r>
        <w:rPr>
          <w:rFonts w:hint="eastAsia" w:ascii="仿宋" w:hAnsi="仿宋" w:eastAsia="仿宋" w:cs="仿宋"/>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lang w:eastAsia="zh-CN"/>
        </w:rPr>
        <w:t>环江毛南族自治县东兴镇中心幼儿园2023</w:t>
      </w:r>
      <w:r>
        <w:rPr>
          <w:rFonts w:hint="eastAsia" w:ascii="仿宋" w:hAnsi="仿宋" w:eastAsia="仿宋" w:cs="仿宋"/>
          <w:color w:val="auto"/>
          <w:sz w:val="32"/>
          <w:szCs w:val="32"/>
          <w:highlight w:val="none"/>
        </w:rPr>
        <w:t xml:space="preserve"> 年度一般公共预算财政拨款支出年初预算为</w:t>
      </w:r>
      <w:r>
        <w:rPr>
          <w:rFonts w:hint="eastAsia" w:ascii="仿宋" w:hAnsi="仿宋" w:eastAsia="仿宋" w:cs="仿宋"/>
          <w:color w:val="auto"/>
          <w:sz w:val="32"/>
          <w:u w:color="auto"/>
          <w:lang w:val="en-US" w:eastAsia="zh-CN"/>
        </w:rPr>
        <w:t>195.31</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rPr>
        <w:t>241.2</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123.50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64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1.82</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kern w:val="2"/>
                <w:sz w:val="18"/>
                <w:szCs w:val="18"/>
                <w:highlight w:val="none"/>
                <w:lang w:val="en-US" w:eastAsia="zh-CN" w:bidi="ar"/>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640" w:firstLineChars="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rPr>
        <w:t>教育支出（205类）年初预算为</w:t>
      </w:r>
      <w:r>
        <w:rPr>
          <w:rFonts w:hint="eastAsia" w:ascii="仿宋" w:hAnsi="仿宋" w:eastAsia="仿宋"/>
          <w:sz w:val="32"/>
          <w:szCs w:val="32"/>
          <w:highlight w:val="none"/>
          <w:lang w:val="en-US" w:eastAsia="zh-CN"/>
        </w:rPr>
        <w:t>167.1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209.47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125.36</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预决算</w:t>
      </w:r>
      <w:r>
        <w:rPr>
          <w:rFonts w:hint="eastAsia" w:ascii="仿宋" w:hAnsi="仿宋" w:eastAsia="仿宋"/>
          <w:sz w:val="32"/>
          <w:szCs w:val="32"/>
          <w:highlight w:val="none"/>
          <w:lang w:val="en-US" w:eastAsia="zh-CN"/>
        </w:rPr>
        <w:t>存有</w:t>
      </w:r>
      <w:r>
        <w:rPr>
          <w:rFonts w:hint="eastAsia" w:ascii="仿宋" w:hAnsi="仿宋" w:eastAsia="仿宋"/>
          <w:sz w:val="32"/>
          <w:szCs w:val="32"/>
          <w:highlight w:val="none"/>
        </w:rPr>
        <w:t>差异</w:t>
      </w:r>
      <w:r>
        <w:rPr>
          <w:rFonts w:hint="eastAsia" w:ascii="仿宋" w:hAnsi="仿宋" w:eastAsia="仿宋"/>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该类支出有部分资金由上级部门预算直接下达，本部门无需预算。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209.47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125.36%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该类支出有部分资金由上级部门预算直接下达，本部门无需预算。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209.47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125.36%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utoSpaceDE w:val="0"/>
        <w:autoSpaceDN w:val="0"/>
        <w:adjustRightInd w:val="0"/>
        <w:spacing w:line="560" w:lineRule="exact"/>
        <w:ind w:firstLine="640" w:firstLineChars="200"/>
        <w:rPr>
          <w:rFonts w:ascii="Times New Roman" w:hAnsi="Times New Roman" w:eastAsia="仿宋_GB2312" w:cs="Times New Roman"/>
          <w:bCs/>
          <w:color w:val="FF0000"/>
          <w:kern w:val="0"/>
          <w:sz w:val="32"/>
          <w:szCs w:val="32"/>
        </w:rPr>
      </w:pP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15.08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10.62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70.42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000000"/>
          <w:sz w:val="32"/>
          <w:szCs w:val="32"/>
          <w:highlight w:val="none"/>
          <w:u w:val="none"/>
          <w:lang w:val="en-US" w:eastAsia="zh-CN"/>
        </w:rPr>
        <w:t>实际缴纳基数低于预算基数</w:t>
      </w:r>
      <w:r>
        <w:rPr>
          <w:rFonts w:hint="eastAsia" w:ascii="仿宋" w:hAnsi="仿宋" w:eastAsia="仿宋"/>
          <w:color w:val="auto"/>
          <w:sz w:val="32"/>
          <w:szCs w:val="32"/>
          <w:highlight w:val="none"/>
          <w:lang w:val="en-US"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70.42%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主要用于缴纳职工养老保险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实际缴纳基数低于预算基数。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70.42%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640" w:leftChars="0" w:right="0" w:right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住房保障支出（221类）年初预算为</w:t>
      </w:r>
      <w:r>
        <w:rPr>
          <w:rFonts w:hint="eastAsia" w:ascii="仿宋" w:hAnsi="仿宋" w:eastAsia="仿宋"/>
          <w:sz w:val="32"/>
          <w:szCs w:val="32"/>
          <w:highlight w:val="none"/>
          <w:lang w:val="en-US" w:eastAsia="zh-CN"/>
        </w:rPr>
        <w:t>11.31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7.66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67.73</w:t>
      </w:r>
      <w:r>
        <w:rPr>
          <w:rFonts w:hint="eastAsia" w:ascii="仿宋" w:hAnsi="仿宋" w:eastAsia="仿宋"/>
          <w:sz w:val="32"/>
          <w:szCs w:val="32"/>
          <w:highlight w:val="none"/>
        </w:rPr>
        <w:t>%。预决算</w:t>
      </w:r>
      <w:r>
        <w:rPr>
          <w:rFonts w:hint="eastAsia" w:ascii="仿宋" w:hAnsi="仿宋" w:eastAsia="仿宋"/>
          <w:sz w:val="32"/>
          <w:szCs w:val="32"/>
          <w:highlight w:val="none"/>
          <w:lang w:val="en-US" w:eastAsia="zh-CN"/>
        </w:rPr>
        <w:t>存有</w:t>
      </w:r>
      <w:r>
        <w:rPr>
          <w:rFonts w:hint="eastAsia" w:ascii="仿宋" w:hAnsi="仿宋" w:eastAsia="仿宋"/>
          <w:sz w:val="32"/>
          <w:szCs w:val="32"/>
          <w:highlight w:val="none"/>
        </w:rPr>
        <w:t>差异</w:t>
      </w:r>
      <w:r>
        <w:rPr>
          <w:rFonts w:hint="eastAsia" w:ascii="仿宋" w:hAnsi="仿宋" w:eastAsia="仿宋"/>
          <w:sz w:val="32"/>
          <w:szCs w:val="32"/>
          <w:highlight w:val="none"/>
          <w:lang w:val="en-US" w:eastAsia="zh-CN"/>
        </w:rPr>
        <w:t>原因是：实际缴纳基数低于预算基数</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67.73%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实际缴纳基数低于预算基数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67.73%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640" w:leftChars="0" w:right="0" w:right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（五）</w:t>
      </w:r>
      <w:r>
        <w:rPr>
          <w:rFonts w:hint="eastAsia" w:ascii="仿宋" w:hAnsi="仿宋" w:eastAsia="仿宋"/>
          <w:sz w:val="32"/>
          <w:szCs w:val="32"/>
          <w:highlight w:val="none"/>
        </w:rPr>
        <w:t>其他支出（229类）年初预算为0.00万元，支出决算为</w:t>
      </w:r>
      <w:r>
        <w:rPr>
          <w:rFonts w:hint="eastAsia" w:ascii="仿宋" w:hAnsi="仿宋" w:eastAsia="仿宋"/>
          <w:sz w:val="32"/>
          <w:szCs w:val="32"/>
          <w:highlight w:val="none"/>
          <w:lang w:val="en-US" w:eastAsia="zh-CN"/>
        </w:rPr>
        <w:t>11.62</w:t>
      </w:r>
      <w:r>
        <w:rPr>
          <w:rFonts w:hint="eastAsia" w:ascii="仿宋" w:hAnsi="仿宋" w:eastAsia="仿宋"/>
          <w:sz w:val="32"/>
          <w:szCs w:val="32"/>
          <w:highlight w:val="none"/>
        </w:rPr>
        <w:t>万元，预决算</w:t>
      </w:r>
      <w:r>
        <w:rPr>
          <w:rFonts w:hint="eastAsia" w:ascii="仿宋" w:hAnsi="仿宋" w:eastAsia="仿宋"/>
          <w:sz w:val="32"/>
          <w:szCs w:val="32"/>
          <w:highlight w:val="none"/>
          <w:lang w:val="en-US" w:eastAsia="zh-CN"/>
        </w:rPr>
        <w:t>存有</w:t>
      </w:r>
      <w:r>
        <w:rPr>
          <w:rFonts w:hint="eastAsia" w:ascii="仿宋" w:hAnsi="仿宋" w:eastAsia="仿宋"/>
          <w:sz w:val="32"/>
          <w:szCs w:val="32"/>
          <w:highlight w:val="none"/>
        </w:rPr>
        <w:t>差异</w:t>
      </w:r>
      <w:r>
        <w:rPr>
          <w:rFonts w:hint="eastAsia" w:ascii="仿宋" w:hAnsi="仿宋" w:eastAsia="仿宋"/>
          <w:sz w:val="32"/>
          <w:szCs w:val="32"/>
          <w:highlight w:val="none"/>
          <w:lang w:val="en-US" w:eastAsia="zh-CN"/>
        </w:rPr>
        <w:t>原因是：此项资金由上级部门预算直接下达，本部门无需预算</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7.88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仿宋_GB2312" w:cs="宋体"/>
                <w:i w:val="0"/>
                <w:iCs w:val="0"/>
                <w:color w:val="auto"/>
                <w:sz w:val="20"/>
                <w:szCs w:val="20"/>
                <w:highlight w:val="none"/>
                <w:u w:val="none"/>
                <w:lang w:val="en-US" w:eastAsia="zh-CN"/>
              </w:rPr>
            </w:pPr>
            <w:r>
              <w:rPr>
                <w:rFonts w:hint="eastAsia" w:ascii="宋体" w:hAnsi="宋体" w:eastAsia="宋体" w:cs="宋体"/>
                <w:bCs/>
                <w:kern w:val="0"/>
                <w:sz w:val="20"/>
                <w:szCs w:val="20"/>
                <w:lang w:val="en-US" w:eastAsia="zh-CN"/>
              </w:rPr>
              <w:t>主要</w:t>
            </w:r>
            <w:r>
              <w:rPr>
                <w:rFonts w:hint="eastAsia" w:ascii="宋体" w:hAnsi="宋体" w:eastAsia="宋体" w:cs="宋体"/>
                <w:bCs/>
                <w:kern w:val="0"/>
                <w:sz w:val="20"/>
                <w:szCs w:val="20"/>
              </w:rPr>
              <w:t>用于</w:t>
            </w:r>
            <w:r>
              <w:rPr>
                <w:rFonts w:hint="eastAsia" w:ascii="宋体" w:hAnsi="宋体" w:eastAsia="宋体" w:cs="宋体"/>
                <w:bCs/>
                <w:kern w:val="0"/>
                <w:sz w:val="20"/>
                <w:szCs w:val="20"/>
                <w:lang w:val="en-US" w:eastAsia="zh-CN"/>
              </w:rPr>
              <w:t>发放奖励性补贴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此项资金由上级部门预算直接下达，本部门无需预算。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7.88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20"/>
                <w:szCs w:val="20"/>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环江毛南族自治县东兴镇中心幼儿园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128.56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126.74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1.82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126.74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108.19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lang w:eastAsia="zh-CN"/>
        </w:rPr>
        <w:t>2023</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41.59万元，30102津贴补贴13.13万元，30103奖金28.01万元，30107绩效工资20.55万元，30108机关事业单位基本养老保险缴费10.62万元，30110职工基本医疗保险缴费4.64万元，30112其他社会保障缴费0.53万元，30113住房公积金7.66万元。</w:t>
      </w:r>
    </w:p>
    <w:p>
      <w:pPr>
        <w:jc w:val="center"/>
        <w:rPr>
          <w:rFonts w:hint="eastAsia" w:ascii="仿宋" w:hAnsi="仿宋" w:eastAsia="仿宋" w:cs="仿宋"/>
          <w:sz w:val="32"/>
          <w:szCs w:val="32"/>
          <w:highlight w:val="none"/>
        </w:rPr>
      </w:pPr>
      <w:r>
        <w:rPr>
          <w:rFonts w:hint="eastAsia" w:ascii="仿宋" w:hAnsi="仿宋" w:eastAsia="仿宋" w:cs="仿宋"/>
          <w:color w:val="FF0000"/>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1.82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无差异</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30228工会经费1.82万元。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主要原因是：2023年度本部门无</w:t>
      </w: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szCs w:val="32"/>
          <w:highlight w:val="none"/>
          <w:lang w:val="en-US" w:eastAsia="zh-CN"/>
        </w:rPr>
        <w:t>资金</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主要原因是：2023年度本部门无</w:t>
      </w:r>
      <w:r>
        <w:rPr>
          <w:rFonts w:hint="eastAsia" w:ascii="仿宋" w:hAnsi="仿宋" w:eastAsia="仿宋" w:cs="仿宋"/>
          <w:color w:val="auto"/>
          <w:sz w:val="32"/>
          <w:szCs w:val="32"/>
          <w:highlight w:val="none"/>
        </w:rPr>
        <w:t>债务利息及费用</w:t>
      </w:r>
      <w:r>
        <w:rPr>
          <w:rFonts w:hint="eastAsia" w:ascii="仿宋" w:hAnsi="仿宋" w:eastAsia="仿宋" w:cs="仿宋"/>
          <w:color w:val="auto"/>
          <w:sz w:val="32"/>
          <w:szCs w:val="32"/>
          <w:highlight w:val="none"/>
          <w:lang w:val="en-US" w:eastAsia="zh-CN"/>
        </w:rPr>
        <w:t>资金</w:t>
      </w:r>
      <w:r>
        <w:rPr>
          <w:rFonts w:hint="eastAsia" w:ascii="仿宋" w:hAnsi="仿宋" w:eastAsia="仿宋" w:cs="仿宋"/>
          <w:color w:val="auto"/>
          <w:sz w:val="32"/>
          <w:szCs w:val="32"/>
          <w:highlight w:val="none"/>
        </w:rPr>
        <w:t>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主要原因是：2023年度本部门无资本性支出。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主要原因是：2023年度本部门无其他资金支出。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环江毛南族自治县东兴镇中心幼儿园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环江毛南族自治县东兴镇中心幼儿园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环江毛南族自治县东兴镇中心幼儿园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环江毛南族自治县东兴镇中心幼儿园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环江毛南族自治县东兴镇中心幼儿园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rPr>
        <w:t>环江毛南族自治县东兴镇中心幼儿园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cs="Times New Roman"/>
          <w:kern w:val="0"/>
          <w:sz w:val="32"/>
          <w:szCs w:val="32"/>
        </w:rPr>
        <w:t>是</w:t>
      </w:r>
      <w:r>
        <w:rPr>
          <w:rFonts w:hint="eastAsia" w:ascii="Times New Roman" w:hAnsi="Times New Roman" w:eastAsia="仿宋_GB2312" w:cs="Times New Roman"/>
          <w:kern w:val="0"/>
          <w:sz w:val="32"/>
          <w:szCs w:val="32"/>
        </w:rPr>
        <w:t>本部门</w:t>
      </w:r>
      <w:r>
        <w:rPr>
          <w:rFonts w:hint="eastAsia" w:ascii="Times New Roman" w:hAnsi="Times New Roman" w:eastAsia="仿宋_GB2312" w:cs="Times New Roman"/>
          <w:kern w:val="0"/>
          <w:sz w:val="32"/>
          <w:szCs w:val="32"/>
          <w:lang w:eastAsia="zh-CN"/>
        </w:rPr>
        <w:t>2023</w:t>
      </w:r>
      <w:r>
        <w:rPr>
          <w:rFonts w:hint="eastAsia" w:ascii="Times New Roman" w:hAnsi="Times New Roman" w:eastAsia="仿宋_GB2312" w:cs="Times New Roman"/>
          <w:kern w:val="0"/>
          <w:sz w:val="32"/>
          <w:szCs w:val="32"/>
        </w:rPr>
        <w:t>年度没有三公经费资金收入，也没有三公经费资金安排的支出。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ascii="黑体" w:hAnsi="黑体" w:eastAsia="黑体" w:cs="黑体"/>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p>
    <w:p>
      <w:pPr>
        <w:ind w:left="0" w:leftChars="0" w:firstLine="0" w:firstLineChars="0"/>
        <w:jc w:val="left"/>
        <w:rPr>
          <w:rFonts w:ascii="仿宋" w:hAnsi="仿宋" w:eastAsia="仿宋" w:cs="仿宋"/>
          <w:sz w:val="32"/>
          <w:szCs w:val="32"/>
          <w:highlight w:val="none"/>
        </w:rPr>
      </w:pPr>
      <w:r>
        <w:rPr>
          <w:rFonts w:hint="eastAsia" w:ascii="黑体" w:hAnsi="黑体" w:eastAsia="黑体" w:cs="黑体"/>
          <w:sz w:val="32"/>
          <w:szCs w:val="32"/>
          <w:highlight w:val="none"/>
        </w:rPr>
        <w:t>（二）政府采购支出情况说明</w:t>
      </w: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 xml:space="preserve">本部门已于 2023年4月份完成 </w:t>
      </w:r>
      <w:r>
        <w:rPr>
          <w:rFonts w:hint="eastAsia" w:ascii="Times New Roman" w:hAnsi="Times New Roman" w:eastAsia="仿宋_GB2312" w:cs="Times New Roman"/>
          <w:kern w:val="0"/>
          <w:sz w:val="32"/>
          <w:szCs w:val="32"/>
          <w:lang w:eastAsia="zh-CN"/>
        </w:rPr>
        <w:t>2023</w:t>
      </w:r>
      <w:r>
        <w:rPr>
          <w:rFonts w:hint="eastAsia" w:ascii="Times New Roman" w:hAnsi="Times New Roman" w:eastAsia="仿宋_GB2312" w:cs="Times New Roman"/>
          <w:kern w:val="0"/>
          <w:sz w:val="32"/>
          <w:szCs w:val="32"/>
        </w:rPr>
        <w:t>年部门项目支出绩效自评工作，整体综合评价结果良好</w:t>
      </w:r>
      <w:r>
        <w:rPr>
          <w:rFonts w:hint="eastAsia" w:ascii="Times New Roman" w:hAnsi="Times New Roman" w:eastAsia="仿宋_GB2312" w:cs="Times New Roman"/>
          <w:kern w:val="0"/>
          <w:sz w:val="32"/>
          <w:szCs w:val="32"/>
          <w:lang w:eastAsia="zh-CN"/>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widowControl/>
        <w:spacing w:line="560" w:lineRule="exact"/>
        <w:ind w:firstLine="640"/>
        <w:rPr>
          <w:rFonts w:ascii="Times New Roman" w:hAnsi="Times New Roman" w:eastAsia="仿宋_GB2312" w:cs="Times New Roman"/>
          <w:kern w:val="0"/>
          <w:sz w:val="32"/>
          <w:szCs w:val="32"/>
        </w:rPr>
      </w:pPr>
      <w:r>
        <w:rPr>
          <w:rFonts w:hint="eastAsia" w:ascii="仿宋" w:hAnsi="仿宋" w:eastAsia="仿宋" w:cs="仿宋"/>
          <w:color w:val="000000" w:themeColor="text1"/>
          <w:sz w:val="32"/>
          <w:szCs w:val="32"/>
          <w14:textFill>
            <w14:solidFill>
              <w14:schemeClr w14:val="tx1"/>
            </w14:solidFill>
          </w14:textFill>
        </w:rPr>
        <w:t>部门决算中项目绩效自评</w:t>
      </w:r>
      <w:r>
        <w:rPr>
          <w:rFonts w:hint="eastAsia" w:ascii="仿宋" w:hAnsi="仿宋" w:eastAsia="仿宋" w:cs="仿宋"/>
          <w:color w:val="000000" w:themeColor="text1"/>
          <w:sz w:val="32"/>
          <w:szCs w:val="32"/>
          <w:lang w:val="en-US" w:eastAsia="zh-CN"/>
          <w14:textFill>
            <w14:solidFill>
              <w14:schemeClr w14:val="tx1"/>
            </w14:solidFill>
          </w14:textFill>
        </w:rPr>
        <w:t>良好，</w:t>
      </w:r>
      <w:r>
        <w:rPr>
          <w:rFonts w:hint="eastAsia" w:ascii="Times New Roman" w:hAnsi="Times New Roman" w:eastAsia="仿宋_GB2312" w:cs="Times New Roman"/>
          <w:kern w:val="0"/>
          <w:sz w:val="32"/>
          <w:szCs w:val="32"/>
        </w:rPr>
        <w:t>达到预期绩效目标。</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right"/>
        <w:rPr>
          <w:rFonts w:hint="eastAsia" w:ascii="仿宋" w:hAnsi="仿宋" w:eastAsia="仿宋" w:cs="仿宋"/>
          <w:sz w:val="32"/>
          <w:szCs w:val="32"/>
          <w:highlight w:val="none"/>
          <w:lang w:val="en-US" w:eastAsia="zh-CN"/>
        </w:rPr>
      </w:pPr>
    </w:p>
    <w:p>
      <w:pPr>
        <w:ind w:firstLine="640" w:firstLineChars="200"/>
        <w:jc w:val="right"/>
        <w:rPr>
          <w:rFonts w:hint="default" w:ascii="仿宋" w:hAnsi="仿宋" w:eastAsia="仿宋" w:cs="仿宋"/>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105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kN2U2ZWE2NTE3ZTk2MGQ2ODQ4M2JjYzJkZjlhMm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44679"/>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5B404D"/>
    <w:rsid w:val="02E0291A"/>
    <w:rsid w:val="032A169F"/>
    <w:rsid w:val="04E117B2"/>
    <w:rsid w:val="04E54546"/>
    <w:rsid w:val="05992762"/>
    <w:rsid w:val="066E30C6"/>
    <w:rsid w:val="07B0770E"/>
    <w:rsid w:val="08BD20E2"/>
    <w:rsid w:val="0942143F"/>
    <w:rsid w:val="0D100297"/>
    <w:rsid w:val="0D202B45"/>
    <w:rsid w:val="0E765D21"/>
    <w:rsid w:val="0F8D4C87"/>
    <w:rsid w:val="10505FAA"/>
    <w:rsid w:val="105F7E7E"/>
    <w:rsid w:val="10CB3240"/>
    <w:rsid w:val="10E802AE"/>
    <w:rsid w:val="110360B5"/>
    <w:rsid w:val="112A22DF"/>
    <w:rsid w:val="11BA1A0B"/>
    <w:rsid w:val="11E56B5B"/>
    <w:rsid w:val="122D3058"/>
    <w:rsid w:val="125C77AB"/>
    <w:rsid w:val="13126FC6"/>
    <w:rsid w:val="14414172"/>
    <w:rsid w:val="14CB726E"/>
    <w:rsid w:val="16665843"/>
    <w:rsid w:val="17E92249"/>
    <w:rsid w:val="18BC23B6"/>
    <w:rsid w:val="18C47C3E"/>
    <w:rsid w:val="18D304F1"/>
    <w:rsid w:val="190B0F3C"/>
    <w:rsid w:val="19F32577"/>
    <w:rsid w:val="19F45B80"/>
    <w:rsid w:val="1A824D69"/>
    <w:rsid w:val="1B0C078D"/>
    <w:rsid w:val="1B2B31E2"/>
    <w:rsid w:val="1B453597"/>
    <w:rsid w:val="1B4C295A"/>
    <w:rsid w:val="1B973C63"/>
    <w:rsid w:val="1BA1001E"/>
    <w:rsid w:val="1D0708E8"/>
    <w:rsid w:val="1D317259"/>
    <w:rsid w:val="1D85136E"/>
    <w:rsid w:val="1E220319"/>
    <w:rsid w:val="1E664F5B"/>
    <w:rsid w:val="1EAC3568"/>
    <w:rsid w:val="1EB34BE1"/>
    <w:rsid w:val="20474C5B"/>
    <w:rsid w:val="215E639F"/>
    <w:rsid w:val="21EC3183"/>
    <w:rsid w:val="225E72CD"/>
    <w:rsid w:val="246E2F77"/>
    <w:rsid w:val="254B4E2B"/>
    <w:rsid w:val="283D7C94"/>
    <w:rsid w:val="29406CAA"/>
    <w:rsid w:val="29480E03"/>
    <w:rsid w:val="2983634D"/>
    <w:rsid w:val="29A14C42"/>
    <w:rsid w:val="2A6308E4"/>
    <w:rsid w:val="2BB02055"/>
    <w:rsid w:val="2C575A56"/>
    <w:rsid w:val="2CD96039"/>
    <w:rsid w:val="2E8A0628"/>
    <w:rsid w:val="2F257714"/>
    <w:rsid w:val="2F3275E5"/>
    <w:rsid w:val="30796BE4"/>
    <w:rsid w:val="30AA08EF"/>
    <w:rsid w:val="30D23D1C"/>
    <w:rsid w:val="31221CF5"/>
    <w:rsid w:val="31400178"/>
    <w:rsid w:val="321E3342"/>
    <w:rsid w:val="32762F94"/>
    <w:rsid w:val="327759C8"/>
    <w:rsid w:val="33185FE3"/>
    <w:rsid w:val="34386CBA"/>
    <w:rsid w:val="34EE2E36"/>
    <w:rsid w:val="35716544"/>
    <w:rsid w:val="35B92921"/>
    <w:rsid w:val="36777241"/>
    <w:rsid w:val="371E78D5"/>
    <w:rsid w:val="38A951DB"/>
    <w:rsid w:val="38B31605"/>
    <w:rsid w:val="38F93663"/>
    <w:rsid w:val="39003F4F"/>
    <w:rsid w:val="3A443B62"/>
    <w:rsid w:val="3A8D04C5"/>
    <w:rsid w:val="3C07002B"/>
    <w:rsid w:val="3D0D152A"/>
    <w:rsid w:val="3DA512EA"/>
    <w:rsid w:val="3DAD31E7"/>
    <w:rsid w:val="3DF62756"/>
    <w:rsid w:val="3EDB2CE7"/>
    <w:rsid w:val="3F1B7587"/>
    <w:rsid w:val="41356BE6"/>
    <w:rsid w:val="41E57B4F"/>
    <w:rsid w:val="42B20202"/>
    <w:rsid w:val="432F26F6"/>
    <w:rsid w:val="43554139"/>
    <w:rsid w:val="43880F63"/>
    <w:rsid w:val="43FA11B6"/>
    <w:rsid w:val="43FD3EDA"/>
    <w:rsid w:val="441C5A6F"/>
    <w:rsid w:val="44BE1658"/>
    <w:rsid w:val="44C44FCC"/>
    <w:rsid w:val="44CC7369"/>
    <w:rsid w:val="457F5108"/>
    <w:rsid w:val="45FD1795"/>
    <w:rsid w:val="46951B6B"/>
    <w:rsid w:val="473543E3"/>
    <w:rsid w:val="47D1187E"/>
    <w:rsid w:val="489932CB"/>
    <w:rsid w:val="48BB5333"/>
    <w:rsid w:val="49A16C19"/>
    <w:rsid w:val="49A34401"/>
    <w:rsid w:val="49C74723"/>
    <w:rsid w:val="4A192789"/>
    <w:rsid w:val="4A3E30AB"/>
    <w:rsid w:val="4A850A14"/>
    <w:rsid w:val="4AC14DAC"/>
    <w:rsid w:val="4D154C85"/>
    <w:rsid w:val="4D3B2BA3"/>
    <w:rsid w:val="4E1829AD"/>
    <w:rsid w:val="4EB35ECE"/>
    <w:rsid w:val="4EDF42EF"/>
    <w:rsid w:val="508F4E24"/>
    <w:rsid w:val="51461E90"/>
    <w:rsid w:val="51463753"/>
    <w:rsid w:val="52553A93"/>
    <w:rsid w:val="53521F8B"/>
    <w:rsid w:val="53BE7EF7"/>
    <w:rsid w:val="53E22F47"/>
    <w:rsid w:val="54522FF8"/>
    <w:rsid w:val="54B623A7"/>
    <w:rsid w:val="55450629"/>
    <w:rsid w:val="56692963"/>
    <w:rsid w:val="568B0F48"/>
    <w:rsid w:val="570B0470"/>
    <w:rsid w:val="5786217B"/>
    <w:rsid w:val="58AC2BA6"/>
    <w:rsid w:val="59337A15"/>
    <w:rsid w:val="59810274"/>
    <w:rsid w:val="5A5A4FB0"/>
    <w:rsid w:val="5A6F20DD"/>
    <w:rsid w:val="5AB42CFC"/>
    <w:rsid w:val="5CA96A00"/>
    <w:rsid w:val="5CF730BC"/>
    <w:rsid w:val="5D232A0F"/>
    <w:rsid w:val="5D273F06"/>
    <w:rsid w:val="5E5F0DCE"/>
    <w:rsid w:val="5ED8799D"/>
    <w:rsid w:val="5F2459F1"/>
    <w:rsid w:val="5FA40A7B"/>
    <w:rsid w:val="5FD56D29"/>
    <w:rsid w:val="5FEC7F3F"/>
    <w:rsid w:val="60F74BC3"/>
    <w:rsid w:val="617A1A94"/>
    <w:rsid w:val="617D3BF8"/>
    <w:rsid w:val="61841F6A"/>
    <w:rsid w:val="623007A9"/>
    <w:rsid w:val="623E1319"/>
    <w:rsid w:val="637D7558"/>
    <w:rsid w:val="644F19AC"/>
    <w:rsid w:val="65AA4920"/>
    <w:rsid w:val="65E31D0B"/>
    <w:rsid w:val="669A23E9"/>
    <w:rsid w:val="66C8504F"/>
    <w:rsid w:val="67694F1E"/>
    <w:rsid w:val="68C57391"/>
    <w:rsid w:val="68DC4DE2"/>
    <w:rsid w:val="68E855E3"/>
    <w:rsid w:val="68EF6EA4"/>
    <w:rsid w:val="69597934"/>
    <w:rsid w:val="6B1E7934"/>
    <w:rsid w:val="6B964DDC"/>
    <w:rsid w:val="6BEB59EC"/>
    <w:rsid w:val="6C783074"/>
    <w:rsid w:val="6D9E65C6"/>
    <w:rsid w:val="6DA81947"/>
    <w:rsid w:val="6DC0014B"/>
    <w:rsid w:val="6EB66DE2"/>
    <w:rsid w:val="6ED3075F"/>
    <w:rsid w:val="6F2A2D4B"/>
    <w:rsid w:val="6F8A0C1E"/>
    <w:rsid w:val="6FCF3CB7"/>
    <w:rsid w:val="703F45D4"/>
    <w:rsid w:val="70F61D95"/>
    <w:rsid w:val="715D6546"/>
    <w:rsid w:val="71BE069E"/>
    <w:rsid w:val="72861AE2"/>
    <w:rsid w:val="73953409"/>
    <w:rsid w:val="73E069A3"/>
    <w:rsid w:val="73E07262"/>
    <w:rsid w:val="750A2CD7"/>
    <w:rsid w:val="77BC3126"/>
    <w:rsid w:val="78104AA8"/>
    <w:rsid w:val="781E5E5B"/>
    <w:rsid w:val="78E257C5"/>
    <w:rsid w:val="794B35BE"/>
    <w:rsid w:val="7AB22E08"/>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241.2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166.06</c:v>
                </c:pt>
                <c:pt idx="2">
                  <c:v>5.86</c:v>
                </c:pt>
                <c:pt idx="3">
                  <c:v>4.09</c:v>
                </c:pt>
                <c:pt idx="4">
                  <c:v>7.88</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1.82</c:v>
                </c:pt>
                <c:pt idx="1">
                  <c:v>209.47</c:v>
                </c:pt>
                <c:pt idx="2">
                  <c:v>10.62</c:v>
                </c:pt>
                <c:pt idx="3">
                  <c:v>7.66</c:v>
                </c:pt>
                <c:pt idx="4">
                  <c:v>11.62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manualLayout>
          <c:xMode val="edge"/>
          <c:yMode val="edge"/>
          <c:x val="0.3976875"/>
          <c:y val="0.90861344537815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1.82</c:v>
                </c:pt>
                <c:pt idx="1">
                  <c:v>1.82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2050201</c:v>
                </c:pt>
                <c:pt idx="1">
                  <c:v>205x</c:v>
                </c:pt>
              </c:strCache>
            </c:strRef>
          </c:cat>
          <c:val>
            <c:numRef>
              <c:f>Sheet1!$B$2:$B$3</c:f>
              <c:numCache>
                <c:formatCode>General</c:formatCode>
                <c:ptCount val="2"/>
                <c:pt idx="0">
                  <c:v>209.47</c:v>
                </c:pt>
                <c:pt idx="1">
                  <c:v>209.47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10.62</c:v>
                </c:pt>
                <c:pt idx="1">
                  <c:v>10.62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7.66</c:v>
                </c:pt>
                <c:pt idx="1">
                  <c:v>7.66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7.88</c:v>
                </c:pt>
                <c:pt idx="1">
                  <c:v>7.88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41.59</c:v>
                </c:pt>
                <c:pt idx="1">
                  <c:v>13.13</c:v>
                </c:pt>
                <c:pt idx="2">
                  <c:v>28.01</c:v>
                </c:pt>
                <c:pt idx="3">
                  <c:v>0</c:v>
                </c:pt>
                <c:pt idx="4">
                  <c:v>20.55</c:v>
                </c:pt>
                <c:pt idx="5">
                  <c:v>10.62</c:v>
                </c:pt>
                <c:pt idx="6">
                  <c:v>0</c:v>
                </c:pt>
                <c:pt idx="7">
                  <c:v>4.64</c:v>
                </c:pt>
                <c:pt idx="8">
                  <c:v>0</c:v>
                </c:pt>
                <c:pt idx="9">
                  <c:v>0.53</c:v>
                </c:pt>
                <c:pt idx="10">
                  <c:v>7.66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1.82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1922</Words>
  <Characters>2416</Characters>
  <Lines>90</Lines>
  <Paragraphs>25</Paragraphs>
  <TotalTime>9</TotalTime>
  <ScaleCrop>false</ScaleCrop>
  <LinksUpToDate>false</LinksUpToDate>
  <CharactersWithSpaces>2424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dcterms:modified xsi:type="dcterms:W3CDTF">2025-01-04T09:32:51Z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FC9FF37FE70144F389BBC8FB092CD5E0_13</vt:lpwstr>
  </property>
  <property fmtid="{D5CDD505-2E9C-101B-9397-08002B2CF9AE}" pid="4" name="KSOTemplateDocerSaveRecord">
    <vt:lpwstr>eyJoZGlkIjoiMmZkNDM1MWE1ZWM1ZjYyMzZjYmZhNzYzNGVmMjNlMDQiLCJ1c2VySWQiOiIyOTk2MDc5MTYifQ==</vt:lpwstr>
  </property>
</Properties>
</file>