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088" w:hanging="2088" w:hangingChars="400"/>
        <w:jc w:val="both"/>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环江毛南族自治县龙岩乡中心小学202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920" w:firstLineChars="400"/>
        <w:jc w:val="both"/>
        <w:rPr>
          <w:rFonts w:hint="eastAsia" w:ascii="黑体" w:hAnsi="黑体" w:eastAsia="黑体" w:cs="黑体"/>
          <w:sz w:val="48"/>
          <w:szCs w:val="48"/>
          <w:highlight w:val="none"/>
        </w:rPr>
      </w:pPr>
      <w:r>
        <w:rPr>
          <w:rFonts w:hint="eastAsia" w:ascii="黑体" w:hAnsi="黑体" w:eastAsia="黑体" w:cs="黑体"/>
          <w:sz w:val="48"/>
          <w:szCs w:val="48"/>
          <w:highlight w:val="none"/>
        </w:rPr>
        <w:t>单位负责人：梁有雷</w:t>
      </w:r>
    </w:p>
    <w:p>
      <w:pPr>
        <w:ind w:firstLine="2400" w:firstLineChars="500"/>
        <w:jc w:val="both"/>
        <w:rPr>
          <w:rFonts w:hint="eastAsia" w:ascii="黑体" w:hAnsi="黑体" w:eastAsia="黑体" w:cs="黑体"/>
          <w:sz w:val="48"/>
          <w:szCs w:val="48"/>
          <w:highlight w:val="none"/>
        </w:rPr>
      </w:pPr>
      <w:r>
        <w:rPr>
          <w:rFonts w:hint="eastAsia" w:ascii="黑体" w:hAnsi="黑体" w:eastAsia="黑体" w:cs="黑体"/>
          <w:sz w:val="48"/>
          <w:szCs w:val="48"/>
          <w:highlight w:val="none"/>
        </w:rPr>
        <w:t>2024年12月3日</w:t>
      </w: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2023年度</w:t>
      </w:r>
      <w:r>
        <w:rPr>
          <w:rFonts w:hint="eastAsia" w:ascii="仿宋_GB2312" w:eastAsia="仿宋_GB2312" w:cs="仿宋_GB2312"/>
          <w:kern w:val="0"/>
          <w:sz w:val="32"/>
          <w:szCs w:val="32"/>
          <w:highlight w:val="none"/>
        </w:rPr>
        <w:t>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2023年度</w:t>
      </w:r>
      <w:r>
        <w:rPr>
          <w:rFonts w:hint="eastAsia" w:ascii="仿宋_GB2312" w:eastAsia="仿宋_GB2312" w:cs="仿宋_GB2312"/>
          <w:kern w:val="0"/>
          <w:sz w:val="32"/>
          <w:szCs w:val="32"/>
          <w:highlight w:val="none"/>
        </w:rPr>
        <w:t>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2023年度</w:t>
      </w:r>
      <w:r>
        <w:rPr>
          <w:rFonts w:hint="eastAsia" w:ascii="仿宋_GB2312" w:eastAsia="仿宋_GB2312" w:cs="仿宋_GB2312"/>
          <w:kern w:val="0"/>
          <w:sz w:val="32"/>
          <w:szCs w:val="32"/>
          <w:highlight w:val="none"/>
        </w:rPr>
        <w:t>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2023年度</w:t>
      </w:r>
      <w:r>
        <w:rPr>
          <w:rFonts w:hint="eastAsia" w:ascii="仿宋_GB2312" w:eastAsia="仿宋_GB2312" w:cs="仿宋_GB2312"/>
          <w:kern w:val="0"/>
          <w:sz w:val="32"/>
          <w:szCs w:val="32"/>
          <w:highlight w:val="none"/>
        </w:rPr>
        <w:t>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环江毛南族自治县龙岩乡中心小学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（一）宣传贯彻执行党和国家的教育方针、教育政策、教育法律和法规，贯彻执行上级教育行政部门门的各项规章制度。</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（二）在政府和上级教育主管部门的领导下，争取资金改善办学条件，为师生的学习和工作提供优美和谐的环境。</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（三）根据县级人民政府制定的教育事业发展规划，结合实际制定并组织实施学校的教育事业发展规划。在政府的领导下，全面开展普及</w:t>
      </w:r>
      <w:r>
        <w:rPr>
          <w:rFonts w:hint="eastAsia" w:ascii="方正仿宋_GB2312" w:hAnsi="方正仿宋_GB2312" w:eastAsia="方正仿宋_GB2312" w:cs="方正仿宋_GB2312"/>
          <w:sz w:val="32"/>
          <w:szCs w:val="32"/>
          <w:highlight w:val="none"/>
          <w:lang w:eastAsia="zh-CN"/>
        </w:rPr>
        <w:t>六</w:t>
      </w:r>
      <w:r>
        <w:rPr>
          <w:rFonts w:hint="eastAsia" w:ascii="方正仿宋_GB2312" w:hAnsi="方正仿宋_GB2312" w:eastAsia="方正仿宋_GB2312" w:cs="方正仿宋_GB2312"/>
          <w:sz w:val="32"/>
          <w:szCs w:val="32"/>
          <w:highlight w:val="none"/>
        </w:rPr>
        <w:t>年义务教育，组织教师动员适龄儿童、少年就近入学,巩固提高“两基’成果。</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（四）积极办好</w:t>
      </w:r>
      <w:r>
        <w:rPr>
          <w:rFonts w:hint="eastAsia" w:ascii="方正仿宋_GB2312" w:hAnsi="方正仿宋_GB2312" w:eastAsia="方正仿宋_GB2312" w:cs="方正仿宋_GB2312"/>
          <w:sz w:val="32"/>
          <w:szCs w:val="32"/>
          <w:highlight w:val="none"/>
          <w:lang w:val="en-US" w:eastAsia="zh-CN"/>
        </w:rPr>
        <w:t>小学</w:t>
      </w:r>
      <w:r>
        <w:rPr>
          <w:rFonts w:hint="eastAsia" w:ascii="方正仿宋_GB2312" w:hAnsi="方正仿宋_GB2312" w:eastAsia="方正仿宋_GB2312" w:cs="方正仿宋_GB2312"/>
          <w:sz w:val="32"/>
          <w:szCs w:val="32"/>
          <w:highlight w:val="none"/>
        </w:rPr>
        <w:t>教育，加强职业技术教育，促进各类教育协调发展。</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（五）按照干部和教师的职数、编制和管理权限，负责对本学校的干部和教师进行管理，制定切实可行的学校工作规章制度，以提高教育教学质量为目的，对干部职工的工作开展客观、公正的评价和考核 。</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（六）按照上级有关部门的规定，负责对学校的财务和项目建设进行管理，负责核算和发放教职工工资。</w:t>
      </w:r>
    </w:p>
    <w:p>
      <w:p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（七）按照</w:t>
      </w:r>
      <w:r>
        <w:rPr>
          <w:rFonts w:hint="eastAsia" w:ascii="方正仿宋_GB2312" w:hAnsi="方正仿宋_GB2312" w:eastAsia="方正仿宋_GB2312" w:cs="方正仿宋_GB2312"/>
          <w:sz w:val="32"/>
          <w:szCs w:val="32"/>
          <w:highlight w:val="none"/>
          <w:lang w:eastAsia="zh-CN"/>
        </w:rPr>
        <w:t>六</w:t>
      </w:r>
      <w:r>
        <w:rPr>
          <w:rFonts w:hint="eastAsia" w:ascii="方正仿宋_GB2312" w:hAnsi="方正仿宋_GB2312" w:eastAsia="方正仿宋_GB2312" w:cs="方正仿宋_GB2312"/>
          <w:sz w:val="32"/>
          <w:szCs w:val="32"/>
          <w:highlight w:val="none"/>
        </w:rPr>
        <w:t>年义务教育课程计划，开齐课程，开足课时，认真实施</w:t>
      </w:r>
      <w:r>
        <w:rPr>
          <w:rFonts w:hint="eastAsia" w:ascii="方正仿宋_GB2312" w:hAnsi="方正仿宋_GB2312" w:eastAsia="方正仿宋_GB2312" w:cs="方正仿宋_GB2312"/>
          <w:sz w:val="32"/>
          <w:szCs w:val="32"/>
          <w:highlight w:val="none"/>
          <w:lang w:eastAsia="zh-CN"/>
        </w:rPr>
        <w:t>小</w:t>
      </w:r>
      <w:r>
        <w:rPr>
          <w:rFonts w:hint="eastAsia" w:ascii="方正仿宋_GB2312" w:hAnsi="方正仿宋_GB2312" w:eastAsia="方正仿宋_GB2312" w:cs="方正仿宋_GB2312"/>
          <w:sz w:val="32"/>
          <w:szCs w:val="32"/>
          <w:highlight w:val="none"/>
        </w:rPr>
        <w:t>学的教育教学管理，全面推进素质教育，全面提高教育教学质量。</w:t>
      </w:r>
    </w:p>
    <w:p>
      <w:pPr>
        <w:numPr>
          <w:ilvl w:val="0"/>
          <w:numId w:val="1"/>
        </w:numPr>
        <w:jc w:val="lef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组织开展学习的教育教学科研和教育教学改革，以科学的发展观和以人为本的管理理念注重学生的全面发展。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numPr>
          <w:ilvl w:val="0"/>
          <w:numId w:val="0"/>
        </w:num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i w:val="0"/>
          <w:iCs w:val="0"/>
          <w:caps w:val="0"/>
          <w:color w:val="auto"/>
          <w:spacing w:val="0"/>
          <w:sz w:val="32"/>
          <w:szCs w:val="32"/>
          <w:shd w:val="clear" w:fill="FFFFFF"/>
        </w:rPr>
        <w:t>我校设有个8处室和5个教研组，分别为：校长室、政教处、教务处、行政办公室、语言文字办公室、工会办公室、资助办公室、财务室、总务处，语文教研组、数学教研组、英语教研组、综合教研组、图音体教研组</w:t>
      </w:r>
    </w:p>
    <w:p>
      <w:pPr>
        <w:ind w:firstLine="1920" w:firstLineChars="6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部门决算报表</w:t>
      </w:r>
    </w:p>
    <w:p>
      <w:pPr>
        <w:jc w:val="both"/>
        <w:rPr>
          <w:rFonts w:hint="eastAsia" w:ascii="黑体" w:hAnsi="黑体" w:eastAsia="黑体" w:cs="黑体"/>
          <w:sz w:val="32"/>
          <w:szCs w:val="32"/>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：收入支出决算总表</w:t>
      </w: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6"/>
        <w:gridCol w:w="656"/>
        <w:gridCol w:w="3429"/>
        <w:gridCol w:w="3516"/>
        <w:gridCol w:w="65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1,106.83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宋体" w:hAnsi="宋体" w:eastAsia="宋体" w:cs="宋体"/>
          <w:color w:val="000000"/>
          <w:kern w:val="0"/>
          <w:sz w:val="30"/>
          <w:szCs w:val="30"/>
          <w:highlight w:val="none"/>
          <w:lang w:bidi="ar"/>
        </w:rPr>
      </w:pPr>
    </w:p>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宋体" w:hAnsi="宋体" w:eastAsia="宋体" w:cs="宋体"/>
          <w:color w:val="000000"/>
          <w:kern w:val="0"/>
          <w:sz w:val="24"/>
          <w:szCs w:val="24"/>
          <w:highlight w:val="none"/>
          <w:lang w:bidi="ar"/>
        </w:rPr>
        <w:t>收入决算表</w:t>
      </w:r>
    </w:p>
    <w:tbl>
      <w:tblPr>
        <w:tblStyle w:val="6"/>
        <w:tblW w:w="1410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7"/>
        <w:gridCol w:w="222"/>
        <w:gridCol w:w="222"/>
        <w:gridCol w:w="3045"/>
        <w:gridCol w:w="1179"/>
        <w:gridCol w:w="2788"/>
        <w:gridCol w:w="435"/>
        <w:gridCol w:w="435"/>
        <w:gridCol w:w="435"/>
        <w:gridCol w:w="435"/>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4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88"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6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6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7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6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2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7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92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92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1,110.14</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1,110.14</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866.73</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866.73</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2"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7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4"/>
        <w:gridCol w:w="222"/>
        <w:gridCol w:w="222"/>
        <w:gridCol w:w="3017"/>
        <w:gridCol w:w="1160"/>
        <w:gridCol w:w="2883"/>
        <w:gridCol w:w="771"/>
        <w:gridCol w:w="436"/>
        <w:gridCol w:w="43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4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1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8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c>
          <w:tcPr>
            <w:tcW w:w="7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1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5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1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1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8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9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17"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9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9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1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1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1,110.14</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1,026.47</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83.68</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866.73</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791.82</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74.91</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2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7"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11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1"/>
        <w:gridCol w:w="443"/>
        <w:gridCol w:w="1141"/>
        <w:gridCol w:w="4669"/>
        <w:gridCol w:w="610"/>
        <w:gridCol w:w="1250"/>
        <w:gridCol w:w="1110"/>
        <w:gridCol w:w="741"/>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12" w:type="dxa"/>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66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8"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35"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466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8"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7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1,106.83</w:t>
            </w: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872.48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872.48</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1,106.83</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46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1,106.83</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15"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897"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61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7"/>
        <w:gridCol w:w="222"/>
        <w:gridCol w:w="222"/>
        <w:gridCol w:w="1804"/>
        <w:gridCol w:w="6324"/>
        <w:gridCol w:w="1526"/>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1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32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c>
          <w:tcPr>
            <w:tcW w:w="152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32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0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180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32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86"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0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1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3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0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40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1,106.83</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1,026.47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866.73</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791.82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0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615"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37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3279"/>
        <w:gridCol w:w="1149"/>
        <w:gridCol w:w="890"/>
        <w:gridCol w:w="1979"/>
        <w:gridCol w:w="981"/>
        <w:gridCol w:w="960"/>
        <w:gridCol w:w="3447"/>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379" w:type="dxa"/>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2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15"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0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11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15"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4"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2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855.19</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247.85</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76.78</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253.88</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32.16</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59.47</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157.26</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123.20</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1,012.45</w:t>
            </w:r>
          </w:p>
        </w:tc>
        <w:tc>
          <w:tcPr>
            <w:tcW w:w="8257"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79"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58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5"/>
        <w:gridCol w:w="240"/>
        <w:gridCol w:w="569"/>
        <w:gridCol w:w="2469"/>
        <w:gridCol w:w="387"/>
        <w:gridCol w:w="5375"/>
        <w:gridCol w:w="890"/>
        <w:gridCol w:w="367"/>
        <w:gridCol w:w="708"/>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5" w:type="dxa"/>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38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6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7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66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38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7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03"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3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9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9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9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9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5"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4036" w:type="dxa"/>
        <w:tblInd w:w="0" w:type="dxa"/>
        <w:tblLayout w:type="fixed"/>
        <w:tblCellMar>
          <w:top w:w="0" w:type="dxa"/>
          <w:left w:w="108" w:type="dxa"/>
          <w:bottom w:w="0" w:type="dxa"/>
          <w:right w:w="108" w:type="dxa"/>
        </w:tblCellMar>
      </w:tblPr>
      <w:tblGrid>
        <w:gridCol w:w="14036"/>
      </w:tblGrid>
      <w:tr>
        <w:tblPrEx>
          <w:tblCellMar>
            <w:top w:w="0" w:type="dxa"/>
            <w:left w:w="108" w:type="dxa"/>
            <w:bottom w:w="0" w:type="dxa"/>
            <w:right w:w="108" w:type="dxa"/>
          </w:tblCellMar>
        </w:tblPrEx>
        <w:trPr>
          <w:trHeight w:val="308" w:hRule="atLeast"/>
        </w:trPr>
        <w:tc>
          <w:tcPr>
            <w:tcW w:w="14036" w:type="dxa"/>
            <w:tcBorders>
              <w:top w:val="nil"/>
              <w:left w:val="nil"/>
              <w:bottom w:val="nil"/>
              <w:right w:val="nil"/>
            </w:tcBorders>
            <w:shd w:val="clear" w:color="auto" w:fill="auto"/>
            <w:noWrap/>
            <w:vAlign w:val="center"/>
          </w:tcPr>
          <w:tbl>
            <w:tblPr>
              <w:tblStyle w:val="6"/>
              <w:tblW w:w="1397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3477"/>
              <w:gridCol w:w="224"/>
              <w:gridCol w:w="220"/>
              <w:gridCol w:w="4"/>
              <w:gridCol w:w="723"/>
              <w:gridCol w:w="7393"/>
              <w:gridCol w:w="5"/>
              <w:gridCol w:w="435"/>
              <w:gridCol w:w="5"/>
              <w:gridCol w:w="1481"/>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13" w:hRule="atLeast"/>
              </w:trPr>
              <w:tc>
                <w:tcPr>
                  <w:tcW w:w="347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2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98"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c>
                <w:tcPr>
                  <w:tcW w:w="44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8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257" w:hRule="atLeast"/>
              </w:trPr>
              <w:tc>
                <w:tcPr>
                  <w:tcW w:w="347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2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98"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8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257" w:hRule="atLeast"/>
              </w:trPr>
              <w:tc>
                <w:tcPr>
                  <w:tcW w:w="347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22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2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398"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8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54" w:hRule="atLeast"/>
              </w:trPr>
              <w:tc>
                <w:tcPr>
                  <w:tcW w:w="465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19"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12" w:hRule="atLeast"/>
              </w:trPr>
              <w:tc>
                <w:tcPr>
                  <w:tcW w:w="3926"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2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12" w:hRule="atLeast"/>
              </w:trPr>
              <w:tc>
                <w:tcPr>
                  <w:tcW w:w="392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4" w:hRule="atLeast"/>
              </w:trPr>
              <w:tc>
                <w:tcPr>
                  <w:tcW w:w="392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54" w:hRule="atLeast"/>
              </w:trPr>
              <w:tc>
                <w:tcPr>
                  <w:tcW w:w="465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3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54" w:hRule="atLeast"/>
              </w:trPr>
              <w:tc>
                <w:tcPr>
                  <w:tcW w:w="465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65" w:hRule="atLeast"/>
              </w:trPr>
              <w:tc>
                <w:tcPr>
                  <w:tcW w:w="39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2315" w:hRule="atLeast"/>
              </w:trPr>
              <w:tc>
                <w:tcPr>
                  <w:tcW w:w="13972"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本单位</w:t>
                  </w:r>
                  <w:r>
                    <w:rPr>
                      <w:rFonts w:hint="eastAsia" w:ascii="Times New Roman" w:hAnsi="Times New Roman" w:eastAsia="宋体" w:cs="Times New Roman"/>
                      <w:color w:val="auto"/>
                      <w:kern w:val="2"/>
                      <w:sz w:val="22"/>
                      <w:szCs w:val="22"/>
                      <w:lang w:val="en-US" w:eastAsia="zh-CN" w:bidi="ar"/>
                    </w:rPr>
                    <w:t>2023</w:t>
                  </w:r>
                  <w:r>
                    <w:rPr>
                      <w:rFonts w:hint="eastAsia" w:ascii="宋体" w:hAnsi="宋体" w:eastAsia="宋体" w:cs="宋体"/>
                      <w:color w:val="auto"/>
                      <w:kern w:val="2"/>
                      <w:sz w:val="22"/>
                      <w:szCs w:val="22"/>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pPr>
    </w:p>
    <w:p>
      <w:pPr>
        <w:ind w:firstLine="420" w:firstLineChars="0"/>
        <w:jc w:val="left"/>
        <w:rPr>
          <w:rFonts w:ascii="仿宋" w:hAnsi="仿宋" w:eastAsia="仿宋" w:cs="仿宋"/>
          <w:sz w:val="24"/>
          <w:highlight w:val="none"/>
        </w:rPr>
      </w:pPr>
    </w:p>
    <w:p>
      <w:pPr>
        <w:ind w:firstLine="420" w:firstLineChars="0"/>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九</w:t>
      </w:r>
      <w:r>
        <w:rPr>
          <w:rFonts w:hint="eastAsia" w:ascii="仿宋" w:hAnsi="仿宋" w:eastAsia="仿宋" w:cs="仿宋"/>
          <w:sz w:val="24"/>
          <w:highlight w:val="none"/>
        </w:rPr>
        <w:t>：财政拨款“三公”经费支出决算表</w:t>
      </w:r>
    </w:p>
    <w:p>
      <w:pPr>
        <w:ind w:firstLine="420" w:firstLineChars="0"/>
        <w:jc w:val="left"/>
        <w:rPr>
          <w:rFonts w:ascii="仿宋" w:hAnsi="仿宋" w:eastAsia="仿宋" w:cs="仿宋"/>
          <w:sz w:val="24"/>
          <w:highlight w:val="none"/>
        </w:rPr>
      </w:pPr>
    </w:p>
    <w:tbl>
      <w:tblPr>
        <w:tblStyle w:val="6"/>
        <w:tblW w:w="14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5"/>
        <w:gridCol w:w="910"/>
        <w:gridCol w:w="530"/>
        <w:gridCol w:w="690"/>
        <w:gridCol w:w="360"/>
        <w:gridCol w:w="6070"/>
        <w:gridCol w:w="380"/>
        <w:gridCol w:w="673"/>
        <w:gridCol w:w="415"/>
        <w:gridCol w:w="415"/>
        <w:gridCol w:w="415"/>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9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70"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c>
          <w:tcPr>
            <w:tcW w:w="3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25"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部门：环江毛南族自治县龙岩乡中心小学</w:t>
            </w:r>
          </w:p>
        </w:tc>
        <w:tc>
          <w:tcPr>
            <w:tcW w:w="3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186"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5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654"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0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0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95" w:type="dxa"/>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409" w:type="dxa"/>
            <w:gridSpan w:val="12"/>
            <w:vMerge w:val="restart"/>
            <w:tcBorders>
              <w:top w:val="single" w:color="000000" w:sz="4" w:space="0"/>
              <w:left w:val="nil"/>
              <w:bottom w:val="nil"/>
              <w:right w:val="nil"/>
            </w:tcBorders>
            <w:shd w:val="clear" w:color="auto" w:fill="FFFFFF"/>
            <w:vAlign w:val="center"/>
          </w:tcPr>
          <w:p>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宋体" w:hAnsi="宋体" w:eastAsia="宋体" w:cs="宋体"/>
                <w:color w:val="auto"/>
                <w:kern w:val="2"/>
                <w:sz w:val="21"/>
                <w:szCs w:val="21"/>
                <w:lang w:val="en-US" w:eastAsia="zh-CN" w:bidi="ar"/>
              </w:rPr>
              <w:t>本单位</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409"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环江毛南族自治县龙岩乡中心小学</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总收入1110.14万元，较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u w:color="auto"/>
        </w:rPr>
        <w:t>增加</w:t>
      </w:r>
      <w:r>
        <w:rPr>
          <w:rFonts w:hint="eastAsia" w:ascii="仿宋" w:hAnsi="仿宋" w:eastAsia="仿宋" w:cs="仿宋"/>
          <w:sz w:val="32"/>
          <w:u w:color="auto"/>
          <w:lang w:val="en-US" w:eastAsia="zh-CN"/>
        </w:rPr>
        <w:t>52.97</w:t>
      </w:r>
      <w:r>
        <w:rPr>
          <w:rFonts w:hint="eastAsia" w:ascii="仿宋" w:hAnsi="仿宋" w:eastAsia="仿宋" w:cs="仿宋"/>
          <w:sz w:val="32"/>
          <w:szCs w:val="32"/>
          <w:highlight w:val="none"/>
        </w:rPr>
        <w:t>万元，</w:t>
      </w:r>
      <w:r>
        <w:rPr>
          <w:rFonts w:hint="eastAsia" w:ascii="仿宋" w:hAnsi="仿宋" w:eastAsia="仿宋" w:cs="仿宋"/>
          <w:sz w:val="32"/>
          <w:u w:color="auto"/>
        </w:rPr>
        <w:t>上升</w:t>
      </w:r>
      <w:r>
        <w:rPr>
          <w:rFonts w:hint="eastAsia" w:ascii="仿宋" w:hAnsi="仿宋" w:eastAsia="仿宋" w:cs="仿宋"/>
          <w:sz w:val="32"/>
          <w:u w:color="auto"/>
          <w:lang w:val="en-US" w:eastAsia="zh-CN"/>
        </w:rPr>
        <w:t>5.01</w:t>
      </w:r>
      <w:r>
        <w:rPr>
          <w:rFonts w:ascii="仿宋" w:hAnsi="仿宋" w:eastAsia="仿宋" w:cs="仿宋"/>
          <w:sz w:val="32"/>
          <w:u w:color="auto"/>
        </w:rPr>
        <w:t>%</w:t>
      </w:r>
      <w:r>
        <w:rPr>
          <w:rFonts w:hint="eastAsia" w:ascii="仿宋" w:hAnsi="仿宋" w:eastAsia="仿宋" w:cs="仿宋"/>
          <w:sz w:val="32"/>
          <w:szCs w:val="32"/>
          <w:highlight w:val="none"/>
        </w:rPr>
        <w:t>，其中本年收入1110.14万元。收入具体情况如下。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6"/>
          <w:szCs w:val="36"/>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1106.83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rPr>
        <w:t>增加</w:t>
      </w:r>
      <w:r>
        <w:rPr>
          <w:rFonts w:hint="eastAsia" w:ascii="仿宋" w:hAnsi="仿宋" w:eastAsia="仿宋" w:cs="仿宋"/>
          <w:sz w:val="32"/>
          <w:u w:color="auto"/>
          <w:lang w:val="en-US" w:eastAsia="zh-CN"/>
        </w:rPr>
        <w:t>50.35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rPr>
        <w:t>上升</w:t>
      </w:r>
      <w:r>
        <w:rPr>
          <w:rFonts w:hint="eastAsia" w:ascii="仿宋" w:hAnsi="仿宋" w:eastAsia="仿宋" w:cs="仿宋"/>
          <w:sz w:val="32"/>
          <w:u w:color="auto"/>
          <w:lang w:val="en-US" w:eastAsia="zh-CN"/>
        </w:rPr>
        <w:t>4.77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主要原因：小学教育支出、其他群众团体事务支出比去年增加</w:t>
      </w:r>
      <w:r>
        <w:rPr>
          <w:rFonts w:hint="eastAsia" w:ascii="仿宋" w:hAnsi="仿宋" w:eastAsia="仿宋" w:cs="仿宋"/>
          <w:color w:val="auto"/>
          <w:kern w:val="2"/>
          <w:sz w:val="36"/>
          <w:szCs w:val="36"/>
          <w:highlight w:val="none"/>
          <w:lang w:val="en-US" w:eastAsia="zh-CN" w:bidi="ar"/>
        </w:rPr>
        <w:t>。</w:t>
      </w:r>
    </w:p>
    <w:p>
      <w:pPr>
        <w:keepNext w:val="0"/>
        <w:keepLines w:val="0"/>
        <w:widowControl w:val="0"/>
        <w:suppressLineNumbers w:val="0"/>
        <w:spacing w:before="0" w:beforeAutospacing="0" w:after="0" w:afterAutospacing="0"/>
        <w:ind w:left="0" w:right="0" w:firstLine="720" w:firstLineChars="200"/>
        <w:jc w:val="both"/>
        <w:rPr>
          <w:rFonts w:hint="eastAsia" w:ascii="仿宋" w:hAnsi="仿宋" w:eastAsia="仿宋" w:cs="仿宋"/>
          <w:color w:val="auto"/>
          <w:kern w:val="2"/>
          <w:sz w:val="36"/>
          <w:szCs w:val="36"/>
          <w:highlight w:val="none"/>
          <w:lang w:val="en-US" w:eastAsia="zh-CN" w:bidi="ar"/>
        </w:rPr>
      </w:pPr>
      <w:r>
        <w:rPr>
          <w:rFonts w:hint="eastAsia" w:ascii="仿宋" w:hAnsi="仿宋" w:eastAsia="仿宋" w:cs="仿宋"/>
          <w:color w:val="auto"/>
          <w:kern w:val="2"/>
          <w:sz w:val="36"/>
          <w:szCs w:val="36"/>
          <w:highlight w:val="none"/>
          <w:lang w:val="en-US" w:eastAsia="zh-CN" w:bidi="ar"/>
        </w:rPr>
        <w:t xml:space="preserve"> </w:t>
      </w: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3.32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2.63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主要原因：学生人数增加，开展更多活动</w:t>
      </w:r>
      <w:r>
        <w:rPr>
          <w:rFonts w:hint="eastAsia" w:ascii="仿宋" w:hAnsi="仿宋" w:eastAsia="仿宋" w:cs="仿宋"/>
          <w:kern w:val="2"/>
          <w:sz w:val="36"/>
          <w:szCs w:val="36"/>
          <w:highlight w:val="none"/>
          <w:lang w:val="en-US" w:eastAsia="zh-CN" w:bidi="ar"/>
        </w:rPr>
        <w:t>，</w:t>
      </w:r>
      <w:r>
        <w:rPr>
          <w:rFonts w:hint="eastAsia" w:ascii="仿宋" w:hAnsi="仿宋" w:eastAsia="仿宋" w:cs="仿宋"/>
          <w:color w:val="auto"/>
          <w:kern w:val="2"/>
          <w:sz w:val="36"/>
          <w:szCs w:val="36"/>
          <w:highlight w:val="none"/>
          <w:lang w:val="en-US" w:eastAsia="zh-CN" w:bidi="ar"/>
        </w:rPr>
        <w:t>用于教育事业的彩票公益金支出。</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6"/>
          <w:szCs w:val="36"/>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6"/>
          <w:szCs w:val="36"/>
          <w:highlight w:val="none"/>
          <w:lang w:val="en-US" w:eastAsia="zh-CN" w:bidi="ar"/>
        </w:rPr>
        <w:t>本单位没有</w:t>
      </w:r>
      <w:r>
        <w:rPr>
          <w:rFonts w:hint="eastAsia" w:ascii="仿宋" w:hAnsi="仿宋" w:eastAsia="仿宋" w:cs="仿宋"/>
          <w:kern w:val="2"/>
          <w:sz w:val="36"/>
          <w:szCs w:val="36"/>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减少89.99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6"/>
          <w:szCs w:val="36"/>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总支出</w:t>
      </w:r>
      <w:r>
        <w:rPr>
          <w:rFonts w:hint="eastAsia" w:ascii="仿宋" w:hAnsi="仿宋" w:eastAsia="仿宋" w:cs="仿宋"/>
          <w:sz w:val="32"/>
          <w:u w:color="auto"/>
        </w:rPr>
        <w:t>1110.14</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1106.83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u w:color="auto"/>
        </w:rPr>
        <w:t>增加</w:t>
      </w:r>
      <w:r>
        <w:rPr>
          <w:rFonts w:hint="eastAsia" w:ascii="仿宋" w:hAnsi="仿宋" w:eastAsia="仿宋" w:cs="仿宋"/>
          <w:sz w:val="32"/>
          <w:u w:color="auto"/>
          <w:lang w:val="en-US" w:eastAsia="zh-CN"/>
        </w:rPr>
        <w:t>52.97</w:t>
      </w:r>
      <w:r>
        <w:rPr>
          <w:rFonts w:hint="eastAsia" w:ascii="仿宋" w:hAnsi="仿宋" w:eastAsia="仿宋" w:cs="仿宋"/>
          <w:sz w:val="32"/>
          <w:szCs w:val="32"/>
          <w:highlight w:val="none"/>
        </w:rPr>
        <w:t>万元，</w:t>
      </w:r>
      <w:r>
        <w:rPr>
          <w:rFonts w:hint="eastAsia" w:ascii="仿宋" w:hAnsi="仿宋" w:eastAsia="仿宋" w:cs="仿宋"/>
          <w:sz w:val="32"/>
          <w:u w:color="auto"/>
        </w:rPr>
        <w:t>上升</w:t>
      </w:r>
      <w:r>
        <w:rPr>
          <w:rFonts w:hint="eastAsia" w:ascii="仿宋" w:hAnsi="仿宋" w:eastAsia="仿宋" w:cs="仿宋"/>
          <w:sz w:val="32"/>
          <w:u w:color="auto"/>
          <w:lang w:val="en-US" w:eastAsia="zh-CN"/>
        </w:rPr>
        <w:t>5.01</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：教职工工会活动费用、慰问特困、重病、退休教师</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24.73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主要原因是：主要原因是教职工工会活动费用有所提高。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yellow"/>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872.47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：全乡教职工工资以及为开展教育教学活动的支出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bidi="ar"/>
        </w:rPr>
        <w:t>增加80.85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上升10.21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主要原因是：主要原因是在职人员工资</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val="en-US" w:eastAsia="zh-CN"/>
        </w:rPr>
        <w:t>比2022年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有所提高</w:t>
      </w:r>
      <w:r>
        <w:rPr>
          <w:rFonts w:hint="eastAsia" w:ascii="仿宋" w:hAnsi="仿宋" w:eastAsia="仿宋" w:cs="仿宋"/>
          <w:color w:val="auto"/>
          <w:kern w:val="2"/>
          <w:sz w:val="32"/>
          <w:szCs w:val="32"/>
          <w:highlight w:val="none"/>
          <w:lang w:val="en-US" w:eastAsia="zh-CN" w:bidi="ar"/>
        </w:rPr>
        <w:t>，乡村教师生活补助标准较比2022年也有所提高。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79.01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val="en-US" w:eastAsia="zh-CN" w:bidi="ar"/>
        </w:rPr>
        <w:t>增加1.81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上升2.34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养老</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基数调整，基数上升</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2"/>
          <w:sz w:val="36"/>
          <w:szCs w:val="36"/>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59.</w:t>
      </w:r>
      <w:r>
        <w:rPr>
          <w:rFonts w:hint="eastAsia" w:ascii="仿宋" w:hAnsi="仿宋" w:eastAsia="仿宋" w:cs="仿宋"/>
          <w:sz w:val="32"/>
          <w:szCs w:val="32"/>
          <w:highlight w:val="none"/>
          <w:lang w:val="en-US" w:eastAsia="zh-CN" w:bidi="ar"/>
        </w:rPr>
        <w:t>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0.52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公积金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基数调整，基数上升。</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81.85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教职工奖励性补贴以及少年宫教师辅导劳务费、少年宫课外辅导费用</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34.79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29.82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单位人员因退休、调动发生减少，故支出有减少。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收入数额和支出数额相同，没有结余。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收入数额和支出数额相同，没有结余。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8255" b="82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一般公共预算财政拨款支出</w:t>
      </w:r>
      <w:r>
        <w:rPr>
          <w:rFonts w:hint="eastAsia" w:ascii="仿宋" w:hAnsi="仿宋" w:eastAsia="仿宋" w:cs="仿宋"/>
          <w:sz w:val="32"/>
          <w:u w:color="auto"/>
        </w:rPr>
        <w:t>1106.83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w:t>
      </w:r>
      <w:r>
        <w:rPr>
          <w:rFonts w:hint="eastAsia" w:ascii="仿宋" w:hAnsi="仿宋" w:eastAsia="仿宋" w:cs="仿宋"/>
          <w:sz w:val="32"/>
          <w:u w:color="auto"/>
        </w:rPr>
        <w:t>增加</w:t>
      </w:r>
      <w:r>
        <w:rPr>
          <w:rFonts w:hint="eastAsia" w:ascii="仿宋" w:hAnsi="仿宋" w:eastAsia="仿宋" w:cs="仿宋"/>
          <w:sz w:val="32"/>
          <w:u w:color="auto"/>
          <w:lang w:val="en-US" w:eastAsia="zh-CN"/>
        </w:rPr>
        <w:t>52.97</w:t>
      </w:r>
      <w:r>
        <w:rPr>
          <w:rFonts w:hint="eastAsia" w:ascii="仿宋" w:hAnsi="仿宋" w:eastAsia="仿宋" w:cs="仿宋"/>
          <w:sz w:val="32"/>
          <w:szCs w:val="32"/>
          <w:highlight w:val="none"/>
        </w:rPr>
        <w:t>万元，</w:t>
      </w:r>
      <w:r>
        <w:rPr>
          <w:rFonts w:hint="eastAsia" w:ascii="仿宋" w:hAnsi="仿宋" w:eastAsia="仿宋" w:cs="仿宋"/>
          <w:sz w:val="32"/>
          <w:u w:color="auto"/>
        </w:rPr>
        <w:t>上升</w:t>
      </w:r>
      <w:r>
        <w:rPr>
          <w:rFonts w:hint="eastAsia" w:ascii="仿宋" w:hAnsi="仿宋" w:eastAsia="仿宋" w:cs="仿宋"/>
          <w:sz w:val="32"/>
          <w:u w:color="auto"/>
          <w:lang w:val="en-US" w:eastAsia="zh-CN"/>
        </w:rPr>
        <w:t>5.01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1026.47</w:t>
      </w:r>
      <w:r>
        <w:rPr>
          <w:rFonts w:hint="eastAsia" w:ascii="仿宋" w:hAnsi="仿宋" w:eastAsia="仿宋" w:cs="仿宋"/>
          <w:sz w:val="32"/>
          <w:szCs w:val="32"/>
          <w:highlight w:val="none"/>
        </w:rPr>
        <w:t>万元，项目支出</w:t>
      </w:r>
      <w:r>
        <w:rPr>
          <w:rFonts w:hint="eastAsia" w:ascii="仿宋" w:hAnsi="仿宋" w:eastAsia="仿宋" w:cs="仿宋"/>
          <w:sz w:val="32"/>
          <w:u w:color="auto"/>
        </w:rPr>
        <w:t>80.36</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环江毛南族自治县龙岩乡中心小学2022 年度一般公共预算财政拨款支出年初预算为</w:t>
      </w:r>
      <w:r>
        <w:rPr>
          <w:rFonts w:hint="eastAsia" w:ascii="仿宋" w:hAnsi="仿宋" w:eastAsia="仿宋" w:cs="仿宋"/>
          <w:sz w:val="32"/>
          <w:u w:color="auto"/>
        </w:rPr>
        <w:t>1013.57</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1106.83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109.2</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类）年初预算为14.02万元，支出决算为14.02万元，完成年初预算的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用于学校工会活动支出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类）年初预算为796.43万元，支出决算为872.48万元，完成年初预算的</w:t>
      </w:r>
      <w:r>
        <w:rPr>
          <w:rFonts w:hint="eastAsia" w:ascii="仿宋" w:hAnsi="仿宋" w:eastAsia="仿宋"/>
          <w:sz w:val="32"/>
          <w:szCs w:val="32"/>
          <w:highlight w:val="none"/>
          <w:lang w:val="en-US" w:eastAsia="zh-CN"/>
        </w:rPr>
        <w:t>109.55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该类支出部分资金由上级部门预算直接下达，本部门无需预算，如义教补助资金中的寄宿生生活补助，公用经费等，</w:t>
      </w:r>
      <w:r>
        <w:rPr>
          <w:rFonts w:hint="eastAsia" w:ascii="仿宋" w:hAnsi="仿宋" w:eastAsia="仿宋"/>
          <w:color w:val="auto"/>
          <w:sz w:val="32"/>
          <w:szCs w:val="32"/>
          <w:highlight w:val="none"/>
          <w:lang w:val="en-US" w:eastAsia="zh-CN"/>
        </w:rPr>
        <w:t>2023年教师工资上调以及</w:t>
      </w:r>
      <w:r>
        <w:rPr>
          <w:rFonts w:hint="eastAsia" w:ascii="华文仿宋" w:hAnsi="华文仿宋" w:eastAsia="华文仿宋" w:cs="华文仿宋"/>
          <w:color w:val="auto"/>
          <w:kern w:val="0"/>
          <w:sz w:val="32"/>
          <w:szCs w:val="32"/>
          <w:lang w:val="en-US" w:eastAsia="zh-CN"/>
        </w:rPr>
        <w:t>2023年学生营养餐经</w:t>
      </w:r>
      <w:r>
        <w:rPr>
          <w:rFonts w:hint="eastAsia" w:ascii="华文仿宋" w:hAnsi="华文仿宋" w:eastAsia="华文仿宋" w:cs="华文仿宋"/>
          <w:kern w:val="0"/>
          <w:sz w:val="32"/>
          <w:szCs w:val="32"/>
          <w:lang w:val="en-US" w:eastAsia="zh-CN"/>
        </w:rPr>
        <w:t>费和办公经费支出较多</w:t>
      </w:r>
      <w:r>
        <w:rPr>
          <w:rFonts w:hint="eastAsia" w:ascii="华文仿宋" w:hAnsi="华文仿宋" w:eastAsia="华文仿宋" w:cs="华文仿宋"/>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866.73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人员工资及为开展教育教学活动的支出、退休生活补、寄宿生营养餐支出等</w:t>
            </w:r>
          </w:p>
        </w:tc>
        <w:tc>
          <w:tcPr>
            <w:tcW w:w="2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部分资金每年由上级部门做预算，直接下达，本部门无需预算，如寄宿生补助、营养改善计划资金。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主要用于付2023年学校安全协管员工资</w:t>
            </w:r>
          </w:p>
        </w:tc>
        <w:tc>
          <w:tcPr>
            <w:tcW w:w="2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此部分资金每年由上级部门做预算，直接下达，本部门无需预算。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872.48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0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sz w:val="32"/>
          <w:szCs w:val="32"/>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类）年初预算为116.07万元，支出决算为79.01万元，完成年初预算的</w:t>
      </w:r>
      <w:r>
        <w:rPr>
          <w:rFonts w:hint="eastAsia" w:ascii="仿宋" w:hAnsi="仿宋" w:eastAsia="仿宋"/>
          <w:sz w:val="32"/>
          <w:szCs w:val="32"/>
          <w:highlight w:val="none"/>
          <w:lang w:val="en-US" w:eastAsia="zh-CN"/>
        </w:rPr>
        <w:t>68.07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2023年多名老师退休。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68.07%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教职工</w:t>
            </w:r>
            <w:r>
              <w:rPr>
                <w:rFonts w:hint="eastAsia" w:ascii="仿宋" w:hAnsi="仿宋" w:eastAsia="仿宋" w:cs="仿宋"/>
                <w:sz w:val="21"/>
                <w:szCs w:val="21"/>
                <w:highlight w:val="none"/>
              </w:rPr>
              <w:t>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2023年多名老师退休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68.07%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sz w:val="21"/>
                <w:szCs w:val="21"/>
                <w:highlight w:val="none"/>
                <w:lang w:val="en-US" w:eastAsia="zh-CN"/>
              </w:rPr>
              <w:t>教职工</w:t>
            </w:r>
            <w:r>
              <w:rPr>
                <w:rFonts w:hint="eastAsia" w:ascii="仿宋" w:hAnsi="仿宋" w:eastAsia="仿宋" w:cs="仿宋"/>
                <w:sz w:val="21"/>
                <w:szCs w:val="21"/>
                <w:highlight w:val="none"/>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kern w:val="2"/>
                <w:sz w:val="21"/>
                <w:szCs w:val="21"/>
                <w:highlight w:val="none"/>
                <w:lang w:val="en-US" w:eastAsia="zh-CN" w:bidi="ar"/>
              </w:rPr>
              <w:t>2023年多名老师退休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类）年初预算为87.05万元，支出决算为59.47万元，完成年初预算的</w:t>
      </w:r>
      <w:r>
        <w:rPr>
          <w:rFonts w:hint="eastAsia" w:ascii="仿宋" w:hAnsi="仿宋" w:eastAsia="仿宋"/>
          <w:sz w:val="32"/>
          <w:szCs w:val="32"/>
          <w:highlight w:val="none"/>
          <w:lang w:val="en-US" w:eastAsia="zh-CN"/>
        </w:rPr>
        <w:t>68.32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2022年多名老师退休。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87.05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59.47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68.32%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2023年多名老师退休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87.05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59.47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68.32%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2023年多名老师退休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万元，支出决算为85.17万元，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原因是：由上级部门预算下达，本部门无需预算。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284"/>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bookmarkStart w:id="3" w:name="_GoBack"/>
            <w:bookmarkEnd w:id="3"/>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由上级部门预算下达，本部门无需预算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2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3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由上级部门预算下达，本部门无需预算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一般公共预算财政拨款基本支出</w:t>
      </w:r>
      <w:r>
        <w:rPr>
          <w:rFonts w:hint="eastAsia" w:ascii="仿宋" w:hAnsi="仿宋" w:eastAsia="仿宋" w:cs="仿宋"/>
          <w:sz w:val="32"/>
          <w:u w:color="auto"/>
          <w:lang w:val="en-US" w:eastAsia="zh-CN"/>
        </w:rPr>
        <w:t>1026.47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1012.45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14.02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u w:color="auto"/>
        </w:rPr>
        <w:t>855.19</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93.48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主要原因是：多名在职老师调出、退休</w:t>
      </w:r>
      <w:r>
        <w:rPr>
          <w:rFonts w:hint="eastAsia" w:ascii="仿宋" w:hAnsi="仿宋" w:eastAsia="仿宋" w:cs="仿宋"/>
          <w:color w:val="auto"/>
          <w:kern w:val="2"/>
          <w:sz w:val="32"/>
          <w:szCs w:val="32"/>
          <w:highlight w:val="none"/>
          <w:lang w:val="en-US" w:eastAsia="zh-CN" w:bidi="ar"/>
        </w:rPr>
        <w:t>。</w:t>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247.85万元，30102津贴补贴76.78万元，30103奖金253.88万元，30107绩效工资102.03万元，30108机关事业单位基本养老保险缴费79.01万元，30110职工基本医疗保险缴费32.16万元，30112其他社会保障缴费3.99万元，30113住房公积金59.47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14.02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预决算</w:t>
      </w:r>
      <w:r>
        <w:rPr>
          <w:rFonts w:hint="eastAsia" w:ascii="仿宋" w:hAnsi="仿宋" w:eastAsia="仿宋" w:cs="仿宋"/>
          <w:color w:val="auto"/>
          <w:kern w:val="2"/>
          <w:sz w:val="32"/>
          <w:szCs w:val="32"/>
          <w:highlight w:val="none"/>
          <w:lang w:val="en-US" w:eastAsia="zh-CN" w:bidi="ar"/>
        </w:rPr>
        <w:t>无差异。</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30228工会经费14.02万元。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157.26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200.23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u w:color="auto"/>
          <w:lang w:val="en-US" w:eastAsia="zh-CN"/>
        </w:rPr>
        <w:t>退休教师、抚恤人员等增加。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30304抚恤金33.32万元，30305生活补助123.2万元，30307医疗费补助0.72万元，30399其他对个人和家庭的补助0.02万元。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r>
        <w:rPr>
          <w:rFonts w:hint="eastAsia" w:ascii="仿宋" w:hAnsi="仿宋" w:eastAsia="仿宋" w:cs="仿宋"/>
          <w:sz w:val="32"/>
          <w:szCs w:val="32"/>
          <w:highlight w:val="none"/>
        </w:rPr>
        <w:t>资本性支出</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政府性基金支出</w:t>
      </w:r>
      <w:r>
        <w:rPr>
          <w:rFonts w:hint="eastAsia" w:ascii="仿宋" w:hAnsi="仿宋" w:eastAsia="仿宋" w:cs="仿宋"/>
          <w:sz w:val="32"/>
          <w:szCs w:val="32"/>
          <w:highlight w:val="none"/>
          <w:lang w:val="en-US" w:eastAsia="zh-CN"/>
        </w:rPr>
        <w:t>3.32</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2022年度</w:t>
      </w:r>
      <w:r>
        <w:rPr>
          <w:rFonts w:hint="eastAsia" w:ascii="仿宋" w:hAnsi="仿宋" w:eastAsia="仿宋" w:cs="仿宋"/>
          <w:sz w:val="32"/>
          <w:szCs w:val="32"/>
          <w:highlight w:val="none"/>
        </w:rPr>
        <w:t>决算数增加</w:t>
      </w:r>
      <w:r>
        <w:rPr>
          <w:rFonts w:hint="eastAsia" w:ascii="仿宋" w:hAnsi="仿宋" w:eastAsia="仿宋" w:cs="仿宋"/>
          <w:sz w:val="32"/>
          <w:szCs w:val="32"/>
          <w:highlight w:val="none"/>
          <w:lang w:val="en-US" w:eastAsia="zh-CN"/>
        </w:rPr>
        <w:t>2.63</w:t>
      </w:r>
      <w:r>
        <w:rPr>
          <w:rFonts w:hint="eastAsia" w:ascii="仿宋" w:hAnsi="仿宋" w:eastAsia="仿宋" w:cs="仿宋"/>
          <w:sz w:val="32"/>
          <w:szCs w:val="32"/>
          <w:highlight w:val="none"/>
        </w:rPr>
        <w:t>万元，上升</w:t>
      </w:r>
      <w:r>
        <w:rPr>
          <w:rFonts w:hint="eastAsia" w:ascii="仿宋" w:hAnsi="仿宋" w:eastAsia="仿宋" w:cs="仿宋"/>
          <w:sz w:val="32"/>
          <w:szCs w:val="32"/>
          <w:highlight w:val="none"/>
          <w:lang w:val="en-US" w:eastAsia="zh-CN"/>
        </w:rPr>
        <w:t>381.16</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3.32</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3.32</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3.32</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2023年度</w:t>
      </w:r>
      <w:r>
        <w:rPr>
          <w:rFonts w:hint="eastAsia" w:ascii="黑体" w:hAnsi="黑体" w:eastAsia="黑体" w:cs="黑体"/>
          <w:sz w:val="32"/>
          <w:szCs w:val="32"/>
          <w:highlight w:val="none"/>
        </w:rPr>
        <w:t>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环江毛南族自治县龙岩乡中心小学202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环江毛南族自治县龙岩乡中心小学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本部门</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没有“三公”经费资金收入，也没有“三公”经费资金安排的支出。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公务用车购置及运行维护费</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公务用车运行维护支出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w:t>
      </w:r>
      <w:r>
        <w:rPr>
          <w:rFonts w:ascii="仿宋" w:hAnsi="仿宋" w:eastAsia="仿宋" w:cs="仿宋"/>
          <w:sz w:val="32"/>
          <w:u w:color="auto"/>
        </w:rPr>
        <w:t>环江毛南族自治县龙岩乡中心小学</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机关运行经费支出</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2023年度</w:t>
      </w:r>
      <w:r>
        <w:rPr>
          <w:rFonts w:hint="eastAsia" w:ascii="仿宋" w:hAnsi="仿宋" w:eastAsia="仿宋" w:cs="仿宋"/>
          <w:sz w:val="32"/>
          <w:szCs w:val="32"/>
          <w:highlight w:val="none"/>
        </w:rPr>
        <w:t>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根据财政预算管理要求，本部门单位组织对</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一般公共预算项目支出全面开展绩效自评。其中，一等项目</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个，二等项目2个，共涉及资金</w:t>
      </w:r>
      <w:r>
        <w:rPr>
          <w:rFonts w:hint="eastAsia" w:ascii="仿宋" w:hAnsi="仿宋" w:eastAsia="仿宋" w:cs="仿宋"/>
          <w:kern w:val="0"/>
          <w:sz w:val="32"/>
          <w:szCs w:val="32"/>
          <w:lang w:val="en-US" w:eastAsia="zh-CN"/>
        </w:rPr>
        <w:t>244.76</w:t>
      </w:r>
      <w:r>
        <w:rPr>
          <w:rFonts w:hint="eastAsia" w:ascii="仿宋" w:hAnsi="仿宋" w:eastAsia="仿宋" w:cs="仿宋"/>
          <w:kern w:val="0"/>
          <w:sz w:val="32"/>
          <w:szCs w:val="32"/>
        </w:rPr>
        <w:t>万元，</w:t>
      </w:r>
      <w:r>
        <w:rPr>
          <w:rFonts w:hint="eastAsia" w:ascii="仿宋" w:hAnsi="仿宋" w:eastAsia="仿宋" w:cs="仿宋"/>
          <w:color w:val="auto"/>
          <w:kern w:val="0"/>
          <w:sz w:val="32"/>
          <w:szCs w:val="32"/>
        </w:rPr>
        <w:t>占一般公共预算项目支出总额的</w:t>
      </w:r>
      <w:r>
        <w:rPr>
          <w:rFonts w:hint="eastAsia" w:ascii="仿宋" w:hAnsi="仿宋" w:eastAsia="仿宋" w:cs="仿宋"/>
          <w:color w:val="auto"/>
          <w:kern w:val="0"/>
          <w:sz w:val="32"/>
          <w:szCs w:val="32"/>
          <w:lang w:val="en-US" w:eastAsia="zh-CN"/>
        </w:rPr>
        <w:t>22.05</w:t>
      </w:r>
      <w:r>
        <w:rPr>
          <w:rFonts w:hint="eastAsia" w:ascii="仿宋" w:hAnsi="仿宋" w:eastAsia="仿宋" w:cs="仿宋"/>
          <w:color w:val="auto"/>
          <w:kern w:val="0"/>
          <w:sz w:val="32"/>
          <w:szCs w:val="32"/>
        </w:rPr>
        <w:t>%</w:t>
      </w:r>
      <w:r>
        <w:rPr>
          <w:rFonts w:hint="eastAsia" w:ascii="仿宋" w:hAnsi="仿宋" w:eastAsia="仿宋" w:cs="仿宋"/>
          <w:kern w:val="0"/>
          <w:sz w:val="32"/>
          <w:szCs w:val="32"/>
        </w:rPr>
        <w:t>。组织对</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中央专项彩票公益金支持乡村学校少年宫经费1个政府性基金预算项目支出开展绩效自评，共涉及资金</w:t>
      </w:r>
      <w:r>
        <w:rPr>
          <w:rFonts w:hint="eastAsia" w:ascii="仿宋" w:hAnsi="仿宋" w:eastAsia="仿宋" w:cs="仿宋"/>
          <w:kern w:val="0"/>
          <w:sz w:val="32"/>
          <w:szCs w:val="32"/>
          <w:lang w:val="en-US" w:eastAsia="zh-CN"/>
        </w:rPr>
        <w:t>3.32</w:t>
      </w:r>
      <w:r>
        <w:rPr>
          <w:rFonts w:hint="eastAsia" w:ascii="仿宋" w:hAnsi="仿宋" w:eastAsia="仿宋" w:cs="仿宋"/>
          <w:kern w:val="0"/>
          <w:sz w:val="32"/>
          <w:szCs w:val="32"/>
        </w:rPr>
        <w:t>万元，占政府性基金预算项目支出总额的100%。组织对</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0个国有资本经营预算项目支出开展绩效自评，共涉及资金0万元，占国有资本经营预算项目支出总额的0%，原因是：</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本部门单位无国有资本经营预算项目支出。</w:t>
      </w:r>
    </w:p>
    <w:p>
      <w:pPr>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我部门组织对“义务教育阶段家庭经济困难学生生活中央补助资金”等1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个项目进行了部门评价，</w:t>
      </w:r>
      <w:r>
        <w:rPr>
          <w:rFonts w:hint="eastAsia" w:ascii="仿宋" w:hAnsi="仿宋" w:eastAsia="仿宋" w:cs="仿宋"/>
          <w:color w:val="auto"/>
          <w:kern w:val="0"/>
          <w:sz w:val="32"/>
          <w:szCs w:val="32"/>
        </w:rPr>
        <w:t>涉及一般公共预算支出</w:t>
      </w:r>
      <w:r>
        <w:rPr>
          <w:rFonts w:hint="eastAsia" w:ascii="仿宋" w:hAnsi="仿宋" w:eastAsia="仿宋" w:cs="仿宋"/>
          <w:color w:val="auto"/>
          <w:kern w:val="0"/>
          <w:sz w:val="32"/>
          <w:szCs w:val="32"/>
          <w:lang w:val="en-US" w:eastAsia="zh-CN"/>
        </w:rPr>
        <w:t>244.76</w:t>
      </w:r>
      <w:r>
        <w:rPr>
          <w:rFonts w:hint="eastAsia" w:ascii="仿宋" w:hAnsi="仿宋" w:eastAsia="仿宋" w:cs="仿宋"/>
          <w:color w:val="auto"/>
          <w:kern w:val="0"/>
          <w:sz w:val="32"/>
          <w:szCs w:val="32"/>
        </w:rPr>
        <w:t>万元，政府性基金预算支出</w:t>
      </w:r>
      <w:r>
        <w:rPr>
          <w:rFonts w:hint="eastAsia" w:ascii="仿宋" w:hAnsi="仿宋" w:eastAsia="仿宋" w:cs="仿宋"/>
          <w:color w:val="auto"/>
          <w:kern w:val="0"/>
          <w:sz w:val="32"/>
          <w:szCs w:val="32"/>
          <w:lang w:val="en-US" w:eastAsia="zh-CN"/>
        </w:rPr>
        <w:t>3.32</w:t>
      </w:r>
      <w:r>
        <w:rPr>
          <w:rFonts w:hint="eastAsia" w:ascii="仿宋" w:hAnsi="仿宋" w:eastAsia="仿宋" w:cs="仿宋"/>
          <w:color w:val="auto"/>
          <w:kern w:val="0"/>
          <w:sz w:val="32"/>
          <w:szCs w:val="32"/>
        </w:rPr>
        <w:t>万元</w:t>
      </w:r>
      <w:r>
        <w:rPr>
          <w:rFonts w:hint="eastAsia" w:ascii="仿宋" w:hAnsi="仿宋" w:eastAsia="仿宋" w:cs="仿宋"/>
          <w:kern w:val="0"/>
          <w:sz w:val="32"/>
          <w:szCs w:val="32"/>
        </w:rPr>
        <w:t>，国有资本经营预算支出0万元（</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本单位无国有资本经营预算支出）。从评价情况来看，</w:t>
      </w:r>
      <w:r>
        <w:rPr>
          <w:rFonts w:hint="eastAsia" w:ascii="仿宋" w:hAnsi="仿宋" w:eastAsia="仿宋" w:cs="仿宋"/>
          <w:kern w:val="0"/>
          <w:sz w:val="32"/>
          <w:szCs w:val="32"/>
          <w:lang w:eastAsia="zh-CN"/>
        </w:rPr>
        <w:t>2023年度</w:t>
      </w:r>
      <w:r>
        <w:rPr>
          <w:rFonts w:hint="eastAsia" w:ascii="仿宋" w:hAnsi="仿宋" w:eastAsia="仿宋" w:cs="仿宋"/>
          <w:kern w:val="0"/>
          <w:sz w:val="32"/>
          <w:szCs w:val="32"/>
        </w:rPr>
        <w:t>本单位部门绩效管理工作开展情况良好，基本都能达到项目的绩效目标，取得较好成效。</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我部门根据年初设定的绩效目标，</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奖励性补贴项目自评得分为100分。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一次性抚恤金项目自评得分为100分。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义务教育阶段家庭困难学生生活自治区补助资金项目自评得分为100分。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奖励性补贴(非三保)项目自评得分为100分。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中央专项彩票公益金支持乡村学校少年宫经费项目自评得分为100分。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基础性绩效工资增量事业项目自评得分为100分。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教师节经费项目自评得分为100分。</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自治区公用经费项目自评得分为</w:t>
      </w:r>
      <w:r>
        <w:rPr>
          <w:rFonts w:hint="eastAsia" w:ascii="仿宋" w:hAnsi="仿宋" w:eastAsia="仿宋" w:cs="仿宋"/>
          <w:kern w:val="0"/>
          <w:sz w:val="32"/>
          <w:szCs w:val="32"/>
          <w:lang w:val="en-US" w:eastAsia="zh-CN"/>
        </w:rPr>
        <w:t>89.59</w:t>
      </w:r>
      <w:r>
        <w:rPr>
          <w:rFonts w:hint="eastAsia" w:ascii="仿宋" w:hAnsi="仿宋" w:eastAsia="仿宋" w:cs="仿宋"/>
          <w:kern w:val="0"/>
          <w:sz w:val="32"/>
          <w:szCs w:val="32"/>
        </w:rPr>
        <w:t>分。发现的主要问题及原因：经费总额超过指标值，部分发票未能及时整改，收集上报。下一步改进措施：积极与上级沟通，及时跟进项目实施进度，按时完成指标支付。</w:t>
      </w:r>
    </w:p>
    <w:p>
      <w:pPr>
        <w:autoSpaceDE w:val="0"/>
        <w:autoSpaceDN w:val="0"/>
        <w:adjustRightIn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营养改善计划膳食补助资金项目自评得分为</w:t>
      </w:r>
      <w:r>
        <w:rPr>
          <w:rFonts w:hint="eastAsia" w:ascii="仿宋" w:hAnsi="仿宋" w:eastAsia="仿宋" w:cs="仿宋"/>
          <w:kern w:val="0"/>
          <w:sz w:val="32"/>
          <w:szCs w:val="32"/>
          <w:lang w:val="en-US" w:eastAsia="zh-CN"/>
        </w:rPr>
        <w:t>97.42</w:t>
      </w:r>
      <w:r>
        <w:rPr>
          <w:rFonts w:hint="eastAsia" w:ascii="仿宋" w:hAnsi="仿宋" w:eastAsia="仿宋" w:cs="仿宋"/>
          <w:kern w:val="0"/>
          <w:sz w:val="32"/>
          <w:szCs w:val="32"/>
        </w:rPr>
        <w:t>分。发现的主要问题及原因：学校营养餐货物款一般是次月付款，故202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年12月份营养餐款未支付，未支付部分已与财政沟通，于下一年度支付。下一步改进措施：积极与财政沟通，202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年12月份营养餐款于下一年度支付；往后要按时完成指标支付。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1800" w:firstLineChars="500"/>
        <w:rPr>
          <w:rFonts w:hint="eastAsia" w:ascii="仿宋" w:hAnsi="仿宋" w:eastAsia="仿宋" w:cs="仿宋"/>
          <w:color w:val="auto"/>
          <w:kern w:val="0"/>
          <w:sz w:val="36"/>
          <w:szCs w:val="36"/>
          <w:u w:val="none"/>
        </w:rPr>
      </w:pPr>
    </w:p>
    <w:p>
      <w:pPr>
        <w:ind w:firstLine="1800" w:firstLineChars="500"/>
        <w:rPr>
          <w:rFonts w:hint="eastAsia" w:ascii="仿宋" w:hAnsi="仿宋" w:eastAsia="仿宋" w:cs="仿宋"/>
          <w:color w:val="auto"/>
          <w:kern w:val="0"/>
          <w:sz w:val="36"/>
          <w:szCs w:val="36"/>
          <w:u w:val="none"/>
        </w:rPr>
      </w:pPr>
    </w:p>
    <w:p>
      <w:pPr>
        <w:ind w:firstLine="1800" w:firstLineChars="500"/>
        <w:rPr>
          <w:rFonts w:hint="eastAsia" w:ascii="仿宋" w:hAnsi="仿宋" w:eastAsia="仿宋" w:cs="仿宋"/>
          <w:color w:val="auto"/>
          <w:kern w:val="0"/>
          <w:sz w:val="36"/>
          <w:szCs w:val="36"/>
          <w:u w:val="none"/>
        </w:rPr>
      </w:pPr>
    </w:p>
    <w:p>
      <w:pPr>
        <w:ind w:firstLine="2160" w:firstLineChars="600"/>
        <w:rPr>
          <w:rFonts w:hint="eastAsia" w:ascii="仿宋" w:hAnsi="仿宋" w:eastAsia="仿宋" w:cs="仿宋"/>
          <w:sz w:val="36"/>
          <w:szCs w:val="36"/>
        </w:rPr>
      </w:pPr>
      <w:r>
        <w:rPr>
          <w:rFonts w:hint="eastAsia" w:ascii="仿宋" w:hAnsi="仿宋" w:eastAsia="仿宋" w:cs="仿宋"/>
          <w:color w:val="auto"/>
          <w:kern w:val="0"/>
          <w:sz w:val="36"/>
          <w:szCs w:val="36"/>
          <w:u w:val="none"/>
        </w:rPr>
        <w:fldChar w:fldCharType="begin"/>
      </w:r>
      <w:r>
        <w:rPr>
          <w:rFonts w:hint="eastAsia" w:ascii="仿宋" w:hAnsi="仿宋" w:eastAsia="仿宋" w:cs="仿宋"/>
        </w:rPr>
        <w:instrText xml:space="preserve"> HYPERLINK "龙岩小学2022年项目支出绩效自评表.zip" </w:instrText>
      </w:r>
      <w:r>
        <w:rPr>
          <w:rFonts w:hint="eastAsia" w:ascii="仿宋" w:hAnsi="仿宋" w:eastAsia="仿宋" w:cs="仿宋"/>
          <w:color w:val="auto"/>
          <w:kern w:val="0"/>
          <w:sz w:val="36"/>
          <w:szCs w:val="36"/>
          <w:u w:val="none"/>
        </w:rPr>
        <w:fldChar w:fldCharType="separate"/>
      </w:r>
      <w:r>
        <w:rPr>
          <w:rFonts w:hint="eastAsia" w:ascii="仿宋" w:hAnsi="仿宋" w:eastAsia="仿宋" w:cs="仿宋"/>
          <w:sz w:val="36"/>
          <w:szCs w:val="36"/>
        </w:rPr>
        <w:t>附表：</w:t>
      </w:r>
      <w:r>
        <w:rPr>
          <w:rFonts w:hint="eastAsia" w:ascii="仿宋" w:hAnsi="仿宋" w:eastAsia="仿宋" w:cs="仿宋"/>
          <w:sz w:val="36"/>
          <w:szCs w:val="36"/>
          <w:lang w:eastAsia="zh-CN"/>
        </w:rPr>
        <w:t>2023年度</w:t>
      </w:r>
      <w:r>
        <w:rPr>
          <w:rFonts w:hint="eastAsia" w:ascii="仿宋" w:hAnsi="仿宋" w:eastAsia="仿宋" w:cs="仿宋"/>
          <w:sz w:val="36"/>
          <w:szCs w:val="36"/>
        </w:rPr>
        <w:t>预算项目绩效自评表</w:t>
      </w:r>
    </w:p>
    <w:p>
      <w:pPr>
        <w:autoSpaceDE w:val="0"/>
        <w:autoSpaceDN w:val="0"/>
        <w:adjustRightInd w:val="0"/>
        <w:spacing w:line="560" w:lineRule="exact"/>
        <w:rPr>
          <w:rFonts w:hint="eastAsia" w:ascii="仿宋" w:hAnsi="仿宋" w:eastAsia="仿宋" w:cs="仿宋"/>
          <w:kern w:val="0"/>
          <w:sz w:val="36"/>
          <w:szCs w:val="36"/>
        </w:rPr>
      </w:pPr>
    </w:p>
    <w:p>
      <w:pPr>
        <w:ind w:firstLine="720" w:firstLineChars="200"/>
        <w:jc w:val="both"/>
        <w:rPr>
          <w:rFonts w:hint="eastAsia" w:ascii="仿宋" w:hAnsi="仿宋" w:eastAsia="仿宋" w:cs="仿宋"/>
          <w:color w:val="auto"/>
          <w:kern w:val="0"/>
          <w:sz w:val="36"/>
          <w:szCs w:val="36"/>
          <w:u w:val="none"/>
        </w:rPr>
      </w:pPr>
      <w:r>
        <w:rPr>
          <w:rFonts w:hint="eastAsia" w:ascii="仿宋" w:hAnsi="仿宋" w:eastAsia="仿宋" w:cs="仿宋"/>
          <w:color w:val="auto"/>
          <w:kern w:val="0"/>
          <w:sz w:val="36"/>
          <w:szCs w:val="36"/>
          <w:u w:val="none"/>
        </w:rPr>
        <w:fldChar w:fldCharType="end"/>
      </w:r>
      <w:r>
        <w:rPr>
          <w:rFonts w:hint="eastAsia" w:ascii="仿宋" w:hAnsi="仿宋" w:eastAsia="仿宋" w:cs="仿宋"/>
          <w:color w:val="auto"/>
          <w:kern w:val="0"/>
          <w:sz w:val="32"/>
          <w:szCs w:val="32"/>
          <w:u w:val="none"/>
          <w:lang w:val="en-US" w:eastAsia="zh-CN"/>
        </w:rPr>
        <w:t xml:space="preserve">             </w:t>
      </w:r>
      <w:r>
        <w:rPr>
          <w:rFonts w:hint="eastAsia" w:ascii="仿宋" w:hAnsi="仿宋" w:eastAsia="仿宋" w:cs="仿宋"/>
          <w:color w:val="auto"/>
          <w:kern w:val="0"/>
          <w:sz w:val="36"/>
          <w:szCs w:val="36"/>
          <w:u w:val="none"/>
        </w:rPr>
        <w:t>环江毛南族自治县龙岩乡中心小学</w:t>
      </w:r>
    </w:p>
    <w:p>
      <w:pPr>
        <w:ind w:firstLine="3960" w:firstLineChars="1100"/>
        <w:jc w:val="both"/>
        <w:rPr>
          <w:rFonts w:hint="eastAsia" w:ascii="仿宋" w:hAnsi="仿宋" w:eastAsia="仿宋" w:cs="仿宋"/>
          <w:color w:val="auto"/>
          <w:kern w:val="0"/>
          <w:sz w:val="36"/>
          <w:szCs w:val="36"/>
          <w:u w:val="none"/>
          <w:lang w:val="en-US" w:eastAsia="zh-CN"/>
        </w:rPr>
      </w:pPr>
      <w:r>
        <w:rPr>
          <w:rFonts w:hint="eastAsia" w:ascii="仿宋" w:hAnsi="仿宋" w:eastAsia="仿宋" w:cs="仿宋"/>
          <w:color w:val="auto"/>
          <w:kern w:val="0"/>
          <w:sz w:val="36"/>
          <w:szCs w:val="36"/>
          <w:u w:val="none"/>
          <w:lang w:val="en-US" w:eastAsia="zh-CN"/>
        </w:rPr>
        <w:t>2024年12月3日</w:t>
      </w: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8890EC-7648-45E8-92AC-3C5AA72AA9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E58BDD-0E31-440C-B9D4-E162489024E2}"/>
  </w:font>
  <w:font w:name="仿宋">
    <w:panose1 w:val="02010609060101010101"/>
    <w:charset w:val="86"/>
    <w:family w:val="modern"/>
    <w:pitch w:val="default"/>
    <w:sig w:usb0="800002BF" w:usb1="38CF7CFA" w:usb2="00000016" w:usb3="00000000" w:csb0="00040001" w:csb1="00000000"/>
    <w:embedRegular r:id="rId3" w:fontKey="{B6C7FBCD-C9A1-478B-A23B-31F704CD2D78}"/>
  </w:font>
  <w:font w:name="仿宋_GB2312">
    <w:panose1 w:val="02010609030101010101"/>
    <w:charset w:val="86"/>
    <w:family w:val="decorative"/>
    <w:pitch w:val="default"/>
    <w:sig w:usb0="00000001" w:usb1="080E0000" w:usb2="00000000" w:usb3="00000000" w:csb0="00040000" w:csb1="00000000"/>
    <w:embedRegular r:id="rId4" w:fontKey="{24E687DD-F58E-4357-830A-E1E4060EC3A2}"/>
  </w:font>
  <w:font w:name="方正仿宋_GB2312">
    <w:panose1 w:val="02000000000000000000"/>
    <w:charset w:val="86"/>
    <w:family w:val="auto"/>
    <w:pitch w:val="default"/>
    <w:sig w:usb0="A00002BF" w:usb1="184F6CFA" w:usb2="00000012" w:usb3="00000000" w:csb0="00040001" w:csb1="00000000"/>
    <w:embedRegular r:id="rId5" w:fontKey="{34B4B388-A80F-47A1-951E-9D2098E25885}"/>
  </w:font>
  <w:font w:name="微软雅黑">
    <w:panose1 w:val="020B0503020204020204"/>
    <w:charset w:val="86"/>
    <w:family w:val="auto"/>
    <w:pitch w:val="default"/>
    <w:sig w:usb0="80000287" w:usb1="2ACF3C50" w:usb2="00000016" w:usb3="00000000" w:csb0="0004001F" w:csb1="00000000"/>
    <w:embedRegular r:id="rId6" w:fontKey="{BD089BE1-9888-485F-95F9-DADDE26972F9}"/>
  </w:font>
  <w:font w:name="华文仿宋">
    <w:panose1 w:val="02010600040101010101"/>
    <w:charset w:val="86"/>
    <w:family w:val="auto"/>
    <w:pitch w:val="default"/>
    <w:sig w:usb0="00000287" w:usb1="080F0000" w:usb2="00000000" w:usb3="00000000" w:csb0="0004009F" w:csb1="DFD70000"/>
    <w:embedRegular r:id="rId7" w:fontKey="{4F791F81-F7FF-432F-B9CC-DB18FFCE4B7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19A8D32"/>
    <w:multiLevelType w:val="singleLevel"/>
    <w:tmpl w:val="019A8D32"/>
    <w:lvl w:ilvl="0" w:tentative="0">
      <w:start w:val="8"/>
      <w:numFmt w:val="chineseCounting"/>
      <w:suff w:val="nothing"/>
      <w:lvlText w:val="（%1）"/>
      <w:lvlJc w:val="left"/>
      <w:rPr>
        <w:rFonts w:hint="eastAsia"/>
      </w:rPr>
    </w:lvl>
  </w:abstractNum>
  <w:abstractNum w:abstractNumId="3">
    <w:nsid w:val="1A0173A6"/>
    <w:multiLevelType w:val="singleLevel"/>
    <w:tmpl w:val="1A0173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iYzQ0ZTQ5MWNjOTRhNDUyNGYyZTcwYjJiYmZkOG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666C0"/>
    <w:rsid w:val="020C171D"/>
    <w:rsid w:val="0216715F"/>
    <w:rsid w:val="02E0291A"/>
    <w:rsid w:val="04E54546"/>
    <w:rsid w:val="05992762"/>
    <w:rsid w:val="05EC445F"/>
    <w:rsid w:val="07195DD0"/>
    <w:rsid w:val="07B0770E"/>
    <w:rsid w:val="0942143F"/>
    <w:rsid w:val="0D100297"/>
    <w:rsid w:val="0D202B45"/>
    <w:rsid w:val="0F8D4C87"/>
    <w:rsid w:val="10505FAA"/>
    <w:rsid w:val="105F7E7E"/>
    <w:rsid w:val="11E56B5B"/>
    <w:rsid w:val="125C77AB"/>
    <w:rsid w:val="14CB726E"/>
    <w:rsid w:val="17E92249"/>
    <w:rsid w:val="184A6741"/>
    <w:rsid w:val="18D304F1"/>
    <w:rsid w:val="19F32577"/>
    <w:rsid w:val="19F45B80"/>
    <w:rsid w:val="1B0C078D"/>
    <w:rsid w:val="1B2B31E2"/>
    <w:rsid w:val="1B4C295A"/>
    <w:rsid w:val="1B505038"/>
    <w:rsid w:val="1B973C63"/>
    <w:rsid w:val="1BA1001E"/>
    <w:rsid w:val="1D317259"/>
    <w:rsid w:val="1E664F5B"/>
    <w:rsid w:val="1EB34BE1"/>
    <w:rsid w:val="1FE47D76"/>
    <w:rsid w:val="215E639F"/>
    <w:rsid w:val="21EC3183"/>
    <w:rsid w:val="225E72CD"/>
    <w:rsid w:val="23250B58"/>
    <w:rsid w:val="246E2F77"/>
    <w:rsid w:val="254B4E2B"/>
    <w:rsid w:val="283D7C94"/>
    <w:rsid w:val="29480E03"/>
    <w:rsid w:val="2983634D"/>
    <w:rsid w:val="2BB02055"/>
    <w:rsid w:val="2BBD14EF"/>
    <w:rsid w:val="2C575A56"/>
    <w:rsid w:val="2F257714"/>
    <w:rsid w:val="2F3275E5"/>
    <w:rsid w:val="30AA08EF"/>
    <w:rsid w:val="30D23D1C"/>
    <w:rsid w:val="31221CF5"/>
    <w:rsid w:val="31400178"/>
    <w:rsid w:val="321E3342"/>
    <w:rsid w:val="327759C8"/>
    <w:rsid w:val="32B65FE4"/>
    <w:rsid w:val="33185FE3"/>
    <w:rsid w:val="33A03E59"/>
    <w:rsid w:val="34825E35"/>
    <w:rsid w:val="34EE2E36"/>
    <w:rsid w:val="36777241"/>
    <w:rsid w:val="371E78D5"/>
    <w:rsid w:val="38A951DB"/>
    <w:rsid w:val="38B31605"/>
    <w:rsid w:val="39003F4F"/>
    <w:rsid w:val="3C07002B"/>
    <w:rsid w:val="3D0D152A"/>
    <w:rsid w:val="3DF62756"/>
    <w:rsid w:val="3F1B7587"/>
    <w:rsid w:val="41E57B4F"/>
    <w:rsid w:val="420E7A67"/>
    <w:rsid w:val="430E1871"/>
    <w:rsid w:val="432F26F6"/>
    <w:rsid w:val="43880F63"/>
    <w:rsid w:val="441C5A6F"/>
    <w:rsid w:val="44C44FCC"/>
    <w:rsid w:val="44CC7369"/>
    <w:rsid w:val="457F5108"/>
    <w:rsid w:val="462C7957"/>
    <w:rsid w:val="46951B6B"/>
    <w:rsid w:val="49A34401"/>
    <w:rsid w:val="4A3E30AB"/>
    <w:rsid w:val="4AC14DAC"/>
    <w:rsid w:val="4C67114F"/>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110DEA"/>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rgbClr val="FF0000"/>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1106.38</c:v>
                </c:pt>
                <c:pt idx="1">
                  <c:v>3.32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33.32</c:v>
                </c:pt>
                <c:pt idx="4">
                  <c:v>123.2</c:v>
                </c:pt>
                <c:pt idx="5">
                  <c:v>0</c:v>
                </c:pt>
                <c:pt idx="6">
                  <c:v>0.72</c:v>
                </c:pt>
                <c:pt idx="7">
                  <c:v>0</c:v>
                </c:pt>
                <c:pt idx="8">
                  <c:v>0</c:v>
                </c:pt>
                <c:pt idx="9">
                  <c:v>0</c:v>
                </c:pt>
                <c:pt idx="10">
                  <c:v>0</c:v>
                </c:pt>
                <c:pt idx="11">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11.24</c:v>
                </c:pt>
                <c:pt idx="1">
                  <c:v>791.62</c:v>
                </c:pt>
                <c:pt idx="2">
                  <c:v>77.2</c:v>
                </c:pt>
                <c:pt idx="3">
                  <c:v>59.16</c:v>
                </c:pt>
                <c:pt idx="4">
                  <c:v>116.64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14.02</c:v>
                </c:pt>
                <c:pt idx="1">
                  <c:v>872.47</c:v>
                </c:pt>
                <c:pt idx="2">
                  <c:v>79.01</c:v>
                </c:pt>
                <c:pt idx="3">
                  <c:v>59.47</c:v>
                </c:pt>
                <c:pt idx="4">
                  <c:v>81.85</c:v>
                </c:pt>
              </c:numCache>
            </c:numRef>
          </c:val>
        </c:ser>
        <c:dLbls>
          <c:showLegendKey val="0"/>
          <c:showVal val="0"/>
          <c:showCatName val="0"/>
          <c:showSerName val="0"/>
          <c:showPercent val="0"/>
          <c:showBubbleSize val="0"/>
        </c:dLbls>
        <c:gapWidth val="150"/>
        <c:overlap val="0"/>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14.02</c:v>
                </c:pt>
                <c:pt idx="1">
                  <c:v>14.02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2050999</c:v>
                </c:pt>
                <c:pt idx="2">
                  <c:v>205x</c:v>
                </c:pt>
              </c:strCache>
            </c:strRef>
          </c:cat>
          <c:val>
            <c:numRef>
              <c:f>Sheet1!$B$2:$B$4</c:f>
              <c:numCache>
                <c:formatCode>General</c:formatCode>
                <c:ptCount val="3"/>
                <c:pt idx="0">
                  <c:v>866.73</c:v>
                </c:pt>
                <c:pt idx="1">
                  <c:v>5.74</c:v>
                </c:pt>
                <c:pt idx="2">
                  <c:v>872.48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77.2</c:v>
                </c:pt>
                <c:pt idx="1">
                  <c:v>77.2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59.47</c:v>
                </c:pt>
                <c:pt idx="1">
                  <c:v>59.47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85.17</c:v>
                </c:pt>
                <c:pt idx="1">
                  <c:v>85.17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247.85</c:v>
                </c:pt>
                <c:pt idx="1">
                  <c:v>76.78</c:v>
                </c:pt>
                <c:pt idx="2">
                  <c:v>253.88</c:v>
                </c:pt>
                <c:pt idx="3">
                  <c:v>0</c:v>
                </c:pt>
                <c:pt idx="4">
                  <c:v>102.03</c:v>
                </c:pt>
                <c:pt idx="5">
                  <c:v>79.01</c:v>
                </c:pt>
                <c:pt idx="6">
                  <c:v>0</c:v>
                </c:pt>
                <c:pt idx="7">
                  <c:v>32.16</c:v>
                </c:pt>
                <c:pt idx="8">
                  <c:v>0</c:v>
                </c:pt>
                <c:pt idx="9">
                  <c:v>3.99</c:v>
                </c:pt>
                <c:pt idx="10">
                  <c:v>59.47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14.02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10084</Words>
  <Characters>12214</Characters>
  <Lines>90</Lines>
  <Paragraphs>25</Paragraphs>
  <TotalTime>5</TotalTime>
  <ScaleCrop>false</ScaleCrop>
  <LinksUpToDate>false</LinksUpToDate>
  <CharactersWithSpaces>12419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dcterms:modified xsi:type="dcterms:W3CDTF">2025-01-07T01:13:42Z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E5626E5C441E415BA050A6FB7541F4A0_13</vt:lpwstr>
  </property>
  <property fmtid="{D5CDD505-2E9C-101B-9397-08002B2CF9AE}" pid="4" name="KSOTemplateDocerSaveRecord">
    <vt:lpwstr>eyJoZGlkIjoiZDViYzQ0ZTQ5MWNjOTRhNDUyNGYyZTcwYjJiYmZkOGEiLCJ1c2VySWQiOiIzMDEyNTM2MDYifQ==</vt:lpwstr>
  </property>
</Properties>
</file>