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jc w:val="center"/>
        <w:rPr>
          <w:rFonts w:ascii="Times New Roman" w:hAnsi="Times New Roman" w:eastAsia="方正小标宋简体" w:cs="Times New Roman"/>
          <w:b/>
          <w:bCs/>
          <w:kern w:val="0"/>
          <w:sz w:val="48"/>
          <w:szCs w:val="48"/>
        </w:rPr>
      </w:pPr>
      <w:r>
        <w:rPr>
          <w:rFonts w:ascii="Times New Roman" w:hAnsi="Times New Roman" w:eastAsia="方正小标宋简体" w:cs="Times New Roman"/>
          <w:b/>
          <w:bCs/>
          <w:kern w:val="0"/>
          <w:sz w:val="48"/>
          <w:szCs w:val="48"/>
        </w:rPr>
        <w:t>环江毛南族自治县</w:t>
      </w:r>
      <w:r>
        <w:rPr>
          <w:rFonts w:hint="eastAsia" w:ascii="Times New Roman" w:hAnsi="Times New Roman" w:eastAsia="方正小标宋简体" w:cs="Times New Roman"/>
          <w:b/>
          <w:bCs/>
          <w:kern w:val="0"/>
          <w:sz w:val="48"/>
          <w:szCs w:val="48"/>
        </w:rPr>
        <w:t>洛阳镇初级中学</w:t>
      </w:r>
      <w:r>
        <w:rPr>
          <w:rFonts w:hint="eastAsia" w:ascii="Times New Roman" w:hAnsi="Times New Roman" w:eastAsia="方正小标宋简体" w:cs="Times New Roman"/>
          <w:b/>
          <w:bCs/>
          <w:kern w:val="0"/>
          <w:sz w:val="48"/>
          <w:szCs w:val="48"/>
          <w:lang w:eastAsia="zh-CN"/>
        </w:rPr>
        <w:t>2023年</w:t>
      </w:r>
      <w:r>
        <w:rPr>
          <w:rFonts w:ascii="Times New Roman" w:hAnsi="Times New Roman" w:eastAsia="方正小标宋简体" w:cs="Times New Roman"/>
          <w:b/>
          <w:bCs/>
          <w:kern w:val="0"/>
          <w:sz w:val="48"/>
          <w:szCs w:val="48"/>
        </w:rPr>
        <w:t>度部门决算</w:t>
      </w: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ind w:firstLine="2209" w:firstLineChars="500"/>
        <w:rPr>
          <w:rFonts w:hint="default" w:ascii="Times New Roman" w:hAnsi="Times New Roman" w:eastAsia="方正小标宋简体" w:cs="Times New Roman"/>
          <w:b/>
          <w:bCs/>
          <w:kern w:val="0"/>
          <w:sz w:val="44"/>
          <w:szCs w:val="44"/>
          <w:lang w:val="en-US" w:eastAsia="zh-CN"/>
        </w:rPr>
      </w:pPr>
      <w:r>
        <w:rPr>
          <w:rFonts w:hint="eastAsia" w:ascii="Times New Roman" w:hAnsi="Times New Roman" w:eastAsia="方正小标宋简体" w:cs="Times New Roman"/>
          <w:b/>
          <w:bCs/>
          <w:kern w:val="0"/>
          <w:sz w:val="44"/>
          <w:szCs w:val="44"/>
        </w:rPr>
        <w:t>单位负责人：</w:t>
      </w:r>
      <w:r>
        <w:rPr>
          <w:rFonts w:hint="eastAsia" w:ascii="Times New Roman" w:hAnsi="Times New Roman" w:eastAsia="方正小标宋简体" w:cs="Times New Roman"/>
          <w:b/>
          <w:bCs/>
          <w:kern w:val="0"/>
          <w:sz w:val="44"/>
          <w:szCs w:val="44"/>
          <w:lang w:val="en-US" w:eastAsia="zh-CN"/>
        </w:rPr>
        <w:t>罗恒高</w:t>
      </w: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r>
        <w:rPr>
          <w:rFonts w:hint="eastAsia" w:ascii="Times New Roman" w:hAnsi="Times New Roman" w:eastAsia="方正小标宋简体" w:cs="Times New Roman"/>
          <w:b/>
          <w:bCs/>
          <w:kern w:val="0"/>
          <w:sz w:val="44"/>
          <w:szCs w:val="44"/>
        </w:rPr>
        <w:t>202</w:t>
      </w:r>
      <w:r>
        <w:rPr>
          <w:rFonts w:ascii="Times New Roman" w:hAnsi="Times New Roman" w:eastAsia="方正小标宋简体" w:cs="Times New Roman"/>
          <w:b/>
          <w:bCs/>
          <w:kern w:val="0"/>
          <w:sz w:val="44"/>
          <w:szCs w:val="44"/>
        </w:rPr>
        <w:t>3</w:t>
      </w:r>
      <w:r>
        <w:rPr>
          <w:rFonts w:hint="eastAsia" w:ascii="Times New Roman" w:hAnsi="Times New Roman" w:eastAsia="方正小标宋简体" w:cs="Times New Roman"/>
          <w:b/>
          <w:bCs/>
          <w:kern w:val="0"/>
          <w:sz w:val="44"/>
          <w:szCs w:val="44"/>
        </w:rPr>
        <w:t>年</w:t>
      </w:r>
      <w:r>
        <w:rPr>
          <w:rFonts w:hint="eastAsia" w:ascii="Times New Roman" w:hAnsi="Times New Roman" w:eastAsia="方正小标宋简体" w:cs="Times New Roman"/>
          <w:b/>
          <w:bCs/>
          <w:kern w:val="0"/>
          <w:sz w:val="44"/>
          <w:szCs w:val="44"/>
          <w:lang w:val="en-US" w:eastAsia="zh-CN"/>
        </w:rPr>
        <w:t>12</w:t>
      </w:r>
      <w:r>
        <w:rPr>
          <w:rFonts w:hint="eastAsia" w:ascii="Times New Roman" w:hAnsi="Times New Roman" w:eastAsia="方正小标宋简体" w:cs="Times New Roman"/>
          <w:b/>
          <w:bCs/>
          <w:kern w:val="0"/>
          <w:sz w:val="44"/>
          <w:szCs w:val="44"/>
        </w:rPr>
        <w:t>月</w:t>
      </w:r>
      <w:r>
        <w:rPr>
          <w:rFonts w:hint="eastAsia" w:ascii="Times New Roman" w:hAnsi="Times New Roman" w:eastAsia="方正小标宋简体" w:cs="Times New Roman"/>
          <w:b/>
          <w:bCs/>
          <w:kern w:val="0"/>
          <w:sz w:val="44"/>
          <w:szCs w:val="44"/>
          <w:lang w:val="en-US" w:eastAsia="zh-CN"/>
        </w:rPr>
        <w:t>3</w:t>
      </w:r>
      <w:r>
        <w:rPr>
          <w:rFonts w:hint="eastAsia" w:ascii="Times New Roman" w:hAnsi="Times New Roman" w:eastAsia="方正小标宋简体" w:cs="Times New Roman"/>
          <w:b/>
          <w:bCs/>
          <w:kern w:val="0"/>
          <w:sz w:val="44"/>
          <w:szCs w:val="44"/>
        </w:rPr>
        <w:t>日</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表一：收入支出决算总表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表二：收入决算表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表三：支出决算表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表四：财政拨款收入支出决算总表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表五：一般公共预算财政拨款支出决算表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表六：一般公共预算财政拨款基本支出决算明细表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表七：政府性基金预算财政拨款收入支出决算表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表八：国有资本经营预算财政拨款支出决算表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度收入支出决算总体情况。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w:t>
      </w:r>
      <w:r>
        <w:rPr>
          <w:rFonts w:hint="eastAsia" w:ascii="仿宋" w:hAnsi="仿宋" w:eastAsia="仿宋" w:cs="仿宋"/>
          <w:sz w:val="32"/>
          <w:szCs w:val="32"/>
          <w:highlight w:val="none"/>
        </w:rPr>
        <w:t>一般</w:t>
      </w:r>
      <w:r>
        <w:rPr>
          <w:rFonts w:hint="eastAsia" w:ascii="仿宋" w:hAnsi="仿宋" w:eastAsia="仿宋" w:cs="仿宋"/>
          <w:kern w:val="0"/>
          <w:sz w:val="32"/>
          <w:szCs w:val="32"/>
          <w:highlight w:val="none"/>
        </w:rPr>
        <w:t>公共预算财政拨款支出决算情况。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度一般公共预算财政拨款基本支出决算情况说明。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度政府性基金支出决算情况。</w:t>
      </w:r>
    </w:p>
    <w:p>
      <w:pPr>
        <w:autoSpaceDE w:val="0"/>
        <w:autoSpaceDN w:val="0"/>
        <w:adjustRightInd w:val="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五、</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度国有资本经营预算支出决算情况</w:t>
      </w:r>
      <w:r>
        <w:rPr>
          <w:rFonts w:hint="eastAsia" w:ascii="仿宋" w:hAnsi="仿宋" w:eastAsia="仿宋" w:cs="仿宋"/>
          <w:kern w:val="0"/>
          <w:sz w:val="32"/>
          <w:szCs w:val="32"/>
          <w:highlight w:val="none"/>
          <w:lang w:eastAsia="zh-CN"/>
        </w:rPr>
        <w:t>。</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六、财政拨款“三公”经费支出决算情况说明。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七、其他重要事项情况说明。</w:t>
      </w:r>
    </w:p>
    <w:p>
      <w:pPr>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八、预算绩效管理工作开展情况</w:t>
      </w:r>
      <w:r>
        <w:rPr>
          <w:rFonts w:hint="eastAsia" w:ascii="仿宋" w:hAnsi="仿宋" w:eastAsia="仿宋" w:cs="仿宋"/>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环江毛南族自治县洛阳镇初级中学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（一）宣传贯彻执行党和国家的教育方针、教育政策、教育法律和法规，贯彻执行上级教育行政部门门的各项规章制度。</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（二）在政府和上级教育主管部门的领导下，争取资金改善办学条件，为师生的学习和工作提供优美和谐的环境。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）积极办好初中教育，扶持民办教育，加强职业技术教育，促进各类教育协调发展。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）按照上级有关部门的规定，负责对学校的财务和项目建设进行管理，负责核算和发放教职工工资。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）按照九年义务教育课程计划，开齐课程，开足课时，认真实施中学的教育教学管理，全面推进素质教育，全面提高教育教学质量。</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）组织开展学习的教育教学科研和教育教学改革，以科学的发展观和以人为本的管理理念注重学生的全面发展。</w:t>
      </w:r>
    </w:p>
    <w:p>
      <w:pPr>
        <w:jc w:val="left"/>
        <w:rPr>
          <w:rFonts w:ascii="仿宋" w:hAnsi="仿宋" w:eastAsia="仿宋" w:cs="仿宋"/>
          <w:sz w:val="32"/>
          <w:szCs w:val="32"/>
          <w:highlight w:val="none"/>
        </w:rPr>
      </w:pPr>
      <w:bookmarkStart w:id="5" w:name="_GoBack"/>
      <w:bookmarkEnd w:id="5"/>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（一）部门内设机构（处室）的数量、名称、职能等；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我校设有个9处室，分别为：行政办公室、党支部、政教处、教务处、语言文字办公室、工会办公室、资助办公室、财务室、总务处。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（二）部门所属单位的数量、名称、单位性质、单位职能等。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我校有6个教研组，分别为：语文教研组、数学教研组、英语教研组、综合教研组、理化教研组、图音体教研组。</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jc w:val="center"/>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：收入支出决算总表</w:t>
      </w: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6"/>
        <w:gridCol w:w="656"/>
        <w:gridCol w:w="3429"/>
        <w:gridCol w:w="3628"/>
        <w:gridCol w:w="54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2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c>
          <w:tcPr>
            <w:tcW w:w="362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1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2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7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6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2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2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7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4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6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9"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9"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w:t>
      </w:r>
      <w:r>
        <w:rPr>
          <w:rFonts w:hint="eastAsia" w:ascii="仿宋" w:hAnsi="仿宋" w:eastAsia="仿宋" w:cs="仿宋"/>
          <w:sz w:val="24"/>
          <w:highlight w:val="none"/>
        </w:rPr>
        <w:t>决算表</w:t>
      </w:r>
    </w:p>
    <w:p>
      <w:pPr>
        <w:jc w:val="center"/>
        <w:rPr>
          <w:rFonts w:ascii="仿宋" w:hAnsi="仿宋" w:eastAsia="仿宋" w:cs="仿宋"/>
          <w:sz w:val="24"/>
          <w:highlight w:val="none"/>
        </w:rPr>
      </w:pP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222"/>
        <w:gridCol w:w="222"/>
        <w:gridCol w:w="3736"/>
        <w:gridCol w:w="1194"/>
        <w:gridCol w:w="1194"/>
        <w:gridCol w:w="668"/>
        <w:gridCol w:w="575"/>
        <w:gridCol w:w="575"/>
        <w:gridCol w:w="760"/>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7"/>
        <w:gridCol w:w="611"/>
        <w:gridCol w:w="222"/>
        <w:gridCol w:w="3736"/>
        <w:gridCol w:w="1242"/>
        <w:gridCol w:w="1103"/>
        <w:gridCol w:w="951"/>
        <w:gridCol w:w="790"/>
        <w:gridCol w:w="648"/>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06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1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81"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c>
          <w:tcPr>
            <w:tcW w:w="9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06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1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3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9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3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63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1,778.26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1,422.63</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355.64</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1,048.58</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347.31</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8"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ascii="仿宋" w:hAnsi="仿宋" w:eastAsia="仿宋" w:cs="仿宋"/>
          <w:sz w:val="24"/>
          <w:highlight w:val="none"/>
        </w:rPr>
      </w:pP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1"/>
        <w:gridCol w:w="729"/>
        <w:gridCol w:w="1190"/>
        <w:gridCol w:w="3568"/>
        <w:gridCol w:w="566"/>
        <w:gridCol w:w="1121"/>
        <w:gridCol w:w="1344"/>
        <w:gridCol w:w="1012"/>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31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45" w:type="dxa"/>
            <w:gridSpan w:val="4"/>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c>
          <w:tcPr>
            <w:tcW w:w="13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5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11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5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7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0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1,407.04</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1,407.04</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3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1,778.26</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2681"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397"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1"/>
        <w:gridCol w:w="258"/>
        <w:gridCol w:w="244"/>
        <w:gridCol w:w="4815"/>
        <w:gridCol w:w="1394"/>
        <w:gridCol w:w="1430"/>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74" w:type="pct"/>
            <w:gridSpan w:val="5"/>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c>
          <w:tcPr>
            <w:tcW w:w="6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60"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17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0"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0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6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66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1,778.26</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1,422.63</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1,395.89</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1,048.58</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132.97</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4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3326"/>
        <w:gridCol w:w="1191"/>
        <w:gridCol w:w="866"/>
        <w:gridCol w:w="2314"/>
        <w:gridCol w:w="995"/>
        <w:gridCol w:w="771"/>
        <w:gridCol w:w="3292"/>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7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755" w:type="dxa"/>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c>
          <w:tcPr>
            <w:tcW w:w="8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2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9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119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9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8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7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1,330.02</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410.04</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89.26</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366.32</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126.34</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51.17</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47.64</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2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9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1,405.47</w:t>
            </w:r>
          </w:p>
        </w:tc>
        <w:tc>
          <w:tcPr>
            <w:tcW w:w="8238"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67"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9"/>
        <w:gridCol w:w="279"/>
        <w:gridCol w:w="279"/>
        <w:gridCol w:w="1847"/>
        <w:gridCol w:w="1450"/>
        <w:gridCol w:w="1450"/>
        <w:gridCol w:w="1450"/>
        <w:gridCol w:w="1448"/>
        <w:gridCol w:w="1216"/>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28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070" w:type="dxa"/>
            <w:gridSpan w:val="5"/>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c>
          <w:tcPr>
            <w:tcW w:w="12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843"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4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4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4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4"/>
        <w:gridCol w:w="453"/>
        <w:gridCol w:w="453"/>
        <w:gridCol w:w="2238"/>
        <w:gridCol w:w="2535"/>
        <w:gridCol w:w="2535"/>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44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219" w:type="dxa"/>
            <w:gridSpan w:val="5"/>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c>
          <w:tcPr>
            <w:tcW w:w="24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0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4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2869"/>
        <w:gridCol w:w="657"/>
        <w:gridCol w:w="1073"/>
        <w:gridCol w:w="1240"/>
        <w:gridCol w:w="907"/>
        <w:gridCol w:w="657"/>
        <w:gridCol w:w="1568"/>
        <w:gridCol w:w="657"/>
        <w:gridCol w:w="852"/>
        <w:gridCol w:w="974"/>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8"/>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部门：环江毛南族自治县洛阳镇初级中学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val="en-US" w:eastAsia="zh-CN"/>
        </w:rPr>
        <w:t>1778.26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263.06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仿宋" w:hAnsi="仿宋" w:eastAsia="仿宋" w:cs="仿宋"/>
          <w:sz w:val="32"/>
          <w:u w:color="auto"/>
          <w:lang w:val="en-US" w:eastAsia="zh-CN"/>
        </w:rPr>
        <w:t>17.63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1778.26</w:t>
      </w:r>
      <w:r>
        <w:rPr>
          <w:rFonts w:hint="eastAsia" w:ascii="仿宋" w:hAnsi="仿宋" w:eastAsia="仿宋" w:cs="仿宋"/>
          <w:sz w:val="32"/>
          <w:szCs w:val="32"/>
          <w:highlight w:val="none"/>
        </w:rPr>
        <w:t>万元。收入具体情况如下。</w:t>
      </w:r>
    </w:p>
    <w:p>
      <w:pPr>
        <w:ind w:firstLine="640" w:firstLineChars="200"/>
        <w:jc w:val="left"/>
        <w:rPr>
          <w:rFonts w:hint="default"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eastAsia="zh-CN"/>
        </w:rPr>
        <w:t>1778.26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263.06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17.63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bidi="ar"/>
          <w14:textFill>
            <w14:solidFill>
              <w14:schemeClr w14:val="tx1"/>
            </w14:solidFill>
          </w14:textFill>
        </w:rPr>
        <w:t>教师社保、公积金基数调整提升、教师晋岗、进薪级工资提高。</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color w:val="auto"/>
          <w:kern w:val="2"/>
          <w:sz w:val="32"/>
          <w:szCs w:val="32"/>
          <w:highlight w:val="none"/>
          <w:lang w:val="en-US" w:eastAsia="zh-CN" w:bidi="ar"/>
        </w:rPr>
        <w:t>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eastAsia="zh-CN"/>
        </w:rPr>
        <w:t>1778.26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eastAsia="zh-CN"/>
        </w:rPr>
        <w:t>1778.26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增加263.06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仿宋" w:hAnsi="仿宋" w:eastAsia="仿宋" w:cs="仿宋"/>
          <w:sz w:val="32"/>
          <w:u w:color="auto"/>
          <w:lang w:val="en-US" w:eastAsia="zh-CN"/>
        </w:rPr>
        <w:t>17.36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17.16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教师工会经费活动支出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14:textFill>
            <w14:solidFill>
              <w14:schemeClr w14:val="tx1"/>
            </w14:solidFill>
          </w14:textFill>
        </w:rPr>
        <w:t>教师晋岗、晋薪级，工资提高。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1407.04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人员基本工资，商品服务支出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259.59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仿宋" w:hAnsi="仿宋" w:eastAsia="仿宋" w:cs="仿宋"/>
          <w:sz w:val="32"/>
          <w:szCs w:val="32"/>
          <w:highlight w:val="none"/>
          <w:lang w:val="en-US" w:eastAsia="zh-CN" w:bidi="ar"/>
        </w:rPr>
        <w:t>0.22.62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主要原因是：教师晋岗、晋薪级，工资提高。</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126.34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单位基本养老缴费和社保费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16.86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仿宋" w:hAnsi="仿宋" w:eastAsia="仿宋" w:cs="仿宋"/>
          <w:sz w:val="32"/>
          <w:szCs w:val="32"/>
          <w:highlight w:val="none"/>
          <w:lang w:val="en-US" w:eastAsia="zh-CN" w:bidi="ar"/>
        </w:rPr>
        <w:t>15.40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bookmarkStart w:id="0" w:name="_Hlk151050303"/>
      <w:r>
        <w:rPr>
          <w:rFonts w:hint="eastAsia" w:ascii="仿宋" w:hAnsi="仿宋" w:eastAsia="仿宋" w:cs="仿宋"/>
          <w:color w:val="000000" w:themeColor="text1"/>
          <w:sz w:val="32"/>
          <w:szCs w:val="32"/>
          <w:lang w:bidi="ar"/>
          <w14:textFill>
            <w14:solidFill>
              <w14:schemeClr w14:val="tx1"/>
            </w14:solidFill>
          </w14:textFill>
        </w:rPr>
        <w:t>教师</w:t>
      </w:r>
      <w:bookmarkEnd w:id="0"/>
      <w:r>
        <w:rPr>
          <w:rFonts w:hint="eastAsia" w:ascii="仿宋" w:hAnsi="仿宋" w:eastAsia="仿宋" w:cs="仿宋"/>
          <w:color w:val="000000" w:themeColor="text1"/>
          <w:sz w:val="32"/>
          <w:szCs w:val="32"/>
          <w:lang w:val="en-US" w:eastAsia="zh-CN" w:bidi="ar"/>
          <w14:textFill>
            <w14:solidFill>
              <w14:schemeClr w14:val="tx1"/>
            </w14:solidFill>
          </w14:textFill>
        </w:rPr>
        <w:t>社保基数上调。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lang w:val="en-US"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94.75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rPr>
        <w:t>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12.78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15.59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2023年公积金基数上调。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132.97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主要用于</w:t>
      </w:r>
      <w:r>
        <w:rPr>
          <w:rFonts w:hint="eastAsia" w:ascii="仿宋" w:hAnsi="仿宋" w:eastAsia="仿宋" w:cs="仿宋"/>
          <w:color w:val="000000" w:themeColor="text1"/>
          <w:sz w:val="32"/>
          <w:szCs w:val="32"/>
          <w:lang w:val="en-US" w:eastAsia="zh-CN" w:bidi="ar"/>
          <w14:textFill>
            <w14:solidFill>
              <w14:schemeClr w14:val="tx1"/>
            </w14:solidFill>
          </w14:textFill>
        </w:rPr>
        <w:t>部分</w:t>
      </w:r>
      <w:r>
        <w:rPr>
          <w:rFonts w:hint="eastAsia" w:ascii="仿宋" w:hAnsi="仿宋" w:eastAsia="仿宋" w:cs="仿宋"/>
          <w:color w:val="000000" w:themeColor="text1"/>
          <w:sz w:val="32"/>
          <w:szCs w:val="32"/>
          <w:lang w:bidi="ar"/>
          <w14:textFill>
            <w14:solidFill>
              <w14:schemeClr w14:val="tx1"/>
            </w14:solidFill>
          </w14:textFill>
        </w:rPr>
        <w:t>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28.07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17.43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有老师调出、新增退休人员。</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结余分配0.00万元，为事业单位按规定提取的专用结余、缴纳所得税和转入非财政拨款结余等。较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决算0.00万元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增加0.00万元，增长0%，</w:t>
      </w:r>
      <w:r>
        <w:rPr>
          <w:rFonts w:hint="eastAsia" w:ascii="仿宋" w:hAnsi="仿宋" w:eastAsia="仿宋" w:cs="仿宋"/>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：部分项目</w:t>
      </w:r>
      <w:bookmarkStart w:id="1"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1"/>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eastAsia="zh-CN"/>
        </w:rPr>
        <w:t>1778.26</w:t>
      </w:r>
      <w:r>
        <w:rPr>
          <w:rFonts w:hint="eastAsia" w:ascii="仿宋" w:hAnsi="仿宋" w:eastAsia="仿宋" w:cs="仿宋"/>
          <w:sz w:val="32"/>
          <w:szCs w:val="32"/>
          <w:highlight w:val="none"/>
        </w:rPr>
        <w:t>万元，较2022年度决算数增加263.06万元，上升17.36%。其中：基本支出</w:t>
      </w:r>
      <w:r>
        <w:rPr>
          <w:rFonts w:hint="eastAsia" w:ascii="仿宋" w:hAnsi="仿宋" w:eastAsia="仿宋" w:cs="仿宋"/>
          <w:sz w:val="32"/>
          <w:u w:color="auto"/>
          <w:lang w:val="en-US" w:eastAsia="zh-CN"/>
        </w:rPr>
        <w:t>1422.63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355.64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1234.61</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eastAsia="zh-CN"/>
        </w:rPr>
        <w:t>1778.26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144.03</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hint="eastAsia"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rPr>
          <w:rFonts w:hint="eastAsia" w:ascii="仿宋" w:hAnsi="仿宋" w:eastAsia="仿宋"/>
          <w:sz w:val="32"/>
          <w:szCs w:val="32"/>
          <w:highlight w:val="none"/>
        </w:rPr>
      </w:pPr>
      <w:r>
        <w:rPr>
          <w:rFonts w:hint="eastAsia" w:ascii="仿宋" w:hAnsi="仿宋" w:eastAsia="仿宋"/>
          <w:sz w:val="32"/>
          <w:szCs w:val="32"/>
          <w:highlight w:val="none"/>
        </w:rPr>
        <w:br w:type="page"/>
      </w:r>
    </w:p>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15.25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17.16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rPr>
        <w:t>预决算存在没有差异。</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96435" cy="3617595"/>
            <wp:effectExtent l="4445" t="4445" r="10160" b="508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numPr>
          <w:ilvl w:val="0"/>
          <w:numId w:val="1"/>
        </w:numPr>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_GB2312"/>
          <w:sz w:val="32"/>
          <w:szCs w:val="32"/>
          <w:lang w:val="en-US" w:eastAsia="zh-CN"/>
        </w:rPr>
        <w:t>967.26</w:t>
      </w:r>
      <w:r>
        <w:rPr>
          <w:rFonts w:hint="eastAsia" w:ascii="仿宋" w:hAnsi="仿宋" w:eastAsia="仿宋"/>
          <w:sz w:val="32"/>
          <w:szCs w:val="32"/>
          <w:highlight w:val="none"/>
        </w:rPr>
        <w:t>万元，支出决算为1407.04万元，完成年初预算的</w:t>
      </w:r>
      <w:r>
        <w:rPr>
          <w:rFonts w:hint="eastAsia" w:ascii="仿宋" w:hAnsi="仿宋" w:eastAsia="仿宋"/>
          <w:sz w:val="32"/>
          <w:szCs w:val="32"/>
          <w:highlight w:val="none"/>
          <w:lang w:val="en-US" w:eastAsia="zh-CN"/>
        </w:rPr>
        <w:t>145.46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原因是：一是该类支出部分资金上级部门每年都有预算，直接下达，本部门无需做预算，</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bidi="ar"/>
          <w14:textFill>
            <w14:solidFill>
              <w14:schemeClr w14:val="tx1"/>
            </w14:solidFill>
          </w14:textFill>
        </w:rPr>
        <w:t>教师岗位、薪级晋升，工资提高</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14"/>
        <w:gridCol w:w="1114"/>
        <w:gridCol w:w="858"/>
        <w:gridCol w:w="874"/>
        <w:gridCol w:w="1628"/>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2050202</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小学教育</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1.07</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营养膳食补助</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补付2022年12月营养餐补助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2050203</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初中教育</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913.35</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1395.89</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152.83%</w:t>
            </w: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工资等发放</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olor w:val="000000" w:themeColor="text1"/>
                <w:sz w:val="18"/>
                <w:szCs w:val="18"/>
                <w:highlight w:val="none"/>
                <w:lang w:val="en-US" w:eastAsia="zh-CN"/>
                <w14:textFill>
                  <w14:solidFill>
                    <w14:schemeClr w14:val="tx1"/>
                  </w14:solidFill>
                </w14:textFill>
              </w:rPr>
              <w:t>一是该类支出部分资金上级部门每年都有预算，直接下达，本部门无需做预算，二是</w:t>
            </w:r>
            <w:r>
              <w:rPr>
                <w:rFonts w:hint="eastAsia" w:ascii="仿宋" w:hAnsi="仿宋" w:eastAsia="仿宋" w:cs="仿宋"/>
                <w:color w:val="000000" w:themeColor="text1"/>
                <w:szCs w:val="21"/>
                <w:lang w:val="en-US" w:eastAsia="zh-CN"/>
                <w14:textFill>
                  <w14:solidFill>
                    <w14:schemeClr w14:val="tx1"/>
                  </w14:solidFill>
                </w14:textFill>
              </w:rPr>
              <w:t>教师晋岗、晋薪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2050299</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其他普通教育支出</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7.07</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用于学校</w:t>
            </w:r>
            <w:r>
              <w:rPr>
                <w:rFonts w:hint="eastAsia" w:ascii="仿宋" w:hAnsi="仿宋" w:eastAsia="仿宋" w:cs="仿宋"/>
                <w:color w:val="000000" w:themeColor="text1"/>
                <w:szCs w:val="21"/>
                <w:lang w:val="en-US" w:eastAsia="zh-CN"/>
                <w14:textFill>
                  <w14:solidFill>
                    <w14:schemeClr w14:val="tx1"/>
                  </w14:solidFill>
                </w14:textFill>
              </w:rPr>
              <w:t>水费、电费、津贴补贴</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年中</w:t>
            </w:r>
            <w:r>
              <w:rPr>
                <w:rFonts w:hint="eastAsia" w:ascii="仿宋" w:hAnsi="仿宋" w:eastAsia="仿宋" w:cs="仿宋"/>
                <w:color w:val="000000" w:themeColor="text1"/>
                <w:szCs w:val="21"/>
                <w:lang w:val="en-US" w:eastAsia="zh-CN"/>
                <w14:textFill>
                  <w14:solidFill>
                    <w14:schemeClr w14:val="tx1"/>
                  </w14:solidFill>
                </w14:textFill>
              </w:rPr>
              <w:t>预算</w:t>
            </w:r>
            <w:r>
              <w:rPr>
                <w:rFonts w:hint="eastAsia" w:ascii="仿宋" w:hAnsi="仿宋" w:eastAsia="仿宋" w:cs="仿宋"/>
                <w:color w:val="000000" w:themeColor="text1"/>
                <w:szCs w:val="21"/>
                <w14:textFill>
                  <w14:solidFill>
                    <w14:schemeClr w14:val="tx1"/>
                  </w14:solidFill>
                </w14:textFill>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2050701</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26"/>
              </w:tabs>
              <w:spacing w:before="0" w:beforeAutospacing="0" w:after="0" w:afterAutospacing="0"/>
              <w:ind w:left="0" w:right="0"/>
              <w:jc w:val="left"/>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特殊学校教育</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2.28</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用于支付学校办公费</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2050999</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其他教育费附加安排的支出</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0.72</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w:t>
            </w:r>
            <w:r>
              <w:rPr>
                <w:rFonts w:hint="eastAsia" w:ascii="仿宋" w:hAnsi="仿宋" w:eastAsia="仿宋" w:cs="仿宋"/>
                <w:color w:val="000000" w:themeColor="text1"/>
                <w:szCs w:val="21"/>
                <w:lang w:val="en-US" w:eastAsia="zh-CN"/>
                <w14:textFill>
                  <w14:solidFill>
                    <w14:schemeClr w14:val="tx1"/>
                  </w14:solidFill>
                </w14:textFill>
              </w:rPr>
              <w:t>协管员工资</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合计数</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913.35</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1407.03</w:t>
            </w:r>
          </w:p>
        </w:tc>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6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690745" cy="3563620"/>
            <wp:effectExtent l="4445" t="5080" r="13970" b="1270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ind w:left="0" w:leftChars="0" w:firstLine="420" w:firstLineChars="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类）年初预算为143.96万元，支出决算为126.34万元，完成年初预算的</w:t>
      </w:r>
      <w:r>
        <w:rPr>
          <w:rFonts w:hint="eastAsia" w:ascii="仿宋" w:hAnsi="仿宋" w:eastAsia="仿宋"/>
          <w:sz w:val="32"/>
          <w:szCs w:val="32"/>
          <w:highlight w:val="none"/>
          <w:lang w:val="en-US" w:eastAsia="zh-CN"/>
        </w:rPr>
        <w:t>87.76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教师调出到县城学校，</w:t>
      </w:r>
      <w:r>
        <w:rPr>
          <w:rFonts w:hint="eastAsia" w:ascii="仿宋" w:hAnsi="仿宋" w:eastAsia="仿宋" w:cs="仿宋"/>
          <w:color w:val="000000" w:themeColor="text1"/>
          <w:sz w:val="32"/>
          <w:szCs w:val="32"/>
          <w:lang w:val="en-US" w:eastAsia="zh-CN" w:bidi="ar"/>
          <w14:textFill>
            <w14:solidFill>
              <w14:schemeClr w14:val="tx1"/>
            </w14:solidFill>
          </w14:textFill>
        </w:rPr>
        <w:t>有退休教师</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143.96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教师调出到县城学校，</w:t>
            </w:r>
            <w:r>
              <w:rPr>
                <w:rFonts w:hint="eastAsia" w:ascii="仿宋" w:hAnsi="仿宋" w:eastAsia="仿宋" w:cs="仿宋"/>
                <w:color w:val="000000" w:themeColor="text1"/>
                <w:sz w:val="21"/>
                <w:szCs w:val="21"/>
                <w:lang w:val="en-US" w:eastAsia="zh-CN" w:bidi="ar"/>
                <w14:textFill>
                  <w14:solidFill>
                    <w14:schemeClr w14:val="tx1"/>
                  </w14:solidFill>
                </w14:textFill>
              </w:rPr>
              <w:t>有退休教师。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143.96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107.22</w:t>
      </w:r>
      <w:r>
        <w:rPr>
          <w:rFonts w:hint="eastAsia" w:ascii="仿宋" w:hAnsi="仿宋" w:eastAsia="仿宋"/>
          <w:sz w:val="32"/>
          <w:szCs w:val="32"/>
          <w:highlight w:val="none"/>
        </w:rPr>
        <w:t>万元，支出决算为94.75万元，完成年初预算的</w:t>
      </w:r>
      <w:r>
        <w:rPr>
          <w:rFonts w:hint="eastAsia" w:ascii="仿宋" w:hAnsi="仿宋" w:eastAsia="仿宋"/>
          <w:sz w:val="32"/>
          <w:szCs w:val="32"/>
          <w:highlight w:val="none"/>
          <w:lang w:val="en-US" w:eastAsia="zh-CN"/>
        </w:rPr>
        <w:t>88.36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教师调出，</w:t>
      </w:r>
      <w:r>
        <w:rPr>
          <w:rFonts w:hint="eastAsia" w:ascii="仿宋" w:hAnsi="仿宋" w:eastAsia="仿宋" w:cs="仿宋"/>
          <w:color w:val="000000" w:themeColor="text1"/>
          <w:sz w:val="32"/>
          <w:szCs w:val="32"/>
          <w:lang w:val="en-US" w:eastAsia="zh-CN" w:bidi="ar"/>
          <w14:textFill>
            <w14:solidFill>
              <w14:schemeClr w14:val="tx1"/>
            </w14:solidFill>
          </w14:textFill>
        </w:rPr>
        <w:t>退休老师增多。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教师调出到县城学校，</w:t>
            </w:r>
            <w:r>
              <w:rPr>
                <w:rFonts w:hint="eastAsia" w:ascii="仿宋" w:hAnsi="仿宋" w:eastAsia="仿宋" w:cs="仿宋"/>
                <w:color w:val="000000" w:themeColor="text1"/>
                <w:sz w:val="21"/>
                <w:szCs w:val="21"/>
                <w:lang w:val="en-US" w:eastAsia="zh-CN" w:bidi="ar"/>
                <w14:textFill>
                  <w14:solidFill>
                    <w14:schemeClr w14:val="tx1"/>
                  </w14:solidFill>
                </w14:textFill>
              </w:rPr>
              <w:t>有退休教师。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jc w:val="center"/>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万元，支出决算为132.97万元，完成年初预算的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2023年其他支出没有做预算。</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支付政府绩效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支付政府绩效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szCs w:val="32"/>
          <w:highlight w:val="none"/>
          <w:lang w:val="en-US" w:eastAsia="zh-CN"/>
        </w:rPr>
        <w:t>1422.63</w:t>
      </w:r>
      <w:r>
        <w:rPr>
          <w:rFonts w:hint="eastAsia" w:ascii="仿宋" w:hAnsi="仿宋" w:eastAsia="仿宋" w:cs="仿宋"/>
          <w:sz w:val="32"/>
          <w:szCs w:val="32"/>
          <w:highlight w:val="none"/>
        </w:rPr>
        <w:t>万元，其中：人员经费支出</w:t>
      </w:r>
      <w:r>
        <w:rPr>
          <w:rFonts w:hint="eastAsia" w:ascii="仿宋" w:hAnsi="仿宋" w:eastAsia="仿宋" w:cs="仿宋"/>
          <w:sz w:val="32"/>
          <w:szCs w:val="32"/>
          <w:highlight w:val="none"/>
          <w:lang w:val="en-US" w:eastAsia="zh-CN"/>
        </w:rPr>
        <w:t>1405.47</w:t>
      </w:r>
      <w:r>
        <w:rPr>
          <w:rFonts w:hint="eastAsia" w:ascii="仿宋" w:hAnsi="仿宋" w:eastAsia="仿宋" w:cs="仿宋"/>
          <w:sz w:val="32"/>
          <w:szCs w:val="32"/>
          <w:highlight w:val="none"/>
        </w:rPr>
        <w:t>万元，公用经费支出</w:t>
      </w:r>
      <w:r>
        <w:rPr>
          <w:rFonts w:hint="eastAsia" w:ascii="仿宋" w:hAnsi="仿宋" w:eastAsia="仿宋" w:cs="仿宋"/>
          <w:sz w:val="32"/>
          <w:szCs w:val="32"/>
          <w:highlight w:val="none"/>
          <w:lang w:val="en-US" w:eastAsia="zh-CN"/>
        </w:rPr>
        <w:t>17.16</w:t>
      </w:r>
      <w:r>
        <w:rPr>
          <w:rFonts w:hint="eastAsia" w:ascii="仿宋" w:hAnsi="仿宋" w:eastAsia="仿宋" w:cs="仿宋"/>
          <w:sz w:val="32"/>
          <w:szCs w:val="32"/>
          <w:highlight w:val="none"/>
        </w:rPr>
        <w:t>万元，支出具体情况如下：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1330.02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114.98</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主要原因是：部分资金由上级部门做预算直接下达，本部门无需做预算。</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410.04万元，30102津贴补贴89.26万元，30103奖金366.32万元，30107绩效工资185.77万元，30108机关事业单位基本养老保险缴费126.34万元，30110职工基本医疗保险缴费51.17万元，30112其他社会保障缴费6.36万元，30113住房公积金94.75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17.16</w:t>
      </w:r>
      <w:r>
        <w:rPr>
          <w:rFonts w:ascii="仿宋" w:hAnsi="仿宋" w:eastAsia="仿宋" w:cs="仿宋"/>
          <w:sz w:val="32"/>
          <w:u w:color="auto"/>
        </w:rPr>
        <w:t>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预决算无差异。</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30201办公费0万元，30205水费0万元，30206电费0万元，30207邮电费0万元，30211差旅费0万元，30213维修（护）费0万元，30228工会经费17.16万元，30299其他商品和服务支出0万元。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150.91</w:t>
      </w:r>
      <w:r>
        <w:rPr>
          <w:rFonts w:ascii="仿宋" w:hAnsi="仿宋" w:eastAsia="仿宋" w:cs="仿宋"/>
          <w:sz w:val="32"/>
          <w:u w:color="auto"/>
        </w:rPr>
        <w:t>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主要原因是：抚恤金、遗属补助、助学金、生活补助没有年初预算，本单位有去世老师。</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30304抚恤金27.78万元，30305生活补助47.64万元，30308助学金0万元，30399其他对个人和家庭的补助0.04万元。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因是：</w:t>
      </w:r>
      <w:r>
        <w:rPr>
          <w:rFonts w:hint="eastAsia" w:ascii="仿宋" w:hAnsi="仿宋" w:eastAsia="仿宋" w:cs="仿宋"/>
          <w:color w:val="000000" w:themeColor="text1"/>
          <w:sz w:val="32"/>
          <w:szCs w:val="32"/>
          <w:lang w:bidi="ar"/>
          <w14:textFill>
            <w14:solidFill>
              <w14:schemeClr w14:val="tx1"/>
            </w14:solidFill>
          </w14:textFill>
        </w:rPr>
        <w:t>本单位无债务利息及费用支出</w:t>
      </w:r>
      <w:r>
        <w:rPr>
          <w:rFonts w:hint="eastAsia" w:ascii="仿宋" w:hAnsi="仿宋" w:eastAsia="仿宋" w:cs="仿宋"/>
          <w:color w:val="000000" w:themeColor="text1"/>
          <w:sz w:val="32"/>
          <w:szCs w:val="32"/>
          <w:lang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76420" cy="2595880"/>
            <wp:effectExtent l="4445" t="4445" r="8255" b="57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numPr>
          <w:ilvl w:val="0"/>
          <w:numId w:val="2"/>
        </w:numPr>
        <w:ind w:left="0" w:leftChars="0" w:firstLine="42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w:t>
      </w:r>
      <w:r>
        <w:rPr>
          <w:rFonts w:hint="default" w:ascii="仿宋" w:hAnsi="仿宋" w:eastAsia="仿宋" w:cs="仿宋"/>
          <w:sz w:val="32"/>
          <w:szCs w:val="32"/>
          <w:highlight w:val="none"/>
          <w:lang w:val="en-US" w:eastAsia="zh-CN"/>
        </w:rPr>
        <w:t>本单位无</w:t>
      </w:r>
      <w:r>
        <w:rPr>
          <w:rFonts w:hint="eastAsia" w:ascii="仿宋" w:hAnsi="仿宋" w:eastAsia="仿宋" w:cs="仿宋"/>
          <w:sz w:val="32"/>
          <w:szCs w:val="32"/>
          <w:highlight w:val="none"/>
          <w:lang w:val="en-US" w:eastAsia="zh-CN"/>
        </w:rPr>
        <w:t>资本性</w:t>
      </w:r>
      <w:r>
        <w:rPr>
          <w:rFonts w:hint="default" w:ascii="仿宋" w:hAnsi="仿宋" w:eastAsia="仿宋" w:cs="仿宋"/>
          <w:sz w:val="32"/>
          <w:szCs w:val="32"/>
          <w:highlight w:val="none"/>
          <w:lang w:val="en-US" w:eastAsia="zh-CN"/>
        </w:rPr>
        <w:t>支出。</w:t>
      </w: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w:t>
      </w:r>
      <w:r>
        <w:rPr>
          <w:rFonts w:hint="eastAsia" w:ascii="仿宋" w:hAnsi="仿宋" w:eastAsia="仿宋" w:cs="仿宋"/>
          <w:sz w:val="32"/>
          <w:szCs w:val="32"/>
          <w:highlight w:val="none"/>
        </w:rPr>
        <w:t>本单位无其他支出。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28820" cy="2934970"/>
            <wp:effectExtent l="4445" t="4445" r="8255" b="1714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环江毛南族自治县洛阳镇初级中学没有政府性基金收入，也没有政府性基金收入安排的支出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rPr>
        <w:t>环江毛南族自治县洛阳镇初级中学没有国有资本经营预算收入，也没有国有资本经营预算收入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本单位无“三公”经费支出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原因是：本单位无出国（境）费支出。</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本单位无公务用车购置及运行维护费。</w:t>
      </w:r>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14:textFill>
            <w14:solidFill>
              <w14:schemeClr w14:val="tx1"/>
            </w14:solidFill>
          </w14:textFill>
        </w:rPr>
        <w:t>本单位无公务车运行维护支出。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rPr>
        <w:t>本单位无机关运行经费支出。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604.37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33.99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604.37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99.88</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分。发现的主要问题及原因：一是执行率低；二是没有协调好年初预算。下一步改进措施：一是做好年初预算；二是充分实施项目，提高执行率和效率。特岗教师工资项目自评得分为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分。发现的主要问题及原因：师资队伍不稳定。下一步改进措施：加大项目投入。义务教育阶段家庭经济困难学生生活自治区补助资金项目自评得分为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99.98</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分。发现的主要问题及原因：一是学生人数不定；二是入学率低。下一步改进措施：一是做好年中调整；二是保障就读资源。自治区乡村教师生活补助项目自评得分为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95.62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教师有调入县城的情况</w:t>
      </w:r>
      <w:r>
        <w:rPr>
          <w:rFonts w:hint="eastAsia" w:ascii="仿宋" w:hAnsi="仿宋" w:eastAsia="仿宋" w:cs="仿宋"/>
          <w:color w:val="000000" w:themeColor="text1"/>
          <w:sz w:val="32"/>
          <w:szCs w:val="32"/>
          <w14:textFill>
            <w14:solidFill>
              <w14:schemeClr w14:val="tx1"/>
            </w14:solidFill>
          </w14:textFill>
        </w:rPr>
        <w:t>。下一步改进措施：一是做好年初预算；二是充分实施项目，提高执行率和效率。营养改善计划膳食补助资金项目自评得分为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94.8</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99.6</w:t>
      </w:r>
      <w:r>
        <w:rPr>
          <w:rFonts w:hint="eastAsia" w:ascii="仿宋" w:hAnsi="仿宋" w:eastAsia="仿宋" w:cs="仿宋"/>
          <w:color w:val="000000" w:themeColor="text1"/>
          <w:sz w:val="32"/>
          <w:szCs w:val="32"/>
          <w14:textFill>
            <w14:solidFill>
              <w14:schemeClr w14:val="tx1"/>
            </w14:solidFill>
          </w14:textFill>
        </w:rPr>
        <w:t>分。发现的主要问题及原因：一是执行率偏低；二是疫情提前放假。下一步改进措施：一是利用好项目资金规划；二是发展需要的办公活动。教师节</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问题。一次性抚恤金项目自评得分为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资金核算有点误差。</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仔细核算资金，多次确认</w:t>
      </w:r>
      <w:r>
        <w:rPr>
          <w:rFonts w:hint="eastAsia" w:ascii="仿宋" w:hAnsi="仿宋" w:eastAsia="仿宋" w:cs="仿宋"/>
          <w:color w:val="000000" w:themeColor="text1"/>
          <w:sz w:val="32"/>
          <w:szCs w:val="32"/>
          <w14:textFill>
            <w14:solidFill>
              <w14:schemeClr w14:val="tx1"/>
            </w14:solidFill>
          </w14:textFill>
        </w:rPr>
        <w:t>。伙食补助项目自评得分为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分。年初预算</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非三保</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91.84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核算项目资金有点误差</w:t>
      </w:r>
      <w:r>
        <w:rPr>
          <w:rFonts w:hint="eastAsia" w:ascii="仿宋" w:hAnsi="仿宋" w:eastAsia="仿宋" w:cs="仿宋"/>
          <w:color w:val="000000" w:themeColor="text1"/>
          <w:sz w:val="32"/>
          <w:szCs w:val="32"/>
          <w14:textFill>
            <w14:solidFill>
              <w14:schemeClr w14:val="tx1"/>
            </w14:solidFill>
          </w14:textFill>
        </w:rPr>
        <w:t>。下一步改进措施：一是及时上缴非税；二是做好项目调整。班主任津贴项目自评得分为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99.48</w:t>
      </w:r>
      <w:r>
        <w:rPr>
          <w:rFonts w:hint="eastAsia" w:ascii="仿宋" w:hAnsi="仿宋" w:eastAsia="仿宋" w:cs="仿宋"/>
          <w:color w:val="000000" w:themeColor="text1"/>
          <w:sz w:val="32"/>
          <w:szCs w:val="32"/>
          <w14:textFill>
            <w14:solidFill>
              <w14:schemeClr w14:val="tx1"/>
            </w14:solidFill>
          </w14:textFill>
        </w:rPr>
        <w:t>分。发现的主要问题及原因：一是执行率小；二是因为疫情提前放假没有及时支付。下一步改进措施：一是按时支付，不跨年；二是把握财务制度流程，规范执行。</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3200" w:firstLineChars="1000"/>
        <w:jc w:val="left"/>
        <w:rPr>
          <w:rFonts w:ascii="仿宋" w:hAnsi="仿宋" w:eastAsia="仿宋" w:cs="仿宋"/>
          <w:sz w:val="32"/>
          <w:szCs w:val="32"/>
        </w:rPr>
      </w:pPr>
      <w:r>
        <w:rPr>
          <w:rFonts w:hint="eastAsia" w:ascii="仿宋" w:hAnsi="仿宋" w:eastAsia="仿宋" w:cs="仿宋"/>
          <w:sz w:val="32"/>
          <w:szCs w:val="32"/>
        </w:rPr>
        <w:t>环江毛南族自治县洛阳镇初级中学</w:t>
      </w:r>
    </w:p>
    <w:p>
      <w:pPr>
        <w:ind w:firstLine="5120" w:firstLineChars="1600"/>
        <w:jc w:val="left"/>
        <w:rPr>
          <w:rFonts w:ascii="仿宋" w:hAnsi="仿宋" w:eastAsia="仿宋" w:cs="仿宋"/>
          <w:sz w:val="32"/>
          <w:szCs w:val="32"/>
        </w:rPr>
      </w:pPr>
      <w:r>
        <w:rPr>
          <w:rFonts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NWU1MWZhYzU5Y2ExZDNiZTA3ZGQ0OGIzZjg5Z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60A772E"/>
    <w:rsid w:val="16E61155"/>
    <w:rsid w:val="17E92249"/>
    <w:rsid w:val="181B5F72"/>
    <w:rsid w:val="18D304F1"/>
    <w:rsid w:val="19F32577"/>
    <w:rsid w:val="19F45B80"/>
    <w:rsid w:val="1B0C078D"/>
    <w:rsid w:val="1B2B31E2"/>
    <w:rsid w:val="1B4C295A"/>
    <w:rsid w:val="1B973C63"/>
    <w:rsid w:val="1BA1001E"/>
    <w:rsid w:val="1D317259"/>
    <w:rsid w:val="1E664F5B"/>
    <w:rsid w:val="1EB34BE1"/>
    <w:rsid w:val="1F5B4021"/>
    <w:rsid w:val="215E639F"/>
    <w:rsid w:val="21EC3183"/>
    <w:rsid w:val="225E72CD"/>
    <w:rsid w:val="246E2F77"/>
    <w:rsid w:val="254B4E2B"/>
    <w:rsid w:val="283D7C94"/>
    <w:rsid w:val="29480E03"/>
    <w:rsid w:val="2983634D"/>
    <w:rsid w:val="2AC718BC"/>
    <w:rsid w:val="2BB02055"/>
    <w:rsid w:val="2C575A56"/>
    <w:rsid w:val="2DC816E7"/>
    <w:rsid w:val="2F257714"/>
    <w:rsid w:val="2F3275E5"/>
    <w:rsid w:val="30AA08EF"/>
    <w:rsid w:val="30D23D1C"/>
    <w:rsid w:val="31221CF5"/>
    <w:rsid w:val="31354469"/>
    <w:rsid w:val="31400178"/>
    <w:rsid w:val="314F06DE"/>
    <w:rsid w:val="321E3342"/>
    <w:rsid w:val="327759C8"/>
    <w:rsid w:val="33185FE3"/>
    <w:rsid w:val="34EE2E36"/>
    <w:rsid w:val="36777241"/>
    <w:rsid w:val="371E78D5"/>
    <w:rsid w:val="38A951DB"/>
    <w:rsid w:val="38B31605"/>
    <w:rsid w:val="39003F4F"/>
    <w:rsid w:val="3C07002B"/>
    <w:rsid w:val="3C163F89"/>
    <w:rsid w:val="3D0D152A"/>
    <w:rsid w:val="3DF62756"/>
    <w:rsid w:val="3F1B7587"/>
    <w:rsid w:val="41E57B4F"/>
    <w:rsid w:val="432F26F6"/>
    <w:rsid w:val="43880F63"/>
    <w:rsid w:val="441C5A6F"/>
    <w:rsid w:val="44C44FCC"/>
    <w:rsid w:val="44CC7369"/>
    <w:rsid w:val="457F5108"/>
    <w:rsid w:val="45D725ED"/>
    <w:rsid w:val="46951B6B"/>
    <w:rsid w:val="49322F1E"/>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DDA13D8"/>
    <w:rsid w:val="5E5F0DCE"/>
    <w:rsid w:val="5FA40A7B"/>
    <w:rsid w:val="5FD56D29"/>
    <w:rsid w:val="5FEC7F3F"/>
    <w:rsid w:val="60F74BC3"/>
    <w:rsid w:val="617D3BF8"/>
    <w:rsid w:val="61841F6A"/>
    <w:rsid w:val="623007A9"/>
    <w:rsid w:val="637D7558"/>
    <w:rsid w:val="644F19AC"/>
    <w:rsid w:val="65AA4920"/>
    <w:rsid w:val="65E31D0B"/>
    <w:rsid w:val="67694F1E"/>
    <w:rsid w:val="69597934"/>
    <w:rsid w:val="6A366774"/>
    <w:rsid w:val="6B710041"/>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1778.26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27.78</c:v>
                </c:pt>
                <c:pt idx="4">
                  <c:v>47.64</c:v>
                </c:pt>
                <c:pt idx="5">
                  <c:v>0</c:v>
                </c:pt>
                <c:pt idx="6">
                  <c:v>0</c:v>
                </c:pt>
                <c:pt idx="7">
                  <c:v>0</c:v>
                </c:pt>
                <c:pt idx="8">
                  <c:v>0</c:v>
                </c:pt>
                <c:pt idx="9">
                  <c:v>0</c:v>
                </c:pt>
                <c:pt idx="10">
                  <c:v>0</c:v>
                </c:pt>
                <c:pt idx="11">
                  <c:v>0.04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15.25</c:v>
                </c:pt>
                <c:pt idx="1">
                  <c:v>1147.45</c:v>
                </c:pt>
                <c:pt idx="2">
                  <c:v>109.48</c:v>
                </c:pt>
                <c:pt idx="3">
                  <c:v>81.97</c:v>
                </c:pt>
                <c:pt idx="4">
                  <c:v>161.04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17.16</c:v>
                </c:pt>
                <c:pt idx="1">
                  <c:v>1407.04</c:v>
                </c:pt>
                <c:pt idx="2">
                  <c:v>126.34</c:v>
                </c:pt>
                <c:pt idx="3">
                  <c:v>94.75</c:v>
                </c:pt>
                <c:pt idx="4">
                  <c:v>132.97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17.16</c:v>
                </c:pt>
                <c:pt idx="1">
                  <c:v>17.16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numRef>
              <c:f>Sheet1!$A$2:$A$6</c:f>
              <c:numCache>
                <c:formatCode>General</c:formatCode>
                <c:ptCount val="5"/>
                <c:pt idx="0">
                  <c:v>2050202</c:v>
                </c:pt>
                <c:pt idx="1">
                  <c:v>2050203</c:v>
                </c:pt>
                <c:pt idx="2">
                  <c:v>2050299</c:v>
                </c:pt>
                <c:pt idx="3">
                  <c:v>2050701</c:v>
                </c:pt>
                <c:pt idx="4">
                  <c:v>2050999</c:v>
                </c:pt>
              </c:numCache>
            </c:numRef>
          </c:cat>
          <c:val>
            <c:numRef>
              <c:f>Sheet1!$B$2:$B$6</c:f>
              <c:numCache>
                <c:formatCode>General</c:formatCode>
                <c:ptCount val="5"/>
                <c:pt idx="0">
                  <c:v>1.07</c:v>
                </c:pt>
                <c:pt idx="1">
                  <c:v>1395.89</c:v>
                </c:pt>
                <c:pt idx="2">
                  <c:v>7.07</c:v>
                </c:pt>
                <c:pt idx="3">
                  <c:v>2.28</c:v>
                </c:pt>
                <c:pt idx="4">
                  <c:v>0.72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max val="1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126.34</c:v>
                </c:pt>
                <c:pt idx="1">
                  <c:v>126.34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94.75</c:v>
                </c:pt>
                <c:pt idx="1">
                  <c:v>94.75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132.97</c:v>
                </c:pt>
                <c:pt idx="1">
                  <c:v>132.97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410.04</c:v>
                </c:pt>
                <c:pt idx="1">
                  <c:v>89.26</c:v>
                </c:pt>
                <c:pt idx="2">
                  <c:v>366.32</c:v>
                </c:pt>
                <c:pt idx="4">
                  <c:v>185.77</c:v>
                </c:pt>
                <c:pt idx="5">
                  <c:v>126.34</c:v>
                </c:pt>
                <c:pt idx="7">
                  <c:v>51.17</c:v>
                </c:pt>
                <c:pt idx="9">
                  <c:v>6.36</c:v>
                </c:pt>
                <c:pt idx="10">
                  <c:v>94.75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17.16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3436</Words>
  <Characters>5431</Characters>
  <Lines>90</Lines>
  <Paragraphs>25</Paragraphs>
  <TotalTime>19</TotalTime>
  <ScaleCrop>false</ScaleCrop>
  <LinksUpToDate>false</LinksUpToDate>
  <CharactersWithSpaces>5482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2024-12-31T08:15:54Z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DCB2B088D8A74548A5EEE17CFC1937FE_13</vt:lpwstr>
  </property>
  <property fmtid="{D5CDD505-2E9C-101B-9397-08002B2CF9AE}" pid="4" name="KSOTemplateDocerSaveRecord">
    <vt:lpwstr>eyJoZGlkIjoiMDhhNWU1MWZhYzU5Y2ExZDNiZTA3ZGQ0OGIzZjg5ZjQiLCJ1c2VySWQiOiI0NDI5NzY5MzIifQ==</vt:lpwstr>
  </property>
</Properties>
</file>