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环江毛南族自治县洛阳镇中心小学</w:t>
      </w:r>
      <w:r>
        <w:rPr>
          <w:rFonts w:hint="eastAsia" w:ascii="黑体" w:hAnsi="黑体" w:eastAsia="黑体" w:cs="黑体"/>
          <w:b/>
          <w:bCs/>
          <w:sz w:val="52"/>
          <w:szCs w:val="52"/>
          <w:highlight w:val="none"/>
          <w:lang w:eastAsia="zh-CN"/>
        </w:rPr>
        <w:t>2023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keepNext w:val="0"/>
        <w:keepLines w:val="0"/>
        <w:pageBreakBefore w:val="0"/>
        <w:kinsoku/>
        <w:wordWrap/>
        <w:overflowPunct/>
        <w:topLinePunct w:val="0"/>
        <w:bidi w:val="0"/>
        <w:spacing w:line="560" w:lineRule="exact"/>
        <w:ind w:firstLine="960" w:firstLineChars="200"/>
        <w:jc w:val="left"/>
        <w:textAlignment w:val="auto"/>
        <w:rPr>
          <w:rFonts w:hint="eastAsia" w:ascii="仿宋_GB2312" w:hAnsi="仿宋_GB2312" w:eastAsia="仿宋_GB2312" w:cs="仿宋_GB2312"/>
          <w:bCs/>
          <w:sz w:val="48"/>
          <w:szCs w:val="48"/>
          <w:highlight w:val="none"/>
          <w:u w:val="single"/>
          <w:lang w:val="en-US" w:eastAsia="zh-CN"/>
        </w:rPr>
      </w:pPr>
      <w:r>
        <w:rPr>
          <w:rFonts w:hint="eastAsia" w:ascii="仿宋_GB2312" w:hAnsi="仿宋_GB2312" w:eastAsia="仿宋_GB2312" w:cs="仿宋_GB2312"/>
          <w:bCs/>
          <w:sz w:val="48"/>
          <w:szCs w:val="48"/>
          <w:highlight w:val="none"/>
          <w:lang w:val="en-US" w:eastAsia="zh-CN"/>
        </w:rPr>
        <w:t>单位负责人：</w:t>
      </w:r>
      <w:r>
        <w:rPr>
          <w:rFonts w:hint="eastAsia" w:ascii="仿宋_GB2312" w:hAnsi="仿宋_GB2312" w:eastAsia="仿宋_GB2312" w:cs="仿宋_GB2312"/>
          <w:bCs/>
          <w:sz w:val="48"/>
          <w:szCs w:val="48"/>
          <w:highlight w:val="none"/>
          <w:u w:val="single"/>
          <w:lang w:val="en-US" w:eastAsia="zh-CN"/>
        </w:rPr>
        <w:t xml:space="preserve">  唐 敏 花  </w:t>
      </w:r>
    </w:p>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bCs/>
          <w:sz w:val="48"/>
          <w:szCs w:val="48"/>
          <w:highlight w:val="none"/>
          <w:lang w:val="en-US" w:eastAsia="zh-CN"/>
        </w:rPr>
      </w:pPr>
    </w:p>
    <w:p>
      <w:pPr>
        <w:jc w:val="center"/>
        <w:rPr>
          <w:rFonts w:ascii="仿宋" w:hAnsi="仿宋" w:eastAsia="仿宋" w:cs="仿宋"/>
          <w:sz w:val="32"/>
          <w:szCs w:val="32"/>
          <w:highlight w:val="none"/>
        </w:rPr>
      </w:pPr>
      <w:r>
        <w:rPr>
          <w:rFonts w:hint="eastAsia" w:ascii="仿宋_GB2312" w:hAnsi="仿宋_GB2312" w:eastAsia="仿宋_GB2312" w:cs="仿宋_GB2312"/>
          <w:bCs/>
          <w:sz w:val="48"/>
          <w:szCs w:val="48"/>
          <w:highlight w:val="none"/>
          <w:lang w:val="en-US" w:eastAsia="zh-CN"/>
        </w:rPr>
        <w:t>2024年12月3日</w:t>
      </w:r>
    </w:p>
    <w:p>
      <w:pPr>
        <w:jc w:val="center"/>
        <w:rPr>
          <w:rFonts w:hint="eastAsia" w:ascii="黑体" w:hAnsi="黑体" w:eastAsia="黑体" w:cs="黑体"/>
          <w:b/>
          <w:bCs/>
          <w:sz w:val="36"/>
          <w:szCs w:val="36"/>
          <w:highlight w:val="none"/>
        </w:rPr>
      </w:pPr>
    </w:p>
    <w:p>
      <w:pPr>
        <w:jc w:val="center"/>
        <w:rPr>
          <w:rFonts w:hint="eastAsia" w:ascii="黑体" w:hAnsi="黑体" w:eastAsia="黑体" w:cs="黑体"/>
          <w:b/>
          <w:bCs/>
          <w:sz w:val="36"/>
          <w:szCs w:val="36"/>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环江毛南族自治县洛阳镇中心小学</w:t>
      </w:r>
      <w:r>
        <w:rPr>
          <w:rFonts w:hint="eastAsia" w:ascii="黑体" w:hAnsi="黑体" w:eastAsia="黑体" w:cs="黑体"/>
          <w:sz w:val="32"/>
          <w:szCs w:val="32"/>
          <w:highlight w:val="none"/>
        </w:rPr>
        <w:t>概况</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keepNext w:val="0"/>
        <w:keepLines w:val="0"/>
        <w:pageBreakBefore w:val="0"/>
        <w:widowControl w:val="0"/>
        <w:kinsoku/>
        <w:wordWrap/>
        <w:overflowPunct/>
        <w:topLinePunct w:val="0"/>
        <w:bidi w:val="0"/>
        <w:snapToGrid/>
        <w:spacing w:line="4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环江毛南族自治县洛阳镇中心小学</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 公开01表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 公开02表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 公开03表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 公开04表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 公开05表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0"/>
          <w:szCs w:val="30"/>
          <w:highlight w:val="none"/>
        </w:rPr>
      </w:pPr>
      <w:r>
        <w:rPr>
          <w:rFonts w:hint="eastAsia" w:ascii="仿宋_GB2312" w:eastAsia="仿宋_GB2312"/>
          <w:sz w:val="32"/>
          <w:szCs w:val="32"/>
          <w:highlight w:val="none"/>
        </w:rPr>
        <w:t>表六：</w:t>
      </w:r>
      <w:r>
        <w:rPr>
          <w:rFonts w:hint="eastAsia" w:ascii="仿宋_GB2312" w:eastAsia="仿宋_GB2312"/>
          <w:sz w:val="30"/>
          <w:szCs w:val="30"/>
          <w:highlight w:val="none"/>
        </w:rPr>
        <w:t>一般公共预算财政拨款基本支出决算明细表公开06表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表七：政府性基金预算财政拨款收入支出决算表公开07表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表八：国有资本经营预算财政拨款支出决算表公开08表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 公开09表</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环江毛南族自治县洛阳镇中心小学</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keepNext w:val="0"/>
        <w:keepLines w:val="0"/>
        <w:pageBreakBefore w:val="0"/>
        <w:widowControl w:val="0"/>
        <w:kinsoku/>
        <w:wordWrap/>
        <w:overflowPunct/>
        <w:topLinePunct w:val="0"/>
        <w:bidi w:val="0"/>
        <w:snapToGrid/>
        <w:spacing w:line="480" w:lineRule="exact"/>
        <w:jc w:val="left"/>
        <w:textAlignment w:val="auto"/>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bidi w:val="0"/>
        <w:snapToGrid/>
        <w:spacing w:line="4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center"/>
        <w:rPr>
          <w:rFonts w:hint="eastAsia" w:ascii="黑体" w:hAnsi="黑体" w:eastAsia="黑体" w:cs="黑体"/>
          <w:b/>
          <w:bCs/>
          <w:sz w:val="32"/>
          <w:szCs w:val="32"/>
          <w:highlight w:val="none"/>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环江毛南族自治县洛阳镇中心小学</w:t>
      </w:r>
      <w:r>
        <w:rPr>
          <w:rFonts w:hint="eastAsia" w:ascii="黑体" w:hAnsi="黑体" w:eastAsia="黑体" w:cs="黑体"/>
          <w:b/>
          <w:bCs/>
          <w:sz w:val="32"/>
          <w:szCs w:val="32"/>
          <w:highlight w:val="none"/>
        </w:rPr>
        <w:t>概况</w:t>
      </w:r>
    </w:p>
    <w:p>
      <w:pPr>
        <w:keepNext w:val="0"/>
        <w:keepLines w:val="0"/>
        <w:pageBreakBefore w:val="0"/>
        <w:widowControl w:val="0"/>
        <w:kinsoku/>
        <w:wordWrap/>
        <w:overflowPunct/>
        <w:topLinePunct w:val="0"/>
        <w:autoSpaceDE/>
        <w:autoSpaceDN/>
        <w:bidi w:val="0"/>
        <w:adjustRightInd/>
        <w:snapToGrid/>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（一）贯彻执行党和国家的教育方针、政策和法律法规；拟订全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（二）编制本</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教育事业发展规划并检查实施情况。</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（三）督促检查全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贯彻执行教育方针、政策、法令</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法规和上级的各项规定；评估指导全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（四）负责推进</w:t>
      </w:r>
      <w:r>
        <w:rPr>
          <w:rFonts w:hint="eastAsia" w:ascii="仿宋_GB2312" w:eastAsia="仿宋_GB2312" w:cs="仿宋_GB2312"/>
          <w:kern w:val="0"/>
          <w:sz w:val="32"/>
          <w:szCs w:val="32"/>
          <w:lang w:val="en-US" w:eastAsia="zh-CN"/>
        </w:rPr>
        <w:t>全镇小学</w:t>
      </w:r>
      <w:r>
        <w:rPr>
          <w:rFonts w:hint="eastAsia" w:ascii="仿宋_GB2312" w:eastAsia="仿宋_GB2312" w:cs="仿宋_GB2312"/>
          <w:kern w:val="0"/>
          <w:sz w:val="32"/>
          <w:szCs w:val="32"/>
        </w:rPr>
        <w:t>义务教育均衡发展和促进教育公平，负责义务教育的宏观指导与协调。</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（五）负责全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教育系统校长队伍、人才队伍和教师队伍建设，包括校长岗位培训、后备干部队伍建设、教师学历教育、继续教育等。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（六）负责组织全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做好</w:t>
      </w:r>
      <w:r>
        <w:rPr>
          <w:rFonts w:hint="eastAsia" w:ascii="仿宋_GB2312" w:eastAsia="仿宋_GB2312" w:cs="仿宋_GB2312"/>
          <w:kern w:val="0"/>
          <w:sz w:val="32"/>
          <w:szCs w:val="32"/>
          <w:lang w:val="en-US" w:eastAsia="zh-CN"/>
        </w:rPr>
        <w:t>小学一年级新生</w:t>
      </w:r>
      <w:r>
        <w:rPr>
          <w:rFonts w:hint="eastAsia" w:ascii="仿宋_GB2312" w:eastAsia="仿宋_GB2312" w:cs="仿宋_GB2312"/>
          <w:kern w:val="0"/>
          <w:sz w:val="32"/>
          <w:szCs w:val="32"/>
        </w:rPr>
        <w:t>招生录取工作和小学学籍管理工作。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（七）按照中央关于全面推进素质教育要求，负责教育教学管理、教育教学改革及教育教学科学研究工作，检查指导全</w:t>
      </w:r>
      <w:r>
        <w:rPr>
          <w:rFonts w:hint="eastAsia" w:ascii="仿宋_GB2312" w:eastAsia="仿宋_GB2312" w:cs="仿宋_GB2312"/>
          <w:kern w:val="0"/>
          <w:sz w:val="32"/>
          <w:szCs w:val="32"/>
          <w:lang w:val="en-US" w:eastAsia="zh-CN"/>
        </w:rPr>
        <w:t>镇各小学</w:t>
      </w:r>
      <w:r>
        <w:rPr>
          <w:rFonts w:hint="eastAsia" w:ascii="仿宋_GB2312" w:eastAsia="仿宋_GB2312" w:cs="仿宋_GB2312"/>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（八）检查指导</w:t>
      </w:r>
      <w:r>
        <w:rPr>
          <w:rFonts w:hint="eastAsia" w:ascii="仿宋_GB2312" w:eastAsia="仿宋_GB2312" w:cs="仿宋_GB2312"/>
          <w:kern w:val="0"/>
          <w:sz w:val="32"/>
          <w:szCs w:val="32"/>
          <w:lang w:val="en-US" w:eastAsia="zh-CN"/>
        </w:rPr>
        <w:t>全镇各小学</w:t>
      </w:r>
      <w:r>
        <w:rPr>
          <w:rFonts w:hint="eastAsia" w:ascii="仿宋_GB2312" w:eastAsia="仿宋_GB2312" w:cs="仿宋_GB2312"/>
          <w:kern w:val="0"/>
          <w:sz w:val="32"/>
          <w:szCs w:val="32"/>
        </w:rPr>
        <w:t>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（九）检查指导全</w:t>
      </w:r>
      <w:r>
        <w:rPr>
          <w:rFonts w:hint="eastAsia" w:ascii="仿宋_GB2312" w:eastAsia="仿宋_GB2312" w:cs="仿宋_GB2312"/>
          <w:kern w:val="0"/>
          <w:sz w:val="32"/>
          <w:szCs w:val="32"/>
          <w:lang w:val="en-US" w:eastAsia="zh-CN"/>
        </w:rPr>
        <w:t>镇各小学</w:t>
      </w:r>
      <w:r>
        <w:rPr>
          <w:rFonts w:hint="eastAsia" w:ascii="仿宋_GB2312" w:eastAsia="仿宋_GB2312" w:cs="仿宋_GB2312"/>
          <w:kern w:val="0"/>
          <w:sz w:val="32"/>
          <w:szCs w:val="32"/>
        </w:rPr>
        <w:t>开展信息化教学工作。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（十）负责全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教师初</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（十一）负责监督审计全</w:t>
      </w:r>
      <w:r>
        <w:rPr>
          <w:rFonts w:hint="eastAsia" w:ascii="仿宋_GB2312" w:eastAsia="仿宋_GB2312" w:cs="仿宋_GB2312"/>
          <w:kern w:val="0"/>
          <w:sz w:val="32"/>
          <w:szCs w:val="32"/>
          <w:lang w:val="en-US" w:eastAsia="zh-CN"/>
        </w:rPr>
        <w:t>镇各小学</w:t>
      </w:r>
      <w:r>
        <w:rPr>
          <w:rFonts w:hint="eastAsia" w:ascii="仿宋_GB2312" w:eastAsia="仿宋_GB2312" w:cs="仿宋_GB2312"/>
          <w:kern w:val="0"/>
          <w:sz w:val="32"/>
          <w:szCs w:val="32"/>
        </w:rPr>
        <w:t>教育经费和教育基建经费拨付、管理与使用工作。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（十二）负责全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小学教学教育常规管理评估工作，指导全</w:t>
      </w:r>
      <w:r>
        <w:rPr>
          <w:rFonts w:hint="eastAsia" w:ascii="仿宋_GB2312" w:eastAsia="仿宋_GB2312" w:cs="仿宋_GB2312"/>
          <w:kern w:val="0"/>
          <w:sz w:val="32"/>
          <w:szCs w:val="32"/>
          <w:lang w:val="en-US" w:eastAsia="zh-CN"/>
        </w:rPr>
        <w:t>镇各小学</w:t>
      </w:r>
      <w:r>
        <w:rPr>
          <w:rFonts w:hint="eastAsia" w:ascii="仿宋_GB2312" w:eastAsia="仿宋_GB2312" w:cs="仿宋_GB2312"/>
          <w:kern w:val="0"/>
          <w:sz w:val="32"/>
          <w:szCs w:val="32"/>
        </w:rPr>
        <w:t>德育、体育、卫生、艺术、安全工作以及少先队工作。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（十三）负责指导全</w:t>
      </w:r>
      <w:r>
        <w:rPr>
          <w:rFonts w:hint="eastAsia" w:ascii="仿宋_GB2312" w:eastAsia="仿宋_GB2312" w:cs="仿宋_GB2312"/>
          <w:kern w:val="0"/>
          <w:sz w:val="32"/>
          <w:szCs w:val="32"/>
          <w:lang w:val="en-US" w:eastAsia="zh-CN"/>
        </w:rPr>
        <w:t>镇各小学</w:t>
      </w:r>
      <w:r>
        <w:rPr>
          <w:rFonts w:hint="eastAsia" w:ascii="仿宋_GB2312" w:eastAsia="仿宋_GB2312" w:cs="仿宋_GB2312"/>
          <w:kern w:val="0"/>
          <w:sz w:val="32"/>
          <w:szCs w:val="32"/>
        </w:rPr>
        <w:t>学生资助管理工作。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）完成</w:t>
      </w:r>
      <w:r>
        <w:rPr>
          <w:rFonts w:hint="eastAsia" w:ascii="仿宋_GB2312" w:eastAsia="仿宋_GB2312" w:cs="仿宋_GB2312"/>
          <w:kern w:val="0"/>
          <w:sz w:val="32"/>
          <w:szCs w:val="32"/>
          <w:lang w:val="en-US" w:eastAsia="zh-CN"/>
        </w:rPr>
        <w:t>上级各部门</w:t>
      </w:r>
      <w:r>
        <w:rPr>
          <w:rFonts w:hint="eastAsia" w:ascii="仿宋_GB2312" w:eastAsia="仿宋_GB2312" w:cs="仿宋_GB2312"/>
          <w:kern w:val="0"/>
          <w:sz w:val="32"/>
          <w:szCs w:val="32"/>
        </w:rPr>
        <w:t>交办的其他工作</w:t>
      </w:r>
      <w:r>
        <w:rPr>
          <w:rFonts w:hint="eastAsia" w:ascii="仿宋_GB2312" w:eastAsia="仿宋_GB2312" w:cs="仿宋_GB2312"/>
          <w:kern w:val="0"/>
          <w:sz w:val="32"/>
          <w:szCs w:val="32"/>
          <w:lang w:val="en-US" w:eastAsia="zh-CN"/>
        </w:rPr>
        <w:t>任务</w:t>
      </w:r>
      <w:r>
        <w:rPr>
          <w:rFonts w:hint="eastAsia" w:ascii="仿宋_GB2312" w:eastAsia="仿宋_GB2312" w:cs="仿宋_GB2312"/>
          <w:kern w:val="0"/>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cs="宋体"/>
          <w:b/>
          <w:bCs/>
          <w:color w:val="333333"/>
          <w:sz w:val="28"/>
          <w:szCs w:val="28"/>
        </w:rPr>
      </w:pPr>
      <w:r>
        <w:rPr>
          <w:rFonts w:hint="eastAsia" w:ascii="宋体" w:hAnsi="宋体" w:cs="宋体"/>
          <w:b/>
          <w:bCs/>
          <w:color w:val="333333"/>
          <w:sz w:val="28"/>
          <w:szCs w:val="28"/>
        </w:rPr>
        <w:t>（一）内设机构情况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洛阳镇中心小学</w:t>
      </w:r>
      <w:r>
        <w:rPr>
          <w:rFonts w:hint="eastAsia" w:ascii="仿宋_GB2312" w:eastAsia="仿宋_GB2312" w:cs="仿宋_GB2312"/>
          <w:kern w:val="0"/>
          <w:sz w:val="32"/>
          <w:szCs w:val="32"/>
        </w:rPr>
        <w:t>有</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个内设机构，分别为：行政办、</w:t>
      </w:r>
      <w:r>
        <w:rPr>
          <w:rFonts w:hint="eastAsia" w:ascii="仿宋_GB2312" w:eastAsia="仿宋_GB2312" w:cs="仿宋_GB2312"/>
          <w:kern w:val="0"/>
          <w:sz w:val="32"/>
          <w:szCs w:val="32"/>
          <w:lang w:val="en-US" w:eastAsia="zh-CN"/>
        </w:rPr>
        <w:t>教研</w:t>
      </w:r>
      <w:r>
        <w:rPr>
          <w:rFonts w:hint="eastAsia" w:ascii="仿宋_GB2312" w:eastAsia="仿宋_GB2312" w:cs="仿宋_GB2312"/>
          <w:kern w:val="0"/>
          <w:sz w:val="32"/>
          <w:szCs w:val="32"/>
          <w:lang w:eastAsia="zh-CN"/>
        </w:rPr>
        <w:t>办</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账务办</w:t>
      </w:r>
      <w:r>
        <w:rPr>
          <w:rFonts w:hint="eastAsia" w:asci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cs="宋体"/>
          <w:b/>
          <w:bCs/>
          <w:color w:val="333333"/>
          <w:sz w:val="28"/>
          <w:szCs w:val="28"/>
        </w:rPr>
      </w:pPr>
      <w:r>
        <w:rPr>
          <w:rFonts w:hint="eastAsia" w:ascii="宋体" w:hAnsi="宋体" w:cs="宋体"/>
          <w:b/>
          <w:bCs/>
          <w:color w:val="333333"/>
          <w:sz w:val="28"/>
          <w:szCs w:val="28"/>
        </w:rPr>
        <w:t>（</w:t>
      </w:r>
      <w:r>
        <w:rPr>
          <w:rFonts w:hint="eastAsia" w:ascii="宋体" w:hAnsi="宋体" w:cs="宋体"/>
          <w:b/>
          <w:bCs/>
          <w:color w:val="333333"/>
          <w:sz w:val="28"/>
          <w:szCs w:val="28"/>
          <w:lang w:val="en-US" w:eastAsia="zh-CN"/>
        </w:rPr>
        <w:t>二</w:t>
      </w:r>
      <w:r>
        <w:rPr>
          <w:rFonts w:hint="eastAsia" w:ascii="宋体" w:hAnsi="宋体" w:cs="宋体"/>
          <w:b/>
          <w:bCs/>
          <w:color w:val="333333"/>
          <w:sz w:val="28"/>
          <w:szCs w:val="28"/>
        </w:rPr>
        <w:t>）下属机构情况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eastAsia="仿宋_GB2312" w:cs="仿宋_GB2312"/>
          <w:kern w:val="0"/>
          <w:sz w:val="32"/>
          <w:szCs w:val="32"/>
          <w:lang w:val="en-US" w:eastAsia="zh-CN"/>
        </w:rPr>
        <w:t>洛阳镇中心小学</w:t>
      </w:r>
      <w:r>
        <w:rPr>
          <w:rFonts w:hint="eastAsia" w:ascii="仿宋_GB2312" w:eastAsia="仿宋_GB2312" w:cs="仿宋_GB2312"/>
          <w:kern w:val="0"/>
          <w:sz w:val="32"/>
          <w:szCs w:val="32"/>
        </w:rPr>
        <w:t>下属机构有</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个，其中</w:t>
      </w:r>
      <w:r>
        <w:rPr>
          <w:rFonts w:hint="eastAsia" w:ascii="仿宋_GB2312" w:eastAsia="仿宋_GB2312" w:cs="仿宋_GB2312"/>
          <w:kern w:val="0"/>
          <w:sz w:val="32"/>
          <w:szCs w:val="32"/>
          <w:lang w:val="en-US" w:eastAsia="zh-CN"/>
        </w:rPr>
        <w:t>完全小学2</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val="en-US" w:eastAsia="zh-CN"/>
        </w:rPr>
        <w:t>洛阳镇中心校和洛阳镇第二小学。教学点7</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分别是合作教学点、大联教学点、凤凰教学点、妙石教学点、普乐教学点、大吉教学点、雅钢教学点、。</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环江毛南族自治县洛阳镇中心小学</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left"/>
        <w:rPr>
          <w:rFonts w:hint="eastAsia" w:asciiTheme="majorEastAsia" w:hAnsiTheme="majorEastAsia" w:eastAsiaTheme="majorEastAsia" w:cstheme="majorEastAsia"/>
          <w:b w:val="0"/>
          <w:bCs w:val="0"/>
          <w:sz w:val="32"/>
          <w:szCs w:val="32"/>
          <w:highlight w:val="none"/>
        </w:rPr>
      </w:pPr>
      <w:r>
        <w:rPr>
          <w:rFonts w:hint="eastAsia" w:asciiTheme="majorEastAsia" w:hAnsiTheme="majorEastAsia" w:eastAsiaTheme="majorEastAsia" w:cstheme="majorEastAsia"/>
          <w:b w:val="0"/>
          <w:bCs w:val="0"/>
          <w:sz w:val="32"/>
          <w:szCs w:val="32"/>
          <w:highlight w:val="none"/>
          <w:lang w:val="en-US" w:eastAsia="zh-CN"/>
        </w:rPr>
        <w:t>表一：</w:t>
      </w:r>
      <w:r>
        <w:rPr>
          <w:rFonts w:hint="eastAsia" w:asciiTheme="majorEastAsia" w:hAnsiTheme="majorEastAsia" w:eastAsiaTheme="majorEastAsia" w:cstheme="majorEastAsia"/>
          <w:b w:val="0"/>
          <w:bCs w:val="0"/>
          <w:sz w:val="32"/>
          <w:szCs w:val="32"/>
          <w:highlight w:val="none"/>
        </w:rPr>
        <w:t>收入支出决算总表 公开01表</w:t>
      </w:r>
    </w:p>
    <w:p>
      <w:pPr>
        <w:jc w:val="center"/>
        <w:rPr>
          <w:rFonts w:ascii="宋体" w:hAnsi="宋体" w:eastAsia="宋体" w:cs="宋体"/>
          <w:color w:val="000000"/>
          <w:kern w:val="0"/>
          <w:sz w:val="30"/>
          <w:szCs w:val="30"/>
          <w:highlight w:val="none"/>
          <w:lang w:bidi="ar"/>
        </w:rPr>
      </w:pPr>
      <w:r>
        <w:rPr>
          <w:rFonts w:ascii="宋体" w:hAnsi="宋体" w:eastAsia="宋体" w:cs="宋体"/>
          <w:color w:val="000000"/>
          <w:kern w:val="0"/>
          <w:sz w:val="30"/>
          <w:szCs w:val="30"/>
          <w:highlight w:val="none"/>
          <w:lang w:bidi="ar"/>
        </w:rPr>
        <w:object>
          <v:shape id="_x0000_i1025" o:spt="75" type="#_x0000_t75" style="height:453.35pt;width:509.75pt;" o:ole="t" filled="f" o:preferrelative="t" stroked="f" coordsize="21600,21600">
            <v:path/>
            <v:fill on="f" focussize="0,0"/>
            <v:stroke on="f"/>
            <v:imagedata r:id="rId8" o:title=""/>
            <o:lock v:ext="edit" aspectratio="f"/>
            <w10:wrap type="none"/>
            <w10:anchorlock/>
          </v:shape>
          <o:OLEObject Type="Embed" ProgID="Excel.Sheet.12" ShapeID="_x0000_i1025" DrawAspect="Content" ObjectID="_1468075725" r:id="rId7">
            <o:LockedField>false</o:LockedField>
          </o:OLEObject>
        </w:object>
      </w: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numPr>
          <w:ilvl w:val="0"/>
          <w:numId w:val="0"/>
        </w:numPr>
        <w:jc w:val="left"/>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SA"/>
        </w:rPr>
        <w:t>表二：</w:t>
      </w:r>
      <w:r>
        <w:rPr>
          <w:rFonts w:hint="eastAsia" w:ascii="仿宋" w:hAnsi="仿宋" w:eastAsia="仿宋" w:cs="仿宋"/>
          <w:sz w:val="32"/>
          <w:szCs w:val="32"/>
          <w:highlight w:val="none"/>
        </w:rPr>
        <w:t>收入决算表 公开02表</w:t>
      </w:r>
    </w:p>
    <w:p>
      <w:pPr>
        <w:numPr>
          <w:ilvl w:val="0"/>
          <w:numId w:val="0"/>
        </w:numPr>
        <w:jc w:val="left"/>
        <w:rPr>
          <w:rFonts w:hint="eastAsia" w:ascii="仿宋" w:hAnsi="仿宋" w:eastAsia="仿宋" w:cs="仿宋"/>
          <w:sz w:val="32"/>
          <w:szCs w:val="32"/>
          <w:highlight w:val="none"/>
          <w:lang w:val="en-US" w:eastAsia="zh-CN"/>
        </w:rPr>
      </w:pPr>
      <w:r>
        <w:rPr>
          <w:rFonts w:hint="eastAsia" w:ascii="仿宋" w:hAnsi="仿宋" w:eastAsia="仿宋" w:cs="仿宋"/>
          <w:sz w:val="24"/>
          <w:highlight w:val="none"/>
        </w:rPr>
        <w:object>
          <v:shape id="_x0000_i1026" o:spt="75" type="#_x0000_t75" style="height:206.25pt;width:509.7pt;" o:ole="t" filled="f" o:preferrelative="t" stroked="f" coordsize="21600,21600">
            <v:path/>
            <v:fill on="f" focussize="0,0"/>
            <v:stroke on="f"/>
            <v:imagedata r:id="rId10" o:title=""/>
            <o:lock v:ext="edit" aspectratio="f"/>
            <w10:wrap type="none"/>
            <w10:anchorlock/>
          </v:shape>
          <o:OLEObject Type="Embed" ProgID="Excel.Sheet.12" ShapeID="_x0000_i1026" DrawAspect="Content" ObjectID="_1468075726" r:id="rId9">
            <o:LockedField>false</o:LockedField>
          </o:OLEObject>
        </w:object>
      </w:r>
    </w:p>
    <w:p>
      <w:pPr>
        <w:jc w:val="left"/>
        <w:rPr>
          <w:rFonts w:hint="eastAsia" w:ascii="仿宋" w:hAnsi="仿宋" w:eastAsia="仿宋" w:cs="仿宋"/>
          <w:sz w:val="32"/>
          <w:szCs w:val="32"/>
          <w:highlight w:val="none"/>
          <w:lang w:val="en-US" w:eastAsia="zh-CN"/>
        </w:rPr>
      </w:pPr>
    </w:p>
    <w:p>
      <w:pPr>
        <w:jc w:val="left"/>
        <w:rPr>
          <w:rFonts w:hint="eastAsia" w:ascii="仿宋" w:hAnsi="仿宋" w:eastAsia="仿宋" w:cs="仿宋"/>
          <w:sz w:val="32"/>
          <w:szCs w:val="32"/>
          <w:highlight w:val="none"/>
          <w:lang w:val="en-US" w:eastAsia="zh-CN"/>
        </w:rPr>
      </w:pP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表三：支出决算表 公开03表</w:t>
      </w:r>
    </w:p>
    <w:p>
      <w:pPr>
        <w:jc w:val="left"/>
        <w:rPr>
          <w:rFonts w:hint="eastAsia" w:ascii="仿宋" w:hAnsi="仿宋" w:eastAsia="仿宋" w:cs="仿宋"/>
          <w:sz w:val="24"/>
          <w:highlight w:val="none"/>
        </w:rPr>
      </w:pPr>
      <w:r>
        <w:rPr>
          <w:rFonts w:hint="eastAsia" w:ascii="仿宋" w:hAnsi="仿宋" w:eastAsia="仿宋" w:cs="仿宋"/>
          <w:sz w:val="24"/>
          <w:highlight w:val="none"/>
        </w:rPr>
        <w:object>
          <v:shape id="_x0000_i1027" o:spt="75" type="#_x0000_t75" style="height:222.3pt;width:509.65pt;" o:ole="t" filled="f" o:preferrelative="t" stroked="f" coordsize="21600,21600">
            <v:path/>
            <v:fill on="f" focussize="0,0"/>
            <v:stroke on="f"/>
            <v:imagedata r:id="rId12" o:title=""/>
            <o:lock v:ext="edit" aspectratio="f"/>
            <w10:wrap type="none"/>
            <w10:anchorlock/>
          </v:shape>
          <o:OLEObject Type="Embed" ProgID="Excel.Sheet.12" ShapeID="_x0000_i1027" DrawAspect="Content" ObjectID="_1468075727" r:id="rId11">
            <o:LockedField>false</o:LockedField>
          </o:OLEObject>
        </w:object>
      </w:r>
    </w:p>
    <w:p>
      <w:pPr>
        <w:rPr>
          <w:rFonts w:ascii="仿宋" w:hAnsi="仿宋" w:eastAsia="仿宋" w:cs="仿宋"/>
          <w:sz w:val="24"/>
          <w:highlight w:val="none"/>
        </w:rPr>
      </w:pPr>
      <w:r>
        <w:rPr>
          <w:rFonts w:ascii="仿宋" w:hAnsi="仿宋" w:eastAsia="仿宋" w:cs="仿宋"/>
          <w:sz w:val="24"/>
          <w:highlight w:val="none"/>
        </w:rPr>
        <w:br w:type="page"/>
      </w:r>
    </w:p>
    <w:p>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lang w:val="en-US" w:eastAsia="zh-CN" w:bidi="ar-SA"/>
        </w:rPr>
        <w:t>表四：</w:t>
      </w:r>
      <w:r>
        <w:rPr>
          <w:rFonts w:hint="eastAsia" w:ascii="仿宋" w:hAnsi="仿宋" w:eastAsia="仿宋" w:cs="仿宋"/>
          <w:sz w:val="32"/>
          <w:szCs w:val="32"/>
          <w:highlight w:val="none"/>
          <w:lang w:val="en-US" w:eastAsia="zh-CN"/>
        </w:rPr>
        <w:t>财政拨款收入支出决算总表 公开04表</w:t>
      </w:r>
    </w:p>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仿宋" w:hAnsi="仿宋" w:eastAsia="仿宋" w:cs="仿宋"/>
          <w:sz w:val="24"/>
          <w:highlight w:val="none"/>
        </w:rPr>
      </w:pPr>
      <w:r>
        <w:rPr>
          <w:rFonts w:ascii="仿宋" w:hAnsi="仿宋" w:eastAsia="仿宋" w:cs="仿宋"/>
          <w:sz w:val="24"/>
          <w:highlight w:val="none"/>
        </w:rPr>
        <w:object>
          <v:shape id="_x0000_i1028" o:spt="75" type="#_x0000_t75" style="height:432.5pt;width:510.25pt;" o:ole="t" filled="f" o:preferrelative="t" stroked="f" coordsize="21600,21600">
            <v:path/>
            <v:fill on="f" focussize="0,0"/>
            <v:stroke on="f"/>
            <v:imagedata r:id="rId14" o:title=""/>
            <o:lock v:ext="edit" aspectratio="f"/>
            <w10:wrap type="none"/>
            <w10:anchorlock/>
          </v:shape>
          <o:OLEObject Type="Embed" ProgID="Excel.Sheet.12" ShapeID="_x0000_i1028" DrawAspect="Content" ObjectID="_1468075728" r:id="rId13">
            <o:LockedField>false</o:LockedField>
          </o:OLEObject>
        </w:object>
      </w:r>
      <w:r>
        <w:rPr>
          <w:rFonts w:hint="eastAsia" w:ascii="仿宋" w:hAnsi="仿宋" w:eastAsia="仿宋" w:cs="仿宋"/>
          <w:sz w:val="24"/>
          <w:highlight w:val="none"/>
        </w:rPr>
        <w:t>表五：一般公共预算财政拨款支出决算表 公开05表</w:t>
      </w:r>
      <w:r>
        <w:rPr>
          <w:rFonts w:ascii="仿宋" w:hAnsi="仿宋" w:eastAsia="仿宋" w:cs="仿宋"/>
          <w:sz w:val="24"/>
          <w:highlight w:val="none"/>
        </w:rPr>
        <w:object>
          <v:shape id="_x0000_i1029" o:spt="75" type="#_x0000_t75" style="height:232.25pt;width:509.95pt;" o:ole="t" filled="f" o:preferrelative="t" stroked="f" coordsize="21600,21600">
            <v:path/>
            <v:fill on="f" focussize="0,0"/>
            <v:stroke on="f"/>
            <v:imagedata r:id="rId16" o:title=""/>
            <o:lock v:ext="edit" aspectratio="f"/>
            <w10:wrap type="none"/>
            <w10:anchorlock/>
          </v:shape>
          <o:OLEObject Type="Embed" ProgID="Excel.Sheet.12" ShapeID="_x0000_i1029" DrawAspect="Content" ObjectID="_1468075729" r:id="rId15">
            <o:LockedField>false</o:LockedField>
          </o:OLEObject>
        </w:object>
      </w:r>
      <w:r>
        <w:rPr>
          <w:rFonts w:hint="eastAsia" w:ascii="仿宋" w:hAnsi="仿宋" w:eastAsia="仿宋" w:cs="仿宋"/>
          <w:sz w:val="24"/>
          <w:highlight w:val="none"/>
        </w:rPr>
        <w:t>表六：一般公共预算财政拨款基本支出决算明细表 公开06表</w:t>
      </w:r>
    </w:p>
    <w:p>
      <w:pPr>
        <w:rPr>
          <w:rFonts w:ascii="仿宋" w:hAnsi="仿宋" w:eastAsia="仿宋" w:cs="仿宋"/>
          <w:sz w:val="24"/>
          <w:highlight w:val="none"/>
        </w:rPr>
      </w:pPr>
      <w:r>
        <w:rPr>
          <w:rFonts w:ascii="仿宋" w:hAnsi="仿宋" w:eastAsia="仿宋" w:cs="仿宋"/>
          <w:sz w:val="24"/>
          <w:highlight w:val="none"/>
        </w:rPr>
        <w:object>
          <v:shape id="_x0000_i1030" o:spt="75" type="#_x0000_t75" style="height:337.45pt;width:509.5pt;" o:ole="t" filled="f" o:preferrelative="t" stroked="f" coordsize="21600,21600">
            <v:path/>
            <v:fill on="f" focussize="0,0"/>
            <v:stroke on="f"/>
            <v:imagedata r:id="rId18" o:title=""/>
            <o:lock v:ext="edit" aspectratio="f"/>
            <w10:wrap type="none"/>
            <w10:anchorlock/>
          </v:shape>
          <o:OLEObject Type="Embed" ProgID="Excel.Sheet.12" ShapeID="_x0000_i1030" DrawAspect="Content" ObjectID="_1468075730" r:id="rId17">
            <o:LockedField>false</o:LockedField>
          </o:OLEObject>
        </w:objec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 公开07表</w:t>
      </w:r>
    </w:p>
    <w:p>
      <w:pPr>
        <w:rPr>
          <w:rFonts w:hint="eastAsia" w:ascii="仿宋" w:hAnsi="仿宋" w:eastAsia="仿宋" w:cs="仿宋"/>
          <w:sz w:val="24"/>
          <w:highlight w:val="none"/>
        </w:rPr>
      </w:pPr>
      <w:r>
        <w:rPr>
          <w:rFonts w:hint="eastAsia" w:ascii="仿宋" w:hAnsi="仿宋" w:eastAsia="仿宋" w:cs="仿宋"/>
          <w:sz w:val="24"/>
          <w:highlight w:val="none"/>
        </w:rPr>
        <w:object>
          <v:shape id="_x0000_i1031" o:spt="75" type="#_x0000_t75" style="height:124.55pt;width:481.65pt;" o:ole="t" filled="f" o:preferrelative="t" stroked="f" coordsize="21600,21600">
            <v:path/>
            <v:fill on="f" focussize="0,0"/>
            <v:stroke on="f"/>
            <v:imagedata r:id="rId20" o:title=""/>
            <o:lock v:ext="edit" aspectratio="f"/>
            <w10:wrap type="none"/>
            <w10:anchorlock/>
          </v:shape>
          <o:OLEObject Type="Embed" ProgID="Excel.Sheet.12" ShapeID="_x0000_i1031" DrawAspect="Content" ObjectID="_1468075731" r:id="rId19">
            <o:LockedField>false</o:LockedField>
          </o:OLEObject>
        </w:objec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 公开08表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object>
          <v:shape id="_x0000_i1032" o:spt="75" type="#_x0000_t75" style="height:168.9pt;width:481.45pt;" o:ole="t" filled="f" o:preferrelative="t" stroked="f" coordsize="21600,21600">
            <v:path/>
            <v:fill on="f" focussize="0,0"/>
            <v:stroke on="f"/>
            <v:imagedata r:id="rId22" o:title=""/>
            <o:lock v:ext="edit" aspectratio="f"/>
            <w10:wrap type="none"/>
            <w10:anchorlock/>
          </v:shape>
          <o:OLEObject Type="Embed" ProgID="Excel.Sheet.12" ShapeID="_x0000_i1032" DrawAspect="Content" ObjectID="_1468075732" r:id="rId21">
            <o:LockedField>false</o:LockedField>
          </o:OLEObject>
        </w:objec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本单位</w:t>
      </w:r>
      <w:r>
        <w:rPr>
          <w:rFonts w:hint="eastAsia" w:ascii="Times New Roman" w:hAnsi="Times New Roman" w:eastAsia="宋体" w:cs="Times New Roman"/>
          <w:color w:val="auto"/>
          <w:kern w:val="2"/>
          <w:sz w:val="22"/>
          <w:szCs w:val="22"/>
          <w:lang w:val="en-US" w:eastAsia="zh-CN" w:bidi="ar"/>
        </w:rPr>
        <w:t>2023</w:t>
      </w:r>
      <w:r>
        <w:rPr>
          <w:rFonts w:hint="eastAsia" w:ascii="宋体" w:hAnsi="宋体" w:eastAsia="宋体" w:cs="宋体"/>
          <w:color w:val="auto"/>
          <w:kern w:val="2"/>
          <w:sz w:val="22"/>
          <w:szCs w:val="22"/>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表九：财政拨款“三公”经费支出决算表 公开09表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object>
          <v:shape id="_x0000_i1033" o:spt="75" type="#_x0000_t75" style="height:135.7pt;width:481.55pt;" o:ole="t" filled="f" o:preferrelative="t" stroked="f" coordsize="21600,21600">
            <v:path/>
            <v:fill on="f" focussize="0,0"/>
            <v:stroke on="f"/>
            <v:imagedata r:id="rId24" o:title=""/>
            <o:lock v:ext="edit" aspectratio="f"/>
            <w10:wrap type="none"/>
            <w10:anchorlock/>
          </v:shape>
          <o:OLEObject Type="Embed" ProgID="Excel.Sheet.12" ShapeID="_x0000_i1033" DrawAspect="Content" ObjectID="_1468075733" r:id="rId23">
            <o:LockedField>false</o:LockedField>
          </o:OLEObject>
        </w:object>
      </w:r>
    </w:p>
    <w:p>
      <w:bookmarkStart w:id="3" w:name="_GoBack"/>
      <w:bookmarkEnd w:id="3"/>
      <w:r>
        <w:rPr>
          <w:rFonts w:hint="eastAsia" w:ascii="宋体" w:hAnsi="宋体" w:eastAsia="宋体" w:cs="宋体"/>
          <w:color w:val="auto"/>
          <w:kern w:val="2"/>
          <w:sz w:val="18"/>
          <w:szCs w:val="18"/>
          <w:lang w:val="en-US" w:eastAsia="zh-CN" w:bidi="ar"/>
        </w:rPr>
        <w:t>本单位</w:t>
      </w:r>
      <w:r>
        <w:rPr>
          <w:rFonts w:hint="eastAsia" w:ascii="Times New Roman" w:hAnsi="Times New Roman" w:eastAsia="宋体" w:cs="Times New Roman"/>
          <w:color w:val="auto"/>
          <w:kern w:val="2"/>
          <w:sz w:val="18"/>
          <w:szCs w:val="18"/>
          <w:lang w:val="en-US" w:eastAsia="zh-CN" w:bidi="ar"/>
        </w:rPr>
        <w:t>2023</w:t>
      </w:r>
      <w:r>
        <w:rPr>
          <w:rFonts w:hint="eastAsia" w:ascii="宋体" w:hAnsi="宋体" w:eastAsia="宋体" w:cs="宋体"/>
          <w:color w:val="auto"/>
          <w:kern w:val="2"/>
          <w:sz w:val="18"/>
          <w:szCs w:val="18"/>
          <w:lang w:val="en-US" w:eastAsia="zh-CN" w:bidi="ar"/>
        </w:rPr>
        <w:t>年度没有财政拨款“三公”经费收入，也没有财政拨款“三公”经费安排的支出，故本表无</w:t>
      </w:r>
      <w:r>
        <w:rPr>
          <w:rFonts w:hint="eastAsia" w:ascii="宋体" w:hAnsi="宋体" w:eastAsia="宋体" w:cs="宋体"/>
          <w:color w:val="auto"/>
          <w:kern w:val="2"/>
          <w:sz w:val="21"/>
          <w:szCs w:val="21"/>
          <w:lang w:val="en-US" w:eastAsia="zh-CN" w:bidi="ar"/>
        </w:rPr>
        <w:t>数据。</w:t>
      </w:r>
    </w:p>
    <w:p>
      <w:pPr>
        <w:ind w:firstLine="420" w:firstLineChars="0"/>
        <w:jc w:val="left"/>
        <w:rPr>
          <w:rFonts w:ascii="仿宋" w:hAnsi="仿宋" w:eastAsia="仿宋" w:cs="仿宋"/>
          <w:sz w:val="24"/>
          <w:highlight w:val="none"/>
        </w:rPr>
        <w:sectPr>
          <w:pgSz w:w="11906" w:h="16838"/>
          <w:pgMar w:top="1134" w:right="1134" w:bottom="1134" w:left="1134" w:header="851" w:footer="992" w:gutter="0"/>
          <w:pgNumType w:fmt="decimal"/>
          <w:cols w:space="0" w:num="1"/>
          <w:rtlGutter w:val="0"/>
          <w:docGrid w:type="lines" w:linePitch="321" w:charSpace="0"/>
        </w:sectPr>
      </w:pPr>
    </w:p>
    <w:p>
      <w:pPr>
        <w:jc w:val="center"/>
        <w:rPr>
          <w:rFonts w:ascii="仿宋" w:hAnsi="仿宋" w:eastAsia="仿宋" w:cs="仿宋"/>
          <w:sz w:val="32"/>
          <w:szCs w:val="32"/>
          <w:highlight w:val="none"/>
        </w:rPr>
      </w:pPr>
      <w:r>
        <w:rPr>
          <w:rFonts w:hint="eastAsia" w:ascii="黑体" w:hAnsi="黑体" w:eastAsia="黑体" w:cs="黑体"/>
          <w:sz w:val="30"/>
          <w:szCs w:val="30"/>
          <w:highlight w:val="none"/>
        </w:rPr>
        <w:t>第三部分：</w:t>
      </w:r>
      <w:r>
        <w:rPr>
          <w:rFonts w:ascii="黑体" w:hAnsi="黑体" w:eastAsia="黑体" w:cs="黑体"/>
          <w:sz w:val="30"/>
          <w:szCs w:val="30"/>
          <w:u w:color="auto"/>
        </w:rPr>
        <w:t>环江毛南族自治县洛阳镇中心小学</w:t>
      </w:r>
      <w:r>
        <w:rPr>
          <w:rFonts w:hint="eastAsia" w:ascii="黑体" w:hAnsi="黑体" w:eastAsia="黑体" w:cs="黑体"/>
          <w:sz w:val="30"/>
          <w:szCs w:val="30"/>
          <w:highlight w:val="none"/>
          <w:lang w:eastAsia="zh-CN"/>
        </w:rPr>
        <w:t>2023</w:t>
      </w:r>
      <w:r>
        <w:rPr>
          <w:rFonts w:hint="eastAsia" w:ascii="黑体" w:hAnsi="黑体" w:eastAsia="黑体" w:cs="黑体"/>
          <w:sz w:val="30"/>
          <w:szCs w:val="30"/>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年度总收入4001.26万元，较202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3716.61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增加284.65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增长7.66</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4001.26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3997.82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hint="default" w:ascii="宋体" w:hAnsi="宋体" w:eastAsia="宋体" w:cs="宋体"/>
          <w:color w:val="000000"/>
          <w:kern w:val="0"/>
          <w:sz w:val="32"/>
          <w:szCs w:val="32"/>
          <w:highlight w:val="none"/>
          <w:lang w:bidi="ar"/>
        </w:rPr>
        <w:t>3715.41</w:t>
      </w:r>
      <w:r>
        <w:rPr>
          <w:rFonts w:hint="eastAsia" w:ascii="宋体" w:hAnsi="宋体" w:eastAsia="宋体" w:cs="宋体"/>
          <w:color w:val="000000"/>
          <w:kern w:val="0"/>
          <w:sz w:val="32"/>
          <w:szCs w:val="32"/>
          <w:highlight w:val="none"/>
          <w:lang w:val="en-US" w:eastAsia="zh-CN" w:bidi="ar"/>
        </w:rPr>
        <w:t>万元</w:t>
      </w:r>
      <w:r>
        <w:rPr>
          <w:rFonts w:ascii="仿宋" w:hAnsi="仿宋" w:eastAsia="仿宋" w:cs="仿宋"/>
          <w:sz w:val="32"/>
          <w:u w:color="auto"/>
        </w:rPr>
        <w:t>增加</w:t>
      </w:r>
      <w:r>
        <w:rPr>
          <w:rFonts w:hint="eastAsia" w:ascii="仿宋" w:hAnsi="仿宋" w:eastAsia="仿宋" w:cs="仿宋"/>
          <w:sz w:val="32"/>
          <w:u w:color="auto"/>
          <w:lang w:val="en-US" w:eastAsia="zh-CN"/>
        </w:rPr>
        <w:t>282.41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7.60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教师工资福利提高。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2.政府性基金预算财政拨款收入3.44万元，为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本级财政当年拨付的资金。较2022年度决算数1.20万元</w:t>
      </w:r>
      <w:r>
        <w:rPr>
          <w:rFonts w:ascii="仿宋" w:hAnsi="仿宋" w:eastAsia="仿宋" w:cs="仿宋"/>
          <w:sz w:val="32"/>
          <w:u w:color="auto"/>
        </w:rPr>
        <w:t>增加</w:t>
      </w:r>
      <w:r>
        <w:rPr>
          <w:rFonts w:hint="eastAsia" w:ascii="仿宋" w:hAnsi="仿宋" w:eastAsia="仿宋" w:cs="仿宋"/>
          <w:sz w:val="32"/>
          <w:u w:color="auto"/>
          <w:lang w:val="en-US" w:eastAsia="zh-CN"/>
        </w:rPr>
        <w:t>2.24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186.67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主要原因是：本单位是财政全额拨款单位，没有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主要原因是：本单位是财政全额拨款单位，没有</w:t>
      </w:r>
      <w:r>
        <w:rPr>
          <w:rFonts w:hint="eastAsia" w:ascii="仿宋" w:hAnsi="仿宋" w:eastAsia="仿宋" w:cs="仿宋"/>
          <w:color w:val="auto"/>
          <w:kern w:val="2"/>
          <w:sz w:val="32"/>
          <w:szCs w:val="32"/>
          <w:highlight w:val="none"/>
          <w:lang w:val="en-US" w:eastAsia="zh-CN" w:bidi="ar"/>
        </w:rPr>
        <w:t>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主要原因是：本单位是财政全额拨款单位，</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本单位从事义务教学工作，没有经营性收入。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inline distT="0" distB="0" distL="114300" distR="114300">
            <wp:extent cx="4425315" cy="2103120"/>
            <wp:effectExtent l="4445" t="4445" r="5080"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rPr>
        <w:t>4001.26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3716.61</w:t>
      </w:r>
      <w:r>
        <w:rPr>
          <w:rFonts w:hint="eastAsia" w:ascii="仿宋" w:hAnsi="仿宋" w:eastAsia="仿宋" w:cs="仿宋"/>
          <w:sz w:val="32"/>
          <w:u w:color="auto"/>
          <w:lang w:val="en-US" w:eastAsia="zh-CN"/>
        </w:rPr>
        <w:t>增加增加284.65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增长7.66</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41.55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2023年工会经费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39.96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3.98</w:t>
      </w:r>
      <w:r>
        <w:rPr>
          <w:rFonts w:hint="eastAsia" w:ascii="仿宋" w:hAnsi="仿宋" w:eastAsia="仿宋" w:cs="仿宋"/>
          <w:sz w:val="32"/>
          <w:szCs w:val="32"/>
          <w:highlight w:val="none"/>
          <w:lang w:bidi="ar"/>
        </w:rPr>
        <w:t>%</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3095.3</w:t>
      </w:r>
      <w:r>
        <w:rPr>
          <w:rFonts w:hint="eastAsia" w:ascii="仿宋" w:hAnsi="仿宋" w:eastAsia="仿宋" w:cs="仿宋"/>
          <w:sz w:val="32"/>
          <w:szCs w:val="32"/>
          <w:highlight w:val="none"/>
        </w:rPr>
        <w:t>万元：</w:t>
      </w:r>
      <w:r>
        <w:rPr>
          <w:rFonts w:hint="eastAsia" w:ascii="仿宋_GB2312" w:hAnsi="仿宋_GB2312" w:eastAsia="仿宋_GB2312" w:cs="仿宋_GB2312"/>
          <w:bCs/>
          <w:kern w:val="0"/>
          <w:sz w:val="32"/>
          <w:szCs w:val="32"/>
          <w:highlight w:val="none"/>
        </w:rPr>
        <w:t>主要用于本部门为保证日常运转发生的基本支出，如根据国家及自治区规定</w:t>
      </w:r>
      <w:r>
        <w:rPr>
          <w:rFonts w:hint="eastAsia" w:ascii="仿宋_GB2312" w:hAnsi="仿宋_GB2312" w:eastAsia="仿宋_GB2312" w:cs="仿宋_GB2312"/>
          <w:bCs/>
          <w:spacing w:val="-3"/>
          <w:kern w:val="0"/>
          <w:sz w:val="32"/>
          <w:szCs w:val="32"/>
          <w:highlight w:val="none"/>
        </w:rPr>
        <w:t>的基本工资和津补贴标准等安排的人员经费支出和日常公用经</w:t>
      </w:r>
      <w:r>
        <w:rPr>
          <w:rFonts w:hint="eastAsia" w:ascii="仿宋_GB2312" w:hAnsi="仿宋_GB2312" w:eastAsia="仿宋_GB2312" w:cs="仿宋_GB2312"/>
          <w:bCs/>
          <w:kern w:val="0"/>
          <w:sz w:val="32"/>
          <w:szCs w:val="32"/>
          <w:highlight w:val="none"/>
        </w:rPr>
        <w:t>费支出</w:t>
      </w:r>
      <w:r>
        <w:rPr>
          <w:rFonts w:hint="eastAsia" w:ascii="仿宋_GB2312" w:hAnsi="仿宋_GB2312" w:eastAsia="仿宋_GB2312" w:cs="仿宋_GB2312"/>
          <w:bCs/>
          <w:kern w:val="0"/>
          <w:sz w:val="32"/>
          <w:szCs w:val="32"/>
          <w:highlight w:val="none"/>
          <w:lang w:eastAsia="zh-CN"/>
        </w:rPr>
        <w:t>，</w:t>
      </w:r>
      <w:r>
        <w:rPr>
          <w:rFonts w:hint="eastAsia" w:ascii="仿宋" w:hAnsi="仿宋" w:eastAsia="仿宋" w:cs="仿宋"/>
          <w:color w:val="auto"/>
          <w:sz w:val="32"/>
          <w:szCs w:val="32"/>
          <w:highlight w:val="none"/>
          <w:lang w:val="en-US" w:eastAsia="zh-CN"/>
        </w:rPr>
        <w:t>学校公用经费、寄宿生生活补助、困难学生生活补助、学生营养餐经费等</w:t>
      </w:r>
      <w:r>
        <w:rPr>
          <w:rFonts w:hint="eastAsia" w:ascii="仿宋_GB2312" w:hAnsi="仿宋_GB2312" w:eastAsia="仿宋_GB2312" w:cs="仿宋_GB2312"/>
          <w:bCs/>
          <w:kern w:val="0"/>
          <w:sz w:val="32"/>
          <w:szCs w:val="32"/>
          <w:highlight w:val="none"/>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2773.43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增加321.87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增长11.61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主要原因是：提高</w:t>
      </w:r>
      <w:r>
        <w:rPr>
          <w:rFonts w:hint="eastAsia" w:ascii="仿宋" w:hAnsi="仿宋" w:eastAsia="仿宋" w:cs="仿宋"/>
          <w:color w:val="auto"/>
          <w:kern w:val="2"/>
          <w:sz w:val="32"/>
          <w:szCs w:val="32"/>
          <w:highlight w:val="none"/>
          <w:lang w:val="en-US" w:eastAsia="zh-CN" w:bidi="ar"/>
        </w:rPr>
        <w:t>在职在编教职工工资待遇和</w:t>
      </w:r>
      <w:r>
        <w:rPr>
          <w:rFonts w:hint="eastAsia" w:ascii="仿宋" w:hAnsi="仿宋" w:eastAsia="仿宋" w:cs="仿宋"/>
          <w:color w:val="auto"/>
          <w:sz w:val="32"/>
          <w:szCs w:val="32"/>
          <w:highlight w:val="none"/>
          <w:lang w:val="en-US" w:eastAsia="zh-CN"/>
        </w:rPr>
        <w:t>学生营养餐经费提高</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304.61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kern w:val="2"/>
          <w:sz w:val="32"/>
          <w:szCs w:val="32"/>
          <w:highlight w:val="none"/>
          <w:lang w:val="en-US" w:eastAsia="zh-CN" w:bidi="ar"/>
        </w:rPr>
        <w:t>在职在编教职工社会保险缴费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280.40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增加24.21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增长8.63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在职在编教职工年度基数调整增加。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227.82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bCs/>
          <w:kern w:val="0"/>
          <w:sz w:val="32"/>
          <w:szCs w:val="32"/>
          <w:highlight w:val="none"/>
        </w:rPr>
        <w:t>本部门</w:t>
      </w:r>
      <w:r>
        <w:rPr>
          <w:rFonts w:hint="eastAsia" w:ascii="仿宋" w:hAnsi="仿宋" w:eastAsia="仿宋" w:cs="仿宋"/>
          <w:color w:val="auto"/>
          <w:kern w:val="2"/>
          <w:sz w:val="32"/>
          <w:szCs w:val="32"/>
          <w:highlight w:val="none"/>
          <w:lang w:val="en-US" w:eastAsia="zh-CN" w:bidi="ar"/>
        </w:rPr>
        <w:t>在职在编教职工</w:t>
      </w:r>
      <w:r>
        <w:rPr>
          <w:rFonts w:hint="eastAsia" w:ascii="仿宋_GB2312" w:hAnsi="仿宋_GB2312" w:eastAsia="仿宋_GB2312" w:cs="仿宋_GB2312"/>
          <w:bCs/>
          <w:kern w:val="0"/>
          <w:sz w:val="32"/>
          <w:szCs w:val="32"/>
          <w:highlight w:val="none"/>
        </w:rPr>
        <w:t>按规定的比例计缴的住房公积金。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209.05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18.77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8.98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主要原因是调整</w:t>
      </w:r>
      <w:r>
        <w:rPr>
          <w:rFonts w:hint="eastAsia" w:ascii="仿宋" w:hAnsi="仿宋" w:eastAsia="仿宋" w:cs="仿宋"/>
          <w:color w:val="auto"/>
          <w:kern w:val="2"/>
          <w:sz w:val="32"/>
          <w:szCs w:val="32"/>
          <w:highlight w:val="none"/>
          <w:lang w:val="en-US" w:eastAsia="zh-CN" w:bidi="ar"/>
        </w:rPr>
        <w:t>在职在编教职工计缴基数，计缴金额增加。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328.56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2022年</w:t>
      </w:r>
      <w:r>
        <w:rPr>
          <w:rFonts w:hint="eastAsia" w:ascii="仿宋" w:hAnsi="仿宋" w:eastAsia="仿宋" w:cs="仿宋"/>
          <w:color w:val="000000" w:themeColor="text1"/>
          <w:sz w:val="32"/>
          <w:szCs w:val="32"/>
          <w:highlight w:val="none"/>
          <w:lang w:eastAsia="zh-CN"/>
          <w14:textFill>
            <w14:solidFill>
              <w14:schemeClr w14:val="tx1"/>
            </w14:solidFill>
          </w14:textFill>
        </w:rPr>
        <w:t>奖励性补贴</w:t>
      </w:r>
      <w:r>
        <w:rPr>
          <w:rFonts w:hint="eastAsia" w:ascii="仿宋" w:hAnsi="仿宋" w:eastAsia="仿宋" w:cs="仿宋"/>
          <w:color w:val="000000" w:themeColor="text1"/>
          <w:sz w:val="32"/>
          <w:szCs w:val="32"/>
          <w:highlight w:val="none"/>
          <w:lang w:val="en-US" w:eastAsia="zh-CN"/>
          <w14:textFill>
            <w14:solidFill>
              <w14:schemeClr w14:val="tx1"/>
            </w14:solidFill>
          </w14:textFill>
        </w:rPr>
        <w:t>预发和结算的发放</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413.77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85.21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20.59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主要原因是：学校在职在编教师人数较上一年减少</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20" w:firstLineChars="200"/>
        <w:jc w:val="left"/>
        <w:textAlignment w:val="auto"/>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drawing>
          <wp:inline distT="0" distB="0" distL="114300" distR="114300">
            <wp:extent cx="5605780" cy="4432300"/>
            <wp:effectExtent l="4445" t="4445" r="13335" b="1333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年度一般公共预算财政拨款支出3997.82万元，较202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3715.41</w:t>
      </w:r>
      <w:r>
        <w:rPr>
          <w:rFonts w:hint="eastAsia" w:ascii="仿宋" w:hAnsi="仿宋" w:eastAsia="仿宋" w:cs="仿宋"/>
          <w:sz w:val="32"/>
          <w:szCs w:val="32"/>
          <w:highlight w:val="none"/>
        </w:rPr>
        <w:t>万元</w:t>
      </w:r>
      <w:r>
        <w:rPr>
          <w:rFonts w:ascii="仿宋" w:hAnsi="仿宋" w:eastAsia="仿宋" w:cs="仿宋"/>
          <w:sz w:val="32"/>
          <w:u w:color="auto"/>
        </w:rPr>
        <w:t>增加</w:t>
      </w:r>
      <w:r>
        <w:rPr>
          <w:rFonts w:hint="eastAsia" w:ascii="仿宋" w:hAnsi="仿宋" w:eastAsia="仿宋" w:cs="仿宋"/>
          <w:sz w:val="32"/>
          <w:u w:color="auto"/>
          <w:lang w:val="en-US" w:eastAsia="zh-CN"/>
        </w:rPr>
        <w:t>282.41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7.60</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3441.85</w:t>
      </w:r>
      <w:r>
        <w:rPr>
          <w:rFonts w:hint="eastAsia" w:ascii="仿宋" w:hAnsi="仿宋" w:eastAsia="仿宋" w:cs="仿宋"/>
          <w:sz w:val="32"/>
          <w:szCs w:val="32"/>
          <w:highlight w:val="none"/>
        </w:rPr>
        <w:t>万元，项目支出</w:t>
      </w:r>
      <w:r>
        <w:rPr>
          <w:rFonts w:hint="eastAsia" w:ascii="仿宋" w:hAnsi="仿宋" w:eastAsia="仿宋" w:cs="仿宋"/>
          <w:sz w:val="32"/>
          <w:u w:color="auto"/>
        </w:rPr>
        <w:t>559.41</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3003.06</w:t>
      </w:r>
      <w:r>
        <w:rPr>
          <w:rFonts w:hint="eastAsia" w:ascii="仿宋" w:hAnsi="仿宋" w:eastAsia="仿宋" w:cs="仿宋"/>
          <w:sz w:val="32"/>
          <w:szCs w:val="32"/>
          <w:highlight w:val="none"/>
        </w:rPr>
        <w:t>万元，支出决算为</w:t>
      </w:r>
      <w:r>
        <w:rPr>
          <w:rFonts w:hint="eastAsia" w:ascii="仿宋" w:hAnsi="仿宋" w:eastAsia="仿宋" w:cs="仿宋"/>
          <w:sz w:val="32"/>
          <w:u w:color="auto"/>
        </w:rPr>
        <w:t>3997.82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比年初预算增加994.76万元，</w:t>
      </w:r>
      <w:r>
        <w:rPr>
          <w:rFonts w:hint="eastAsia" w:ascii="仿宋" w:hAnsi="仿宋" w:eastAsia="仿宋" w:cs="仿宋"/>
          <w:sz w:val="32"/>
          <w:szCs w:val="32"/>
          <w:highlight w:val="none"/>
        </w:rPr>
        <w:t>完成年初预算的</w:t>
      </w:r>
      <w:r>
        <w:rPr>
          <w:rFonts w:hint="eastAsia" w:ascii="仿宋" w:hAnsi="仿宋" w:eastAsia="仿宋" w:cs="仿宋"/>
          <w:sz w:val="32"/>
          <w:u w:color="auto"/>
          <w:lang w:val="en-US" w:eastAsia="zh-CN"/>
        </w:rPr>
        <w:t>133.12</w:t>
      </w:r>
      <w:r>
        <w:rPr>
          <w:rFonts w:ascii="仿宋" w:hAnsi="仿宋" w:eastAsia="仿宋" w:cs="仿宋"/>
          <w:sz w:val="32"/>
          <w:u w:color="auto"/>
        </w:rPr>
        <w:t>%</w:t>
      </w:r>
      <w:r>
        <w:rPr>
          <w:rFonts w:hint="eastAsia" w:ascii="仿宋" w:hAnsi="仿宋" w:eastAsia="仿宋" w:cs="仿宋"/>
          <w:sz w:val="32"/>
          <w:szCs w:val="32"/>
          <w:highlight w:val="none"/>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eastAsia" w:ascii="仿宋" w:hAnsi="仿宋" w:eastAsia="仿宋"/>
          <w:sz w:val="32"/>
          <w:szCs w:val="32"/>
          <w:highlight w:val="none"/>
        </w:rPr>
      </w:pPr>
      <w:bookmarkStart w:id="1" w:name="OLE_LINK2"/>
      <w:bookmarkEnd w:id="1"/>
      <w:r>
        <w:rPr>
          <w:rFonts w:hint="eastAsia" w:ascii="仿宋" w:hAnsi="仿宋" w:eastAsia="仿宋" w:cstheme="minorBidi"/>
          <w:kern w:val="2"/>
          <w:sz w:val="32"/>
          <w:szCs w:val="32"/>
          <w:lang w:val="en-US" w:eastAsia="zh-CN" w:bidi="ar-SA"/>
        </w:rPr>
        <w:t>1.</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41.55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41.55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tbl>
      <w:tblPr>
        <w:tblStyle w:val="6"/>
        <w:tblW w:w="8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5"/>
        <w:gridCol w:w="2232"/>
        <w:gridCol w:w="852"/>
        <w:gridCol w:w="804"/>
        <w:gridCol w:w="18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223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5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8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5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2232"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85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41.55</w:t>
            </w:r>
          </w:p>
        </w:tc>
        <w:tc>
          <w:tcPr>
            <w:tcW w:w="80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41.55</w:t>
            </w:r>
          </w:p>
        </w:tc>
        <w:tc>
          <w:tcPr>
            <w:tcW w:w="18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5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2023年工会费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2232"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5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41.55</w:t>
            </w:r>
          </w:p>
        </w:tc>
        <w:tc>
          <w:tcPr>
            <w:tcW w:w="80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41.55</w:t>
            </w:r>
          </w:p>
        </w:tc>
        <w:tc>
          <w:tcPr>
            <w:tcW w:w="18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5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jc w:val="center"/>
        <w:textAlignment w:val="auto"/>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5236210" cy="2862580"/>
            <wp:effectExtent l="4445" t="4445" r="17145" b="952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 w:hAnsi="仿宋" w:eastAsia="仿宋" w:cstheme="minorBidi"/>
          <w:kern w:val="2"/>
          <w:sz w:val="32"/>
          <w:szCs w:val="32"/>
          <w:lang w:val="en-US" w:eastAsia="zh-CN" w:bidi="ar-SA"/>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cstheme="minorBidi"/>
          <w:kern w:val="2"/>
          <w:sz w:val="32"/>
          <w:szCs w:val="32"/>
          <w:lang w:val="en-US" w:eastAsia="zh-CN" w:bidi="ar-SA"/>
        </w:rPr>
        <w:t>2.</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2354.16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3095.29</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其中</w:t>
      </w:r>
      <w:r>
        <w:rPr>
          <w:rFonts w:hint="eastAsia" w:ascii="宋体" w:hAnsi="宋体" w:eastAsia="宋体" w:cs="宋体"/>
          <w:i w:val="0"/>
          <w:iCs w:val="0"/>
          <w:color w:val="000000"/>
          <w:sz w:val="32"/>
          <w:szCs w:val="32"/>
          <w:highlight w:val="none"/>
          <w:u w:val="none"/>
          <w:lang w:val="en-US" w:eastAsia="zh-CN"/>
        </w:rPr>
        <w:t>学前教育</w:t>
      </w:r>
      <w:r>
        <w:rPr>
          <w:rFonts w:hint="eastAsia" w:ascii="仿宋" w:hAnsi="仿宋" w:eastAsia="仿宋" w:cs="仿宋"/>
          <w:color w:val="auto"/>
          <w:kern w:val="2"/>
          <w:sz w:val="32"/>
          <w:szCs w:val="32"/>
          <w:highlight w:val="none"/>
          <w:lang w:val="en-US" w:eastAsia="zh-CN" w:bidi="ar"/>
        </w:rPr>
        <w:t>支出9.2万元，</w:t>
      </w:r>
      <w:r>
        <w:rPr>
          <w:rFonts w:hint="eastAsia" w:ascii="宋体" w:hAnsi="宋体" w:eastAsia="宋体" w:cs="宋体"/>
          <w:i w:val="0"/>
          <w:iCs w:val="0"/>
          <w:color w:val="000000"/>
          <w:sz w:val="32"/>
          <w:szCs w:val="32"/>
          <w:highlight w:val="none"/>
          <w:u w:val="none"/>
          <w:lang w:val="en-US" w:eastAsia="zh-CN"/>
        </w:rPr>
        <w:t>小学教育支出3072.72万元，初中教育支出5.06万元，其他普通教育支出5.62万元，其他教育费附加安排的支出2.70万元。</w:t>
      </w:r>
      <w:r>
        <w:rPr>
          <w:rFonts w:hint="eastAsia" w:ascii="仿宋" w:hAnsi="仿宋" w:eastAsia="仿宋" w:cs="仿宋"/>
          <w:sz w:val="32"/>
          <w:szCs w:val="32"/>
          <w:highlight w:val="none"/>
          <w:lang w:val="en-US" w:eastAsia="zh-CN"/>
        </w:rPr>
        <w:t>比年初预算增加741.13万元，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130.52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主要原因是增加发放在职在编教师的基础性绩效工资增量、年内教师薪级晋升和岗位变动工资提高、退休教师生活补贴、抚恤金等。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ascii="仿宋" w:hAnsi="仿宋" w:eastAsia="仿宋"/>
          <w:sz w:val="32"/>
          <w:szCs w:val="32"/>
          <w:highlight w:val="no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ascii="仿宋" w:hAnsi="仿宋" w:eastAsia="仿宋"/>
          <w:sz w:val="32"/>
          <w:szCs w:val="32"/>
          <w:highlight w:val="none"/>
          <w:lang w:val="en-US" w:eastAsia="zh-CN"/>
        </w:rPr>
      </w:pPr>
    </w:p>
    <w:tbl>
      <w:tblPr>
        <w:tblStyle w:val="6"/>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7"/>
        <w:gridCol w:w="1157"/>
        <w:gridCol w:w="1068"/>
        <w:gridCol w:w="866"/>
        <w:gridCol w:w="1179"/>
        <w:gridCol w:w="1917"/>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5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6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6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79"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1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6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jc w:val="center"/>
        </w:trPr>
        <w:tc>
          <w:tcPr>
            <w:tcW w:w="1027"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157"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106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6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9.20</w:t>
            </w:r>
          </w:p>
        </w:tc>
        <w:tc>
          <w:tcPr>
            <w:tcW w:w="1179"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lang w:val="en-US" w:eastAsia="zh-CN"/>
              </w:rPr>
            </w:pPr>
          </w:p>
        </w:tc>
        <w:tc>
          <w:tcPr>
            <w:tcW w:w="191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办公费支出</w:t>
            </w:r>
          </w:p>
        </w:tc>
        <w:tc>
          <w:tcPr>
            <w:tcW w:w="196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功能科目调整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7"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157" w:type="dxa"/>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小学教育</w:t>
            </w:r>
          </w:p>
        </w:tc>
        <w:tc>
          <w:tcPr>
            <w:tcW w:w="1068" w:type="dxa"/>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2354.16</w:t>
            </w:r>
          </w:p>
        </w:tc>
        <w:tc>
          <w:tcPr>
            <w:tcW w:w="866" w:type="dxa"/>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3072.72</w:t>
            </w:r>
          </w:p>
        </w:tc>
        <w:tc>
          <w:tcPr>
            <w:tcW w:w="1179" w:type="dxa"/>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2"/>
                <w:sz w:val="18"/>
                <w:szCs w:val="18"/>
                <w:highlight w:val="none"/>
                <w:u w:val="none"/>
                <w:lang w:val="en-US" w:eastAsia="zh-CN" w:bidi="ar-SA"/>
              </w:rPr>
              <w:t>130.52%</w:t>
            </w:r>
          </w:p>
        </w:tc>
        <w:tc>
          <w:tcPr>
            <w:tcW w:w="1917" w:type="dxa"/>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color w:val="auto"/>
                <w:kern w:val="2"/>
                <w:sz w:val="21"/>
                <w:szCs w:val="21"/>
                <w:highlight w:val="none"/>
                <w:lang w:val="en-US" w:eastAsia="zh-CN" w:bidi="ar"/>
              </w:rPr>
              <w:t>教师工资福利支出、商品服务支出、退休生活补，寄宿生生活补、学生营养餐支出等</w:t>
            </w:r>
          </w:p>
        </w:tc>
        <w:tc>
          <w:tcPr>
            <w:tcW w:w="1962"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sz w:val="21"/>
                <w:szCs w:val="21"/>
                <w:highlight w:val="none"/>
                <w:lang w:val="en-US" w:eastAsia="zh-CN"/>
              </w:rPr>
              <w:t>年内教师薪级晋升和岗位变动工资提高、退休教师生活补贴、抚恤金及部门资金由上级部门预算直接下达，本部门无需预算。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7"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157"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106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6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5.06</w:t>
            </w:r>
          </w:p>
        </w:tc>
        <w:tc>
          <w:tcPr>
            <w:tcW w:w="1179"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lang w:val="en-US" w:eastAsia="zh-CN"/>
              </w:rPr>
            </w:pPr>
          </w:p>
        </w:tc>
        <w:tc>
          <w:tcPr>
            <w:tcW w:w="191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办公费支出</w:t>
            </w:r>
          </w:p>
        </w:tc>
        <w:tc>
          <w:tcPr>
            <w:tcW w:w="196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功能科目调整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jc w:val="center"/>
        </w:trPr>
        <w:tc>
          <w:tcPr>
            <w:tcW w:w="1027"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157"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106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6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5.62</w:t>
            </w:r>
          </w:p>
        </w:tc>
        <w:tc>
          <w:tcPr>
            <w:tcW w:w="1179"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lang w:val="en-US" w:eastAsia="zh-CN"/>
              </w:rPr>
            </w:pPr>
          </w:p>
        </w:tc>
        <w:tc>
          <w:tcPr>
            <w:tcW w:w="191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学生营养餐支出</w:t>
            </w:r>
          </w:p>
        </w:tc>
        <w:tc>
          <w:tcPr>
            <w:tcW w:w="196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本项奖金由上级部门直接下达，本单位年初无需做预算。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jc w:val="center"/>
        </w:trPr>
        <w:tc>
          <w:tcPr>
            <w:tcW w:w="1027"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157"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106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6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2.70</w:t>
            </w:r>
          </w:p>
        </w:tc>
        <w:tc>
          <w:tcPr>
            <w:tcW w:w="1179"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lang w:val="en-US" w:eastAsia="zh-CN"/>
              </w:rPr>
            </w:pPr>
          </w:p>
        </w:tc>
        <w:tc>
          <w:tcPr>
            <w:tcW w:w="191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学校兼职协管员工资支出</w:t>
            </w:r>
          </w:p>
        </w:tc>
        <w:tc>
          <w:tcPr>
            <w:tcW w:w="196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本项奖金由上级部门直接下达，本单位年初无需做预算。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1027"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157"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6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2354.16</w:t>
            </w:r>
          </w:p>
        </w:tc>
        <w:tc>
          <w:tcPr>
            <w:tcW w:w="86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3095.29</w:t>
            </w:r>
          </w:p>
        </w:tc>
        <w:tc>
          <w:tcPr>
            <w:tcW w:w="1179"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1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96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jc w:val="both"/>
        <w:textAlignment w:val="auto"/>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Chars="200" w:right="0" w:rightChars="0"/>
        <w:jc w:val="both"/>
        <w:textAlignment w:val="auto"/>
        <w:rPr>
          <w:rFonts w:hint="eastAsia" w:ascii="仿宋" w:hAnsi="仿宋" w:eastAsia="仿宋"/>
          <w:sz w:val="32"/>
          <w:szCs w:val="32"/>
          <w:highlight w:val="none"/>
        </w:rPr>
      </w:pPr>
      <w:r>
        <w:rPr>
          <w:rFonts w:hint="eastAsia"/>
          <w:lang w:val="en-US" w:eastAsia="zh-CN"/>
        </w:rPr>
        <w:t xml:space="preserve">        </w:t>
      </w:r>
      <w:r>
        <w:drawing>
          <wp:inline distT="0" distB="0" distL="114300" distR="114300">
            <wp:extent cx="4581525" cy="3028950"/>
            <wp:effectExtent l="4445" t="4445" r="5080" b="14605"/>
            <wp:docPr id="105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sz w:val="32"/>
          <w:szCs w:val="32"/>
          <w:highlight w:val="none"/>
          <w:lang w:val="en-US" w:eastAsia="zh-CN"/>
        </w:rPr>
      </w:pPr>
      <w:r>
        <w:rPr>
          <w:rFonts w:hint="eastAsia" w:ascii="仿宋" w:hAnsi="仿宋" w:eastAsia="仿宋" w:cstheme="minorBidi"/>
          <w:kern w:val="2"/>
          <w:sz w:val="32"/>
          <w:szCs w:val="32"/>
          <w:lang w:val="en-US" w:eastAsia="zh-CN" w:bidi="ar-SA"/>
        </w:rPr>
        <w:t>3.</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346.05</w:t>
      </w:r>
      <w:r>
        <w:rPr>
          <w:rFonts w:hint="eastAsia" w:ascii="仿宋" w:hAnsi="仿宋" w:eastAsia="仿宋"/>
          <w:sz w:val="32"/>
          <w:szCs w:val="32"/>
          <w:highlight w:val="none"/>
        </w:rPr>
        <w:t>万元，支出决算为304.61万元，</w:t>
      </w:r>
      <w:r>
        <w:rPr>
          <w:rFonts w:hint="eastAsia" w:ascii="仿宋" w:hAnsi="仿宋" w:eastAsia="仿宋" w:cs="仿宋"/>
          <w:sz w:val="32"/>
          <w:szCs w:val="32"/>
          <w:highlight w:val="none"/>
          <w:lang w:val="en-US" w:eastAsia="zh-CN"/>
        </w:rPr>
        <w:t>比年初预算降低41.44万元，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88.02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主要原因是上半年3月份有24位教师编制调出，</w:t>
      </w:r>
      <w:r>
        <w:rPr>
          <w:rFonts w:hint="eastAsia" w:ascii="仿宋" w:hAnsi="仿宋" w:eastAsia="仿宋"/>
          <w:sz w:val="32"/>
          <w:szCs w:val="32"/>
          <w:highlight w:val="none"/>
        </w:rPr>
        <w:t>社会保障</w:t>
      </w:r>
      <w:r>
        <w:rPr>
          <w:rFonts w:hint="eastAsia" w:ascii="仿宋" w:hAnsi="仿宋" w:eastAsia="仿宋"/>
          <w:sz w:val="32"/>
          <w:szCs w:val="32"/>
          <w:highlight w:val="none"/>
          <w:lang w:val="en-US" w:eastAsia="zh-CN"/>
        </w:rPr>
        <w:t>类减少支出。</w:t>
      </w:r>
    </w:p>
    <w:tbl>
      <w:tblPr>
        <w:tblStyle w:val="6"/>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346.05</w:t>
            </w:r>
          </w:p>
        </w:tc>
        <w:tc>
          <w:tcPr>
            <w:tcW w:w="80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304.61</w:t>
            </w:r>
          </w:p>
        </w:tc>
        <w:tc>
          <w:tcPr>
            <w:tcW w:w="109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88.02%</w:t>
            </w:r>
          </w:p>
        </w:tc>
        <w:tc>
          <w:tcPr>
            <w:tcW w:w="1783"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在职在编教师养老保险缴费</w:t>
            </w:r>
          </w:p>
        </w:tc>
        <w:tc>
          <w:tcPr>
            <w:tcW w:w="1825" w:type="dxa"/>
            <w:shd w:val="clear" w:color="auto" w:fill="FFFFFF"/>
            <w:noWrap/>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sz w:val="21"/>
                <w:szCs w:val="21"/>
                <w:highlight w:val="none"/>
                <w:lang w:val="en-US" w:eastAsia="zh-CN"/>
              </w:rPr>
              <w:t>上半年3月份有24位教师编制调出，</w:t>
            </w:r>
            <w:r>
              <w:rPr>
                <w:rFonts w:hint="eastAsia" w:ascii="仿宋" w:hAnsi="仿宋" w:eastAsia="仿宋"/>
                <w:sz w:val="21"/>
                <w:szCs w:val="21"/>
                <w:highlight w:val="none"/>
              </w:rPr>
              <w:t>社会保障</w:t>
            </w:r>
            <w:r>
              <w:rPr>
                <w:rFonts w:hint="eastAsia" w:ascii="仿宋" w:hAnsi="仿宋" w:eastAsia="仿宋"/>
                <w:sz w:val="21"/>
                <w:szCs w:val="21"/>
                <w:highlight w:val="none"/>
                <w:lang w:val="en-US" w:eastAsia="zh-CN"/>
              </w:rPr>
              <w:t>类减少支出。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346.05</w:t>
            </w:r>
          </w:p>
        </w:tc>
        <w:tc>
          <w:tcPr>
            <w:tcW w:w="80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304.61</w:t>
            </w:r>
          </w:p>
        </w:tc>
        <w:tc>
          <w:tcPr>
            <w:tcW w:w="109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88.02%</w:t>
            </w:r>
          </w:p>
        </w:tc>
        <w:tc>
          <w:tcPr>
            <w:tcW w:w="1783"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sz w:val="32"/>
          <w:szCs w:val="32"/>
          <w:highlight w:val="none"/>
        </w:rPr>
      </w:pPr>
      <w:r>
        <w:drawing>
          <wp:inline distT="0" distB="0" distL="114300" distR="114300">
            <wp:extent cx="4581525" cy="3028950"/>
            <wp:effectExtent l="4445" t="4445" r="5080"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theme="minorBidi"/>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theme="minorBidi"/>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highlight w:val="none"/>
        </w:rPr>
      </w:pPr>
      <w:r>
        <w:rPr>
          <w:rFonts w:hint="eastAsia" w:ascii="仿宋" w:hAnsi="仿宋" w:eastAsia="仿宋" w:cstheme="minorBidi"/>
          <w:kern w:val="2"/>
          <w:sz w:val="32"/>
          <w:szCs w:val="32"/>
          <w:lang w:val="en-US" w:eastAsia="zh-CN" w:bidi="ar-SA"/>
        </w:rPr>
        <w:t>4.</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259.54</w:t>
      </w:r>
      <w:r>
        <w:rPr>
          <w:rFonts w:hint="eastAsia" w:ascii="仿宋" w:hAnsi="仿宋" w:eastAsia="仿宋"/>
          <w:sz w:val="32"/>
          <w:szCs w:val="32"/>
          <w:highlight w:val="none"/>
        </w:rPr>
        <w:t>万元，支出决算为227.82万元，</w:t>
      </w:r>
      <w:r>
        <w:rPr>
          <w:rFonts w:hint="eastAsia" w:ascii="仿宋" w:hAnsi="仿宋" w:eastAsia="仿宋" w:cs="仿宋"/>
          <w:sz w:val="32"/>
          <w:szCs w:val="32"/>
          <w:highlight w:val="none"/>
          <w:lang w:val="en-US" w:eastAsia="zh-CN"/>
        </w:rPr>
        <w:t>比年初预算降低31.72万元，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87.78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主要原因是上半年3月份有24位教师编制调出，住房</w:t>
      </w:r>
      <w:r>
        <w:rPr>
          <w:rFonts w:hint="eastAsia" w:ascii="仿宋" w:hAnsi="仿宋" w:eastAsia="仿宋"/>
          <w:sz w:val="32"/>
          <w:szCs w:val="32"/>
          <w:highlight w:val="none"/>
        </w:rPr>
        <w:t>保障</w:t>
      </w:r>
      <w:r>
        <w:rPr>
          <w:rFonts w:hint="eastAsia" w:ascii="仿宋" w:hAnsi="仿宋" w:eastAsia="仿宋"/>
          <w:sz w:val="32"/>
          <w:szCs w:val="32"/>
          <w:highlight w:val="none"/>
          <w:lang w:val="en-US" w:eastAsia="zh-CN"/>
        </w:rPr>
        <w:t>类减少支出。</w:t>
      </w:r>
    </w:p>
    <w:tbl>
      <w:tblPr>
        <w:tblStyle w:val="6"/>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61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259.54</w:t>
            </w:r>
          </w:p>
        </w:tc>
        <w:tc>
          <w:tcPr>
            <w:tcW w:w="80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227.82</w:t>
            </w:r>
          </w:p>
        </w:tc>
        <w:tc>
          <w:tcPr>
            <w:tcW w:w="109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87.78%</w:t>
            </w:r>
          </w:p>
        </w:tc>
        <w:tc>
          <w:tcPr>
            <w:tcW w:w="1783"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在职在编教师公积金缴费</w:t>
            </w:r>
          </w:p>
        </w:tc>
        <w:tc>
          <w:tcPr>
            <w:tcW w:w="2614"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sz w:val="21"/>
                <w:szCs w:val="21"/>
                <w:highlight w:val="none"/>
                <w:lang w:val="en-US" w:eastAsia="zh-CN"/>
              </w:rPr>
              <w:t>上半年3月份有24位教师编制调出，住房</w:t>
            </w:r>
            <w:r>
              <w:rPr>
                <w:rFonts w:hint="eastAsia" w:ascii="仿宋" w:hAnsi="仿宋" w:eastAsia="仿宋"/>
                <w:sz w:val="21"/>
                <w:szCs w:val="21"/>
                <w:highlight w:val="none"/>
              </w:rPr>
              <w:t>保障</w:t>
            </w:r>
            <w:r>
              <w:rPr>
                <w:rFonts w:hint="eastAsia" w:ascii="仿宋" w:hAnsi="仿宋" w:eastAsia="仿宋"/>
                <w:sz w:val="21"/>
                <w:szCs w:val="21"/>
                <w:highlight w:val="none"/>
                <w:lang w:val="en-US" w:eastAsia="zh-CN"/>
              </w:rPr>
              <w:t>类减少支出。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259.54</w:t>
            </w:r>
          </w:p>
        </w:tc>
        <w:tc>
          <w:tcPr>
            <w:tcW w:w="80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227.82</w:t>
            </w:r>
          </w:p>
        </w:tc>
        <w:tc>
          <w:tcPr>
            <w:tcW w:w="109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87.78%</w:t>
            </w:r>
          </w:p>
        </w:tc>
        <w:tc>
          <w:tcPr>
            <w:tcW w:w="1783"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61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sz w:val="32"/>
          <w:szCs w:val="32"/>
          <w:highlight w:val="none"/>
        </w:rPr>
      </w:pPr>
      <w:r>
        <w:drawing>
          <wp:inline distT="0" distB="0" distL="114300" distR="114300">
            <wp:extent cx="4581525" cy="2610485"/>
            <wp:effectExtent l="4445" t="4445" r="5080" b="1397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highlight w:val="none"/>
        </w:rPr>
      </w:pPr>
      <w:r>
        <w:rPr>
          <w:rFonts w:hint="eastAsia" w:ascii="仿宋" w:hAnsi="仿宋" w:eastAsia="仿宋" w:cstheme="minorBidi"/>
          <w:kern w:val="2"/>
          <w:sz w:val="32"/>
          <w:szCs w:val="32"/>
          <w:lang w:val="en-US" w:eastAsia="zh-CN" w:bidi="ar-SA"/>
        </w:rPr>
        <w:t>5.</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328.56</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比年初预算增加了328.56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奖励性补贴</w:t>
      </w:r>
      <w:r>
        <w:rPr>
          <w:rFonts w:hint="eastAsia" w:ascii="仿宋" w:hAnsi="仿宋" w:eastAsia="仿宋" w:cs="仿宋"/>
          <w:color w:val="000000" w:themeColor="text1"/>
          <w:sz w:val="32"/>
          <w:szCs w:val="32"/>
          <w:highlight w:val="none"/>
          <w:lang w:val="en-US" w:eastAsia="zh-CN"/>
          <w14:textFill>
            <w14:solidFill>
              <w14:schemeClr w14:val="tx1"/>
            </w14:solidFill>
          </w14:textFill>
        </w:rPr>
        <w:t>预发和结算的发放</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lang w:val="en-US" w:eastAsia="zh-CN"/>
        </w:rPr>
        <w:t>本项资金年初没有做预算</w:t>
      </w:r>
      <w:r>
        <w:rPr>
          <w:rFonts w:hint="eastAsia" w:ascii="仿宋" w:hAnsi="仿宋" w:eastAsia="仿宋"/>
          <w:sz w:val="32"/>
          <w:szCs w:val="32"/>
          <w:highlight w:val="none"/>
        </w:rPr>
        <w:t>。</w:t>
      </w:r>
    </w:p>
    <w:tbl>
      <w:tblPr>
        <w:tblStyle w:val="6"/>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328.56</w:t>
            </w:r>
          </w:p>
        </w:tc>
        <w:tc>
          <w:tcPr>
            <w:tcW w:w="109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4"/>
                <w:szCs w:val="24"/>
                <w:highlight w:val="none"/>
                <w:lang w:eastAsia="zh-CN"/>
                <w14:textFill>
                  <w14:solidFill>
                    <w14:schemeClr w14:val="tx1"/>
                  </w14:solidFill>
                </w14:textFill>
              </w:rPr>
              <w:t>奖励性补贴</w:t>
            </w:r>
            <w:r>
              <w:rPr>
                <w:rFonts w:hint="eastAsia" w:ascii="仿宋" w:hAnsi="仿宋" w:eastAsia="仿宋" w:cs="仿宋"/>
                <w:color w:val="000000" w:themeColor="text1"/>
                <w:sz w:val="24"/>
                <w:szCs w:val="24"/>
                <w:highlight w:val="none"/>
                <w:lang w:val="en-US" w:eastAsia="zh-CN"/>
                <w14:textFill>
                  <w14:solidFill>
                    <w14:schemeClr w14:val="tx1"/>
                  </w14:solidFill>
                </w14:textFill>
              </w:rPr>
              <w:t>预发和结算的发放</w:t>
            </w:r>
          </w:p>
        </w:tc>
        <w:tc>
          <w:tcPr>
            <w:tcW w:w="1825"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本项奖金由上级部门直接下达，本单位年初无需做预算。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328.56</w:t>
            </w:r>
          </w:p>
        </w:tc>
        <w:tc>
          <w:tcPr>
            <w:tcW w:w="1097"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sz w:val="32"/>
          <w:szCs w:val="32"/>
          <w:highlight w:val="none"/>
        </w:rPr>
      </w:pPr>
      <w:r>
        <w:drawing>
          <wp:inline distT="0" distB="0" distL="114300" distR="114300">
            <wp:extent cx="4581525" cy="3028950"/>
            <wp:effectExtent l="4445" t="4445" r="5080"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szCs w:val="32"/>
          <w:highlight w:val="none"/>
          <w:lang w:val="en-US" w:eastAsia="zh-CN"/>
        </w:rPr>
        <w:t>3441.86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3400.31</w:t>
      </w:r>
      <w:r>
        <w:rPr>
          <w:rFonts w:hint="default" w:ascii="仿宋_GB2312" w:hAnsi="微软雅黑" w:eastAsia="仿宋_GB2312" w:cs="仿宋_GB2312"/>
          <w:i w:val="0"/>
          <w:iCs w:val="0"/>
          <w:caps w:val="0"/>
          <w:color w:val="000000"/>
          <w:spacing w:val="0"/>
          <w:sz w:val="31"/>
          <w:szCs w:val="31"/>
          <w:highlight w:val="none"/>
          <w:shd w:val="clear" w:color="auto" w:fill="FFFFFF"/>
        </w:rPr>
        <w:t>万元，商品和服务支出</w:t>
      </w:r>
      <w:r>
        <w:rPr>
          <w:rFonts w:hint="eastAsia" w:ascii="仿宋" w:hAnsi="仿宋" w:eastAsia="仿宋" w:cs="仿宋"/>
          <w:sz w:val="32"/>
          <w:szCs w:val="32"/>
          <w:highlight w:val="none"/>
          <w:lang w:val="en-US" w:eastAsia="zh-CN"/>
        </w:rPr>
        <w:t>41.55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3161.67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950.74万元，30102津贴补贴217.38万元，30103奖金876.81万元，30107绩效工资445.59万元，30108机关事业单位基本养老保险缴费304.61万元，30110职工基本医疗保险缴费123.4万元，30112其他社会保障缴费15.31万元，30113住房公积金227.82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23385" cy="2218055"/>
            <wp:effectExtent l="4445" t="4445" r="8890" b="1778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41.55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30228工会经费41.55万元。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033520" cy="1997710"/>
            <wp:effectExtent l="4445" t="5080" r="15875" b="889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rPr>
        <w:t>238.64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30304抚恤金35.89万元，30305生活补助202.68万元，30308助学金227.87万元，30309奖励金0.07万元。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原因是本单位无债务。</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01160" cy="2880995"/>
            <wp:effectExtent l="5080" t="5080" r="15240" b="952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jc w:val="center"/>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原因是本单位无</w:t>
      </w:r>
      <w:r>
        <w:rPr>
          <w:rFonts w:hint="eastAsia" w:ascii="仿宋" w:hAnsi="仿宋" w:eastAsia="仿宋" w:cs="仿宋"/>
          <w:sz w:val="32"/>
          <w:szCs w:val="32"/>
          <w:highlight w:val="none"/>
        </w:rPr>
        <w:t>资本性支出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本单位年内没有其他支出。</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3.44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减少1.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增长186.67</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3.44</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hint="eastAsia" w:ascii="仿宋" w:hAnsi="仿宋" w:eastAsia="仿宋" w:cs="仿宋"/>
          <w:sz w:val="32"/>
          <w:szCs w:val="32"/>
          <w:highlight w:val="none"/>
          <w:lang w:val="en-US" w:eastAsia="zh-CN"/>
        </w:rPr>
        <w:t>1.77</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3.44</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194.35</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用于教育事业的彩票公益金支出</w:t>
      </w:r>
      <w:r>
        <w:rPr>
          <w:rFonts w:hint="eastAsia" w:ascii="仿宋" w:hAnsi="仿宋" w:eastAsia="仿宋" w:cs="仿宋"/>
          <w:color w:val="000000"/>
          <w:sz w:val="32"/>
          <w:szCs w:val="32"/>
          <w:shd w:val="clear" w:color="auto" w:fill="FFFFFF"/>
        </w:rPr>
        <w:t>（项）年初预算为</w:t>
      </w:r>
      <w:r>
        <w:rPr>
          <w:rFonts w:hint="eastAsia" w:ascii="仿宋" w:hAnsi="仿宋" w:eastAsia="仿宋" w:cs="仿宋"/>
          <w:color w:val="000000"/>
          <w:sz w:val="32"/>
          <w:u w:color="auto"/>
          <w:lang w:val="en-US" w:eastAsia="zh-CN"/>
        </w:rPr>
        <w:t>1.77</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u w:color="auto"/>
          <w:lang w:val="en-US" w:eastAsia="zh-CN"/>
        </w:rPr>
        <w:t>3.44</w:t>
      </w:r>
      <w:r>
        <w:rPr>
          <w:rFonts w:hint="eastAsia" w:ascii="仿宋" w:hAnsi="仿宋" w:eastAsia="仿宋" w:cs="仿宋"/>
          <w:color w:val="000000"/>
          <w:sz w:val="32"/>
          <w:szCs w:val="32"/>
          <w:shd w:val="clear" w:color="auto" w:fill="FFFFFF"/>
        </w:rPr>
        <w:t>万元，完成年初预算的</w:t>
      </w:r>
      <w:r>
        <w:rPr>
          <w:rFonts w:hint="eastAsia" w:ascii="仿宋" w:hAnsi="仿宋" w:eastAsia="仿宋" w:cs="仿宋"/>
          <w:color w:val="000000"/>
          <w:sz w:val="32"/>
          <w:u w:color="auto"/>
          <w:lang w:val="en-US" w:eastAsia="zh-CN"/>
        </w:rPr>
        <w:t>194.35</w:t>
      </w:r>
      <w:r>
        <w:rPr>
          <w:rFonts w:ascii="仿宋" w:hAnsi="仿宋" w:eastAsia="仿宋" w:cs="仿宋"/>
          <w:color w:val="000000"/>
          <w:sz w:val="32"/>
          <w:u w:color="auto"/>
        </w:rPr>
        <w:t>%</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原因是2023年还支出了</w:t>
      </w:r>
      <w:r>
        <w:rPr>
          <w:rFonts w:hint="eastAsia" w:ascii="仿宋" w:hAnsi="仿宋" w:eastAsia="仿宋" w:cs="仿宋"/>
          <w:sz w:val="32"/>
          <w:szCs w:val="32"/>
          <w:highlight w:val="none"/>
          <w:lang w:val="en-US" w:eastAsia="zh-CN"/>
        </w:rPr>
        <w:t>上一年</w:t>
      </w:r>
      <w:r>
        <w:rPr>
          <w:rFonts w:hint="eastAsia" w:ascii="仿宋" w:hAnsi="仿宋" w:eastAsia="仿宋" w:cs="仿宋"/>
          <w:sz w:val="32"/>
          <w:szCs w:val="32"/>
          <w:highlight w:val="none"/>
        </w:rPr>
        <w:t>政府性基金</w:t>
      </w:r>
      <w:r>
        <w:rPr>
          <w:rFonts w:hint="eastAsia" w:ascii="仿宋" w:hAnsi="仿宋" w:eastAsia="仿宋" w:cs="仿宋"/>
          <w:sz w:val="32"/>
          <w:szCs w:val="32"/>
          <w:highlight w:val="none"/>
          <w:lang w:val="en-US" w:eastAsia="zh-CN"/>
        </w:rPr>
        <w:t>结余指标1.67万元。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rPr>
      </w:pPr>
      <w:bookmarkStart w:id="2" w:name="PO_part3A5B1C1DiffReason1"/>
      <w:r>
        <w:rPr>
          <w:rFonts w:hint="eastAsia" w:ascii="仿宋_GB2312" w:hAnsi="Times New Roman" w:eastAsia="仿宋_GB2312" w:cs="Times New Roman"/>
          <w:color w:val="auto"/>
          <w:sz w:val="32"/>
          <w:szCs w:val="32"/>
        </w:rPr>
        <w:t>环江毛南族自治县洛阳镇中心小学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本单位是财政全额拨款事业单位，没有</w:t>
      </w:r>
      <w:r>
        <w:rPr>
          <w:rFonts w:hint="eastAsia" w:ascii="仿宋" w:hAnsi="仿宋" w:eastAsia="仿宋" w:cs="仿宋"/>
          <w:sz w:val="32"/>
          <w:szCs w:val="32"/>
          <w:highlight w:val="none"/>
        </w:rPr>
        <w:t>“三公”经费</w:t>
      </w:r>
      <w:r>
        <w:rPr>
          <w:rFonts w:hint="eastAsia" w:ascii="仿宋" w:hAnsi="仿宋" w:eastAsia="仿宋" w:cs="仿宋"/>
          <w:sz w:val="32"/>
          <w:szCs w:val="32"/>
          <w:highlight w:val="none"/>
          <w:lang w:val="en-US" w:eastAsia="zh-CN"/>
        </w:rPr>
        <w:t>的预决算数据。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本单位是财政全额拨款事业单位，不属于机关运行经费范围。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1224.66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度中央专项彩票公益金支持乡村学校少年宫经费政府性基金预算项目支出开展绩效自评，共涉及资金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根据年初设定的绩效目标，发现的主要问题及原因：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整理报账材料不规范，未能及时支付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严格按照财经制度要求，规范资金正确使用</w:t>
      </w:r>
      <w:r>
        <w:rPr>
          <w:rFonts w:hint="eastAsia" w:ascii="仿宋" w:hAnsi="仿宋" w:eastAsia="仿宋" w:cs="仿宋"/>
          <w:color w:val="000000" w:themeColor="text1"/>
          <w:sz w:val="32"/>
          <w:szCs w:val="32"/>
          <w14:textFill>
            <w14:solidFill>
              <w14:schemeClr w14:val="tx1"/>
            </w14:solidFill>
          </w14:textFill>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134" w:right="1134" w:bottom="1134" w:left="1134" w:header="851" w:footer="992" w:gutter="0"/>
      <w:pgNumType w:fmt="decimal"/>
      <w:cols w:space="0" w:num="1"/>
      <w:rtlGutter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5YjEyZmVlN2IxZDgwMTY5OGEyZjRiMzlhMTNlOWEifQ=="/>
  </w:docVars>
  <w:rsids>
    <w:rsidRoot w:val="637D7558"/>
    <w:rsid w:val="00002C84"/>
    <w:rsid w:val="00022149"/>
    <w:rsid w:val="000446FC"/>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4E2A47"/>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C746A7"/>
    <w:rsid w:val="04E54546"/>
    <w:rsid w:val="056D306A"/>
    <w:rsid w:val="05992762"/>
    <w:rsid w:val="07234DEA"/>
    <w:rsid w:val="07A533F8"/>
    <w:rsid w:val="07B0770E"/>
    <w:rsid w:val="07DC7AFD"/>
    <w:rsid w:val="080A5EB3"/>
    <w:rsid w:val="0942143F"/>
    <w:rsid w:val="09B34E0C"/>
    <w:rsid w:val="09EB38B2"/>
    <w:rsid w:val="0CB33798"/>
    <w:rsid w:val="0D100297"/>
    <w:rsid w:val="0D202B45"/>
    <w:rsid w:val="0F673206"/>
    <w:rsid w:val="0F8D4C87"/>
    <w:rsid w:val="0FD53BF0"/>
    <w:rsid w:val="10505FAA"/>
    <w:rsid w:val="105F7E7E"/>
    <w:rsid w:val="10D715DA"/>
    <w:rsid w:val="11E56B5B"/>
    <w:rsid w:val="125C77AB"/>
    <w:rsid w:val="14CB726E"/>
    <w:rsid w:val="16056083"/>
    <w:rsid w:val="17E92249"/>
    <w:rsid w:val="18860743"/>
    <w:rsid w:val="18D304F1"/>
    <w:rsid w:val="19F32577"/>
    <w:rsid w:val="19F45B80"/>
    <w:rsid w:val="1B0C078D"/>
    <w:rsid w:val="1B2B31E2"/>
    <w:rsid w:val="1B4C295A"/>
    <w:rsid w:val="1B973C63"/>
    <w:rsid w:val="1BA1001E"/>
    <w:rsid w:val="1CEA4A16"/>
    <w:rsid w:val="1D317259"/>
    <w:rsid w:val="1E664F5B"/>
    <w:rsid w:val="1EB34BE1"/>
    <w:rsid w:val="215E639F"/>
    <w:rsid w:val="21EC3183"/>
    <w:rsid w:val="225E72CD"/>
    <w:rsid w:val="229B4DEB"/>
    <w:rsid w:val="23925828"/>
    <w:rsid w:val="23BD3375"/>
    <w:rsid w:val="246E2F77"/>
    <w:rsid w:val="24BA695C"/>
    <w:rsid w:val="254B4E2B"/>
    <w:rsid w:val="26A050C5"/>
    <w:rsid w:val="27573740"/>
    <w:rsid w:val="28177725"/>
    <w:rsid w:val="283D7C94"/>
    <w:rsid w:val="29480E03"/>
    <w:rsid w:val="2983634D"/>
    <w:rsid w:val="2B0F7F72"/>
    <w:rsid w:val="2BB02055"/>
    <w:rsid w:val="2C575A56"/>
    <w:rsid w:val="2DBC67E4"/>
    <w:rsid w:val="2EAA6C93"/>
    <w:rsid w:val="2F257714"/>
    <w:rsid w:val="2F3275E5"/>
    <w:rsid w:val="30AA08EF"/>
    <w:rsid w:val="30D23D1C"/>
    <w:rsid w:val="31221CF5"/>
    <w:rsid w:val="31400178"/>
    <w:rsid w:val="31F86547"/>
    <w:rsid w:val="321E3342"/>
    <w:rsid w:val="327759C8"/>
    <w:rsid w:val="330B377C"/>
    <w:rsid w:val="33185FE3"/>
    <w:rsid w:val="34EE2E36"/>
    <w:rsid w:val="350870D2"/>
    <w:rsid w:val="36777241"/>
    <w:rsid w:val="36E52680"/>
    <w:rsid w:val="371E78D5"/>
    <w:rsid w:val="387463B2"/>
    <w:rsid w:val="38A951DB"/>
    <w:rsid w:val="38B31605"/>
    <w:rsid w:val="39003F4F"/>
    <w:rsid w:val="3C07002B"/>
    <w:rsid w:val="3CA31014"/>
    <w:rsid w:val="3D0D152A"/>
    <w:rsid w:val="3DF62756"/>
    <w:rsid w:val="3F1B7587"/>
    <w:rsid w:val="3F362BBF"/>
    <w:rsid w:val="415B0895"/>
    <w:rsid w:val="41E57B4F"/>
    <w:rsid w:val="432F26F6"/>
    <w:rsid w:val="43880F63"/>
    <w:rsid w:val="441C5A6F"/>
    <w:rsid w:val="44C44FCC"/>
    <w:rsid w:val="44CC7369"/>
    <w:rsid w:val="44E72AD0"/>
    <w:rsid w:val="457F5108"/>
    <w:rsid w:val="46951B6B"/>
    <w:rsid w:val="49A34401"/>
    <w:rsid w:val="49F9077F"/>
    <w:rsid w:val="4A3E30AB"/>
    <w:rsid w:val="4A9B332A"/>
    <w:rsid w:val="4AC14DAC"/>
    <w:rsid w:val="4C86043B"/>
    <w:rsid w:val="4D154C85"/>
    <w:rsid w:val="4E706D02"/>
    <w:rsid w:val="4EB35ECE"/>
    <w:rsid w:val="4F33733F"/>
    <w:rsid w:val="4F544163"/>
    <w:rsid w:val="505446A7"/>
    <w:rsid w:val="508F4E24"/>
    <w:rsid w:val="50B821E1"/>
    <w:rsid w:val="51461E90"/>
    <w:rsid w:val="51463753"/>
    <w:rsid w:val="5172534B"/>
    <w:rsid w:val="52553A93"/>
    <w:rsid w:val="53521F8B"/>
    <w:rsid w:val="539C6DE1"/>
    <w:rsid w:val="53E22F47"/>
    <w:rsid w:val="54522FF8"/>
    <w:rsid w:val="55450629"/>
    <w:rsid w:val="55F967F4"/>
    <w:rsid w:val="560A56E6"/>
    <w:rsid w:val="56692963"/>
    <w:rsid w:val="568B0F48"/>
    <w:rsid w:val="5786217B"/>
    <w:rsid w:val="59337A15"/>
    <w:rsid w:val="59810274"/>
    <w:rsid w:val="5C7363B7"/>
    <w:rsid w:val="5CA96A00"/>
    <w:rsid w:val="5CF730BC"/>
    <w:rsid w:val="5E420235"/>
    <w:rsid w:val="5E5F0DCE"/>
    <w:rsid w:val="5E684613"/>
    <w:rsid w:val="5E863962"/>
    <w:rsid w:val="5EC87E20"/>
    <w:rsid w:val="5F0F0CB2"/>
    <w:rsid w:val="5F797C86"/>
    <w:rsid w:val="5FA40A7B"/>
    <w:rsid w:val="5FD56D29"/>
    <w:rsid w:val="5FEC7F3F"/>
    <w:rsid w:val="60163727"/>
    <w:rsid w:val="60F74BC3"/>
    <w:rsid w:val="617D3BF8"/>
    <w:rsid w:val="61841F6A"/>
    <w:rsid w:val="6199434F"/>
    <w:rsid w:val="623007A9"/>
    <w:rsid w:val="629923ED"/>
    <w:rsid w:val="637D7558"/>
    <w:rsid w:val="638A70CF"/>
    <w:rsid w:val="644F19AC"/>
    <w:rsid w:val="65AA4920"/>
    <w:rsid w:val="65E31D0B"/>
    <w:rsid w:val="67694F1E"/>
    <w:rsid w:val="67C57414"/>
    <w:rsid w:val="67E808DB"/>
    <w:rsid w:val="69597934"/>
    <w:rsid w:val="6B2824B0"/>
    <w:rsid w:val="6B3A5245"/>
    <w:rsid w:val="6B964DDC"/>
    <w:rsid w:val="6C783074"/>
    <w:rsid w:val="6D94212F"/>
    <w:rsid w:val="6D9E65C6"/>
    <w:rsid w:val="6DA81947"/>
    <w:rsid w:val="6E964828"/>
    <w:rsid w:val="6EB66DE2"/>
    <w:rsid w:val="6ED3075F"/>
    <w:rsid w:val="6F2A2D4B"/>
    <w:rsid w:val="6F8A0C1E"/>
    <w:rsid w:val="6FBA4F68"/>
    <w:rsid w:val="6FDE7692"/>
    <w:rsid w:val="703F45D4"/>
    <w:rsid w:val="70953098"/>
    <w:rsid w:val="715D6546"/>
    <w:rsid w:val="71BE069E"/>
    <w:rsid w:val="729C3F60"/>
    <w:rsid w:val="73953409"/>
    <w:rsid w:val="73E069A3"/>
    <w:rsid w:val="768A6E35"/>
    <w:rsid w:val="76FF4ABD"/>
    <w:rsid w:val="78104AA8"/>
    <w:rsid w:val="78106856"/>
    <w:rsid w:val="78E257C5"/>
    <w:rsid w:val="794B35BE"/>
    <w:rsid w:val="7B0A3A31"/>
    <w:rsid w:val="7B3360ED"/>
    <w:rsid w:val="7BDF037E"/>
    <w:rsid w:val="7BF50948"/>
    <w:rsid w:val="7C036657"/>
    <w:rsid w:val="7CE66A78"/>
    <w:rsid w:val="7D23564C"/>
    <w:rsid w:val="7D394D23"/>
    <w:rsid w:val="7D5E062D"/>
    <w:rsid w:val="7DF76CD8"/>
    <w:rsid w:val="7E1B507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chart" Target="charts/chart13.xml"/><Relationship Id="rId36" Type="http://schemas.openxmlformats.org/officeDocument/2006/relationships/chart" Target="charts/chart12.xml"/><Relationship Id="rId35" Type="http://schemas.openxmlformats.org/officeDocument/2006/relationships/chart" Target="charts/chart11.xml"/><Relationship Id="rId34" Type="http://schemas.openxmlformats.org/officeDocument/2006/relationships/chart" Target="charts/chart10.xml"/><Relationship Id="rId33" Type="http://schemas.openxmlformats.org/officeDocument/2006/relationships/chart" Target="charts/chart9.xml"/><Relationship Id="rId32" Type="http://schemas.openxmlformats.org/officeDocument/2006/relationships/chart" Target="charts/chart8.xml"/><Relationship Id="rId31" Type="http://schemas.openxmlformats.org/officeDocument/2006/relationships/chart" Target="charts/chart7.xml"/><Relationship Id="rId30" Type="http://schemas.openxmlformats.org/officeDocument/2006/relationships/chart" Target="charts/chart6.xml"/><Relationship Id="rId3" Type="http://schemas.openxmlformats.org/officeDocument/2006/relationships/footnotes" Target="footnotes.xml"/><Relationship Id="rId29" Type="http://schemas.openxmlformats.org/officeDocument/2006/relationships/chart" Target="charts/chart5.xml"/><Relationship Id="rId28" Type="http://schemas.openxmlformats.org/officeDocument/2006/relationships/chart" Target="charts/chart4.xml"/><Relationship Id="rId27" Type="http://schemas.openxmlformats.org/officeDocument/2006/relationships/chart" Target="charts/chart3.xml"/><Relationship Id="rId26" Type="http://schemas.openxmlformats.org/officeDocument/2006/relationships/chart" Target="charts/chart2.xml"/><Relationship Id="rId25" Type="http://schemas.openxmlformats.org/officeDocument/2006/relationships/chart" Target="charts/chart1.xml"/><Relationship Id="rId24" Type="http://schemas.openxmlformats.org/officeDocument/2006/relationships/image" Target="media/image9.emf"/><Relationship Id="rId23" Type="http://schemas.openxmlformats.org/officeDocument/2006/relationships/oleObject" Target="embeddings/oleObject9.bin"/><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hjxjyj\Desktop\&#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jxjyj\Desktop\&#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jxjyj\Desktop\&#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jxjyj\Desktop\&#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3997.82</c:v>
                </c:pt>
                <c:pt idx="1">
                  <c:v>3.44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3" c:formatCode="#,##0.00">
                  <c:v>35.89</c:v>
                </c:pt>
                <c:pt idx="4" c:formatCode="#,##0.00">
                  <c:v>202.68</c:v>
                </c:pt>
                <c:pt idx="8" c:formatCode="#,##0.00">
                  <c:v>0.07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39.96</c:v>
                </c:pt>
                <c:pt idx="1">
                  <c:v>2773.43</c:v>
                </c:pt>
                <c:pt idx="2">
                  <c:v>280.4</c:v>
                </c:pt>
                <c:pt idx="3">
                  <c:v>209.05</c:v>
                </c:pt>
                <c:pt idx="4">
                  <c:v>413.77</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41.55</c:v>
                </c:pt>
                <c:pt idx="1">
                  <c:v>3095.3</c:v>
                </c:pt>
                <c:pt idx="2">
                  <c:v>304.61</c:v>
                </c:pt>
                <c:pt idx="3">
                  <c:v>227.82</c:v>
                </c:pt>
                <c:pt idx="4">
                  <c:v>332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41.55</c:v>
                </c:pt>
                <c:pt idx="1">
                  <c:v>41.55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教育支出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93416493416493"/>
          <c:y val="0.00628930817610063"/>
        </c:manualLayout>
      </c:layout>
      <c:overlay val="0"/>
      <c:spPr>
        <a:noFill/>
        <a:ln>
          <a:noFill/>
        </a:ln>
        <a:effectLst/>
      </c:spPr>
    </c:title>
    <c:autoTitleDeleted val="0"/>
    <c:plotArea>
      <c:layout>
        <c:manualLayout>
          <c:layoutTarget val="inner"/>
          <c:xMode val="edge"/>
          <c:yMode val="edge"/>
          <c:x val="0.0898266190719021"/>
          <c:y val="0.165240236285455"/>
          <c:w val="0.891687914329424"/>
          <c:h val="0.681622598127771"/>
        </c:manualLayout>
      </c:layout>
      <c:barChart>
        <c:barDir val="col"/>
        <c:grouping val="clustered"/>
        <c:varyColors val="0"/>
        <c:ser>
          <c:idx val="0"/>
          <c:order val="0"/>
          <c:tx>
            <c:strRef>
              <c:f>[图表.xls]Sheet1!$D$10</c:f>
              <c:strCache>
                <c:ptCount val="1"/>
                <c:pt idx="0">
                  <c:v>科目代码</c:v>
                </c:pt>
              </c:strCache>
            </c:strRef>
          </c:tx>
          <c:spPr>
            <a:solidFill>
              <a:schemeClr val="accent1"/>
            </a:solidFill>
            <a:ln>
              <a:noFill/>
            </a:ln>
            <a:effectLst/>
          </c:spPr>
          <c:invertIfNegative val="0"/>
          <c:dLbls>
            <c:delete val="1"/>
          </c:dLbls>
          <c:cat>
            <c:strRef>
              <c:f>[图表.xls]Sheet1!$C$11:$C$16</c:f>
              <c:strCache>
                <c:ptCount val="6"/>
                <c:pt idx="0">
                  <c:v>2050201</c:v>
                </c:pt>
                <c:pt idx="1">
                  <c:v>2050202</c:v>
                </c:pt>
                <c:pt idx="2">
                  <c:v>2050203</c:v>
                </c:pt>
                <c:pt idx="3">
                  <c:v>2050299</c:v>
                </c:pt>
                <c:pt idx="4">
                  <c:v>2050999</c:v>
                </c:pt>
                <c:pt idx="5">
                  <c:v>221x</c:v>
                </c:pt>
              </c:strCache>
            </c:strRef>
          </c:cat>
          <c:val>
            <c:numRef>
              <c:f>[图表.xls]Sheet1!$D$11:$D$16</c:f>
              <c:numCache>
                <c:formatCode>General</c:formatCode>
                <c:ptCount val="6"/>
                <c:pt idx="0">
                  <c:v>9.2</c:v>
                </c:pt>
                <c:pt idx="1">
                  <c:v>3072.72</c:v>
                </c:pt>
                <c:pt idx="2">
                  <c:v>5.06</c:v>
                </c:pt>
                <c:pt idx="3">
                  <c:v>5.62</c:v>
                </c:pt>
                <c:pt idx="4">
                  <c:v>2.7</c:v>
                </c:pt>
                <c:pt idx="5">
                  <c:v>3095.3</c:v>
                </c:pt>
              </c:numCache>
            </c:numRef>
          </c:val>
        </c:ser>
        <c:dLbls>
          <c:showLegendKey val="0"/>
          <c:showVal val="0"/>
          <c:showCatName val="0"/>
          <c:showSerName val="0"/>
          <c:showPercent val="0"/>
          <c:showBubbleSize val="0"/>
        </c:dLbls>
        <c:gapWidth val="219"/>
        <c:overlap val="-27"/>
        <c:axId val="203345011"/>
        <c:axId val="928563380"/>
      </c:barChart>
      <c:catAx>
        <c:axId val="20334501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563380"/>
        <c:crosses val="autoZero"/>
        <c:auto val="1"/>
        <c:lblAlgn val="ctr"/>
        <c:lblOffset val="100"/>
        <c:noMultiLvlLbl val="0"/>
      </c:catAx>
      <c:valAx>
        <c:axId val="9285633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3450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社会保障和就业支出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06306306306306"/>
          <c:y val="0.00628930817610063"/>
        </c:manualLayout>
      </c:layout>
      <c:overlay val="0"/>
      <c:spPr>
        <a:noFill/>
        <a:ln>
          <a:noFill/>
        </a:ln>
        <a:effectLst/>
      </c:spPr>
    </c:title>
    <c:autoTitleDeleted val="0"/>
    <c:plotArea>
      <c:layout>
        <c:manualLayout>
          <c:layoutTarget val="inner"/>
          <c:xMode val="edge"/>
          <c:yMode val="edge"/>
          <c:x val="0.0898266190719021"/>
          <c:y val="0.165240236285455"/>
          <c:w val="0.891687914329424"/>
          <c:h val="0.681622598127771"/>
        </c:manualLayout>
      </c:layout>
      <c:barChart>
        <c:barDir val="col"/>
        <c:grouping val="clustered"/>
        <c:varyColors val="0"/>
        <c:ser>
          <c:idx val="0"/>
          <c:order val="0"/>
          <c:tx>
            <c:strRef>
              <c:f>[图表.xls]Sheet1!$D$10</c:f>
              <c:strCache>
                <c:ptCount val="1"/>
                <c:pt idx="0">
                  <c:v>科目代码</c:v>
                </c:pt>
              </c:strCache>
            </c:strRef>
          </c:tx>
          <c:spPr>
            <a:solidFill>
              <a:schemeClr val="accent1"/>
            </a:solidFill>
            <a:ln>
              <a:noFill/>
            </a:ln>
            <a:effectLst/>
          </c:spPr>
          <c:invertIfNegative val="0"/>
          <c:dLbls>
            <c:delete val="1"/>
          </c:dLbls>
          <c:cat>
            <c:strRef>
              <c:f>[图表.xls]Sheet1!$C$11:$C$12</c:f>
              <c:strCache>
                <c:ptCount val="2"/>
                <c:pt idx="0">
                  <c:v>2080505</c:v>
                </c:pt>
                <c:pt idx="1">
                  <c:v>208x</c:v>
                </c:pt>
              </c:strCache>
            </c:strRef>
          </c:cat>
          <c:val>
            <c:numRef>
              <c:f>[图表.xls]Sheet1!$D$11:$D$12</c:f>
              <c:numCache>
                <c:formatCode>General</c:formatCode>
                <c:ptCount val="2"/>
                <c:pt idx="0">
                  <c:v>304.61</c:v>
                </c:pt>
                <c:pt idx="1">
                  <c:v>304.61</c:v>
                </c:pt>
              </c:numCache>
            </c:numRef>
          </c:val>
        </c:ser>
        <c:dLbls>
          <c:showLegendKey val="0"/>
          <c:showVal val="0"/>
          <c:showCatName val="0"/>
          <c:showSerName val="0"/>
          <c:showPercent val="0"/>
          <c:showBubbleSize val="0"/>
        </c:dLbls>
        <c:gapWidth val="219"/>
        <c:overlap val="-27"/>
        <c:axId val="203345011"/>
        <c:axId val="928563380"/>
      </c:barChart>
      <c:catAx>
        <c:axId val="20334501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563380"/>
        <c:crosses val="autoZero"/>
        <c:auto val="1"/>
        <c:lblAlgn val="ctr"/>
        <c:lblOffset val="100"/>
        <c:noMultiLvlLbl val="0"/>
      </c:catAx>
      <c:valAx>
        <c:axId val="9285633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3450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住房保障支出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18572418572419"/>
          <c:y val="0.00943396226415094"/>
        </c:manualLayout>
      </c:layout>
      <c:overlay val="0"/>
      <c:spPr>
        <a:noFill/>
        <a:ln>
          <a:noFill/>
        </a:ln>
        <a:effectLst/>
      </c:spPr>
    </c:title>
    <c:autoTitleDeleted val="0"/>
    <c:plotArea>
      <c:layout>
        <c:manualLayout>
          <c:layoutTarget val="inner"/>
          <c:xMode val="edge"/>
          <c:yMode val="edge"/>
          <c:x val="0.0898266190719021"/>
          <c:y val="0.165240236285455"/>
          <c:w val="0.891687914329424"/>
          <c:h val="0.681622598127771"/>
        </c:manualLayout>
      </c:layout>
      <c:barChart>
        <c:barDir val="col"/>
        <c:grouping val="clustered"/>
        <c:varyColors val="0"/>
        <c:ser>
          <c:idx val="0"/>
          <c:order val="0"/>
          <c:tx>
            <c:strRef>
              <c:f>[图表.xls]Sheet1!$D$10</c:f>
              <c:strCache>
                <c:ptCount val="1"/>
                <c:pt idx="0">
                  <c:v>科目代码</c:v>
                </c:pt>
              </c:strCache>
            </c:strRef>
          </c:tx>
          <c:spPr>
            <a:solidFill>
              <a:schemeClr val="accent1"/>
            </a:solidFill>
            <a:ln>
              <a:noFill/>
            </a:ln>
            <a:effectLst/>
          </c:spPr>
          <c:invertIfNegative val="0"/>
          <c:dLbls>
            <c:delete val="1"/>
          </c:dLbls>
          <c:cat>
            <c:strRef>
              <c:f>[图表.xls]Sheet1!$C$11:$C$12</c:f>
              <c:strCache>
                <c:ptCount val="2"/>
                <c:pt idx="0">
                  <c:v>2210201</c:v>
                </c:pt>
                <c:pt idx="1">
                  <c:v>221x</c:v>
                </c:pt>
              </c:strCache>
            </c:strRef>
          </c:cat>
          <c:val>
            <c:numRef>
              <c:f>[图表.xls]Sheet1!$D$11:$D$12</c:f>
              <c:numCache>
                <c:formatCode>General</c:formatCode>
                <c:ptCount val="2"/>
                <c:pt idx="0">
                  <c:v>227.82</c:v>
                </c:pt>
                <c:pt idx="1">
                  <c:v>227.82</c:v>
                </c:pt>
              </c:numCache>
            </c:numRef>
          </c:val>
        </c:ser>
        <c:dLbls>
          <c:showLegendKey val="0"/>
          <c:showVal val="0"/>
          <c:showCatName val="0"/>
          <c:showSerName val="0"/>
          <c:showPercent val="0"/>
          <c:showBubbleSize val="0"/>
        </c:dLbls>
        <c:gapWidth val="219"/>
        <c:overlap val="-27"/>
        <c:axId val="203345011"/>
        <c:axId val="928563380"/>
      </c:barChart>
      <c:catAx>
        <c:axId val="20334501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563380"/>
        <c:crosses val="autoZero"/>
        <c:auto val="1"/>
        <c:lblAlgn val="ctr"/>
        <c:lblOffset val="100"/>
        <c:noMultiLvlLbl val="0"/>
      </c:catAx>
      <c:valAx>
        <c:axId val="9285633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3450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其他支出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41004851004851"/>
          <c:y val="0.00943396226415094"/>
        </c:manualLayout>
      </c:layout>
      <c:overlay val="0"/>
      <c:spPr>
        <a:noFill/>
        <a:ln>
          <a:noFill/>
        </a:ln>
        <a:effectLst/>
      </c:spPr>
    </c:title>
    <c:autoTitleDeleted val="0"/>
    <c:plotArea>
      <c:layout>
        <c:manualLayout>
          <c:layoutTarget val="inner"/>
          <c:xMode val="edge"/>
          <c:yMode val="edge"/>
          <c:x val="0.0898266190719021"/>
          <c:y val="0.165240236285455"/>
          <c:w val="0.891687914329424"/>
          <c:h val="0.681622598127771"/>
        </c:manualLayout>
      </c:layout>
      <c:barChart>
        <c:barDir val="col"/>
        <c:grouping val="clustered"/>
        <c:varyColors val="0"/>
        <c:ser>
          <c:idx val="0"/>
          <c:order val="0"/>
          <c:tx>
            <c:strRef>
              <c:f>[图表.xls]Sheet1!$D$10</c:f>
              <c:strCache>
                <c:ptCount val="1"/>
                <c:pt idx="0">
                  <c:v>科目代码</c:v>
                </c:pt>
              </c:strCache>
            </c:strRef>
          </c:tx>
          <c:spPr>
            <a:solidFill>
              <a:schemeClr val="accent1"/>
            </a:solidFill>
            <a:ln>
              <a:noFill/>
            </a:ln>
            <a:effectLst/>
          </c:spPr>
          <c:invertIfNegative val="0"/>
          <c:dLbls>
            <c:delete val="1"/>
          </c:dLbls>
          <c:cat>
            <c:strRef>
              <c:f>[图表.xls]Sheet1!$C$11:$C$12</c:f>
              <c:strCache>
                <c:ptCount val="2"/>
                <c:pt idx="0">
                  <c:v>2299999</c:v>
                </c:pt>
                <c:pt idx="1">
                  <c:v>229x</c:v>
                </c:pt>
              </c:strCache>
            </c:strRef>
          </c:cat>
          <c:val>
            <c:numRef>
              <c:f>[图表.xls]Sheet1!$D$11:$D$12</c:f>
              <c:numCache>
                <c:formatCode>General</c:formatCode>
                <c:ptCount val="2"/>
                <c:pt idx="0">
                  <c:v>328.56</c:v>
                </c:pt>
                <c:pt idx="1">
                  <c:v>328.56</c:v>
                </c:pt>
              </c:numCache>
            </c:numRef>
          </c:val>
        </c:ser>
        <c:dLbls>
          <c:showLegendKey val="0"/>
          <c:showVal val="0"/>
          <c:showCatName val="0"/>
          <c:showSerName val="0"/>
          <c:showPercent val="0"/>
          <c:showBubbleSize val="0"/>
        </c:dLbls>
        <c:gapWidth val="219"/>
        <c:overlap val="-27"/>
        <c:axId val="203345011"/>
        <c:axId val="928563380"/>
      </c:barChart>
      <c:catAx>
        <c:axId val="20334501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563380"/>
        <c:crosses val="autoZero"/>
        <c:auto val="1"/>
        <c:lblAlgn val="ctr"/>
        <c:lblOffset val="100"/>
        <c:noMultiLvlLbl val="0"/>
      </c:catAx>
      <c:valAx>
        <c:axId val="9285633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3450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#,##0.00</c:formatCode>
                <c:ptCount val="13"/>
                <c:pt idx="0">
                  <c:v>950.74</c:v>
                </c:pt>
                <c:pt idx="1">
                  <c:v>217.38</c:v>
                </c:pt>
                <c:pt idx="2">
                  <c:v>876.81</c:v>
                </c:pt>
                <c:pt idx="4">
                  <c:v>445.59</c:v>
                </c:pt>
                <c:pt idx="5">
                  <c:v>304.61</c:v>
                </c:pt>
                <c:pt idx="7">
                  <c:v>123.4</c:v>
                </c:pt>
                <c:pt idx="9">
                  <c:v>15.31</c:v>
                </c:pt>
                <c:pt idx="10">
                  <c:v>227.82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41.55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6549</Words>
  <Characters>7653</Characters>
  <Lines>90</Lines>
  <Paragraphs>25</Paragraphs>
  <TotalTime>0</TotalTime>
  <ScaleCrop>false</ScaleCrop>
  <LinksUpToDate>false</LinksUpToDate>
  <CharactersWithSpaces>7688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dcterms:modified xsi:type="dcterms:W3CDTF">2025-01-07T01:08:20Z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eyJoZGlkIjoiNTg5YjEyZmVlN2IxZDgwMTY5OGEyZjRiMzlhMTNlOWEiLCJ1c2VySWQiOiIxMTYxNjk2In0=</vt:lpwstr>
  </property>
</Properties>
</file>