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环江毛南族自治县明伦镇中心小学202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单位负责人：莫壮成</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 w:hAnsi="仿宋" w:eastAsia="仿宋" w:cs="仿宋"/>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b/>
          <w:bCs/>
          <w:sz w:val="48"/>
          <w:szCs w:val="48"/>
          <w:highlight w:val="none"/>
          <w:lang w:val="en-US" w:eastAsia="zh-CN"/>
        </w:rPr>
      </w:pPr>
      <w:r>
        <w:rPr>
          <w:rFonts w:hint="eastAsia" w:ascii="黑体" w:hAnsi="黑体" w:eastAsia="黑体" w:cs="黑体"/>
          <w:b/>
          <w:bCs/>
          <w:sz w:val="48"/>
          <w:szCs w:val="48"/>
          <w:highlight w:val="none"/>
        </w:rPr>
        <w:t>202</w:t>
      </w:r>
      <w:r>
        <w:rPr>
          <w:rFonts w:hint="eastAsia" w:ascii="黑体" w:hAnsi="黑体" w:eastAsia="黑体" w:cs="黑体"/>
          <w:b/>
          <w:bCs/>
          <w:sz w:val="48"/>
          <w:szCs w:val="48"/>
          <w:highlight w:val="none"/>
          <w:lang w:val="en-US" w:eastAsia="zh-CN"/>
        </w:rPr>
        <w:t>4</w:t>
      </w:r>
      <w:r>
        <w:rPr>
          <w:rFonts w:hint="eastAsia" w:ascii="黑体" w:hAnsi="黑体" w:eastAsia="黑体" w:cs="黑体"/>
          <w:b/>
          <w:bCs/>
          <w:sz w:val="48"/>
          <w:szCs w:val="48"/>
          <w:highlight w:val="none"/>
        </w:rPr>
        <w:t>年</w:t>
      </w:r>
      <w:r>
        <w:rPr>
          <w:rFonts w:hint="eastAsia" w:ascii="黑体" w:hAnsi="黑体" w:eastAsia="黑体" w:cs="黑体"/>
          <w:b/>
          <w:bCs/>
          <w:sz w:val="48"/>
          <w:szCs w:val="48"/>
          <w:highlight w:val="none"/>
          <w:lang w:val="en-US" w:eastAsia="zh-CN"/>
        </w:rPr>
        <w:t>12</w:t>
      </w:r>
      <w:r>
        <w:rPr>
          <w:rFonts w:hint="eastAsia" w:ascii="黑体" w:hAnsi="黑体" w:eastAsia="黑体" w:cs="黑体"/>
          <w:b/>
          <w:bCs/>
          <w:sz w:val="48"/>
          <w:szCs w:val="48"/>
          <w:highlight w:val="none"/>
        </w:rPr>
        <w:t>月</w:t>
      </w:r>
      <w:r>
        <w:rPr>
          <w:rFonts w:hint="eastAsia" w:ascii="黑体" w:hAnsi="黑体" w:eastAsia="黑体" w:cs="黑体"/>
          <w:b/>
          <w:bCs/>
          <w:sz w:val="48"/>
          <w:szCs w:val="48"/>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概况</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单位职责</w:t>
      </w:r>
    </w:p>
    <w:p>
      <w:p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环江毛南族自治县明伦镇中心小学</w:t>
      </w:r>
      <w:r>
        <w:rPr>
          <w:rFonts w:hint="eastAsia" w:ascii="黑体" w:hAnsi="黑体" w:eastAsia="黑体" w:cs="黑体"/>
          <w:b/>
          <w:bCs/>
          <w:sz w:val="32"/>
          <w:szCs w:val="32"/>
          <w:highlight w:val="none"/>
        </w:rPr>
        <w:t>概况</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单位职责</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（三）督促检查</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贯彻执行教育方针、政策、法令、法规和上级的各项规定；评估指导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（四）负责推进义务教育均衡发展和促进教育公平，负责义务教育的宏观指导与协</w:t>
      </w:r>
      <w:r>
        <w:rPr>
          <w:rFonts w:hint="eastAsia" w:ascii="仿宋_GB2312" w:eastAsia="仿宋_GB2312" w:cs="仿宋_GB2312"/>
          <w:kern w:val="0"/>
          <w:sz w:val="32"/>
          <w:szCs w:val="32"/>
          <w:lang w:val="en-US" w:eastAsia="zh-CN"/>
        </w:rPr>
        <w:t>调。</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（五）负责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教育系统人才队伍和教师队伍建设，包括</w:t>
      </w:r>
      <w:r>
        <w:rPr>
          <w:rFonts w:hint="eastAsia" w:ascii="仿宋_GB2312" w:eastAsia="仿宋_GB2312" w:cs="仿宋_GB2312"/>
          <w:kern w:val="0"/>
          <w:sz w:val="32"/>
          <w:szCs w:val="32"/>
          <w:lang w:eastAsia="zh-CN"/>
        </w:rPr>
        <w:t>教师</w:t>
      </w:r>
      <w:r>
        <w:rPr>
          <w:rFonts w:hint="eastAsia" w:ascii="仿宋_GB2312" w:eastAsia="仿宋_GB2312" w:cs="仿宋_GB2312"/>
          <w:kern w:val="0"/>
          <w:sz w:val="32"/>
          <w:szCs w:val="32"/>
        </w:rPr>
        <w:t>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小学期中、期末测试、小学毕业班测试等</w:t>
      </w:r>
      <w:r>
        <w:rPr>
          <w:rFonts w:hint="eastAsia" w:ascii="仿宋_GB2312" w:eastAsia="仿宋_GB2312" w:cs="仿宋_GB2312"/>
          <w:kern w:val="0"/>
          <w:sz w:val="32"/>
          <w:szCs w:val="32"/>
        </w:rPr>
        <w:t>考务工作、招生录取工作和</w:t>
      </w:r>
      <w:r>
        <w:rPr>
          <w:rFonts w:hint="eastAsia" w:ascii="仿宋_GB2312" w:eastAsia="仿宋_GB2312" w:cs="仿宋_GB2312"/>
          <w:kern w:val="0"/>
          <w:sz w:val="32"/>
          <w:szCs w:val="32"/>
          <w:lang w:eastAsia="zh-CN"/>
        </w:rPr>
        <w:t>小学</w:t>
      </w:r>
      <w:r>
        <w:rPr>
          <w:rFonts w:hint="eastAsia" w:ascii="仿宋_GB2312" w:eastAsia="仿宋_GB2312" w:cs="仿宋_GB2312"/>
          <w:kern w:val="0"/>
          <w:sz w:val="32"/>
          <w:szCs w:val="32"/>
        </w:rPr>
        <w:t>学籍管理工作。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（七）按照中央关于全面推进素质教育要求，负责教育教学管理、教育教学改革及教育教学科学研究工作，检查指导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（九）检查指导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（十一）负责监督审计</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（十二）负责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教学教育常规管理评估工作，指导学校德育、体育、卫生、艺术、安全工作以及团组织和少先队工作。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（十三）指导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（十四）负责指导全</w:t>
      </w:r>
      <w:r>
        <w:rPr>
          <w:rFonts w:hint="eastAsia" w:ascii="仿宋_GB2312" w:eastAsia="仿宋_GB2312" w:cs="仿宋_GB2312"/>
          <w:kern w:val="0"/>
          <w:sz w:val="32"/>
          <w:szCs w:val="32"/>
          <w:lang w:eastAsia="zh-CN"/>
        </w:rPr>
        <w:t>校</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Times New Roman" w:hAnsi="Times New Roman" w:eastAsia="仿宋_GB2312" w:cs="Times New Roman"/>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）负责语言文字和指导推广普通话工作。</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p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cs="仿宋_GB2312"/>
          <w:kern w:val="0"/>
          <w:sz w:val="32"/>
          <w:szCs w:val="32"/>
          <w:lang w:val="en-US" w:eastAsia="zh-CN"/>
        </w:rPr>
        <w:t>环江毛南族自治县明伦镇</w:t>
      </w:r>
      <w:r>
        <w:rPr>
          <w:rFonts w:hint="eastAsia" w:ascii="仿宋_GB2312" w:eastAsia="仿宋_GB2312" w:cs="仿宋_GB2312"/>
          <w:color w:val="auto"/>
          <w:kern w:val="0"/>
          <w:sz w:val="32"/>
          <w:szCs w:val="32"/>
          <w:lang w:val="en-US" w:eastAsia="zh-CN"/>
        </w:rPr>
        <w:t>中心小学为乡镇小学无内设其他机构，我部门没有下属单位，按照部门决算编报要求，单独编制本部门决算。2023年我单位共有事业编制88人，教师控制数12人，聘用特岗教师7人，机关后勤控制数1名。</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4070" w:type="dxa"/>
        <w:tblInd w:w="93" w:type="dxa"/>
        <w:tblLayout w:type="fixed"/>
        <w:tblCellMar>
          <w:top w:w="0" w:type="dxa"/>
          <w:left w:w="108" w:type="dxa"/>
          <w:bottom w:w="0" w:type="dxa"/>
          <w:right w:w="108" w:type="dxa"/>
        </w:tblCellMar>
      </w:tblPr>
      <w:tblGrid>
        <w:gridCol w:w="3"/>
        <w:gridCol w:w="2543"/>
        <w:gridCol w:w="2393"/>
        <w:gridCol w:w="2231"/>
        <w:gridCol w:w="2669"/>
        <w:gridCol w:w="2202"/>
        <w:gridCol w:w="1902"/>
        <w:gridCol w:w="127"/>
      </w:tblGrid>
      <w:tr>
        <w:tblPrEx>
          <w:tblCellMar>
            <w:top w:w="0" w:type="dxa"/>
            <w:left w:w="108" w:type="dxa"/>
            <w:bottom w:w="0" w:type="dxa"/>
            <w:right w:w="108" w:type="dxa"/>
          </w:tblCellMar>
        </w:tblPrEx>
        <w:trPr>
          <w:gridBefore w:val="1"/>
          <w:gridAfter w:val="1"/>
          <w:wBefore w:w="3" w:type="dxa"/>
          <w:wAfter w:w="127" w:type="dxa"/>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2,438.02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1,925.93</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172.30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r>
      <w:tr>
        <w:tblPrEx>
          <w:tblCellMar>
            <w:top w:w="0" w:type="dxa"/>
            <w:left w:w="108" w:type="dxa"/>
            <w:bottom w:w="0" w:type="dxa"/>
            <w:right w:w="108" w:type="dxa"/>
          </w:tblCellMar>
        </w:tblPrEx>
        <w:trPr>
          <w:gridBefore w:val="1"/>
          <w:gridAfter w:val="1"/>
          <w:wBefore w:w="3" w:type="dxa"/>
          <w:wAfter w:w="127" w:type="dxa"/>
          <w:trHeight w:val="536"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62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588"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8"/>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256"/>
        <w:gridCol w:w="1706"/>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2702"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704"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2,439.26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2,439.26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1,912.04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1,912.04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2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61"/>
        <w:gridCol w:w="176"/>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2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2701"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2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1"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2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1"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58"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2,439.26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2,071.97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367.29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1,912.04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1,556.88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2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7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171.06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171.06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650"/>
        <w:gridCol w:w="1291"/>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2,438.02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1,925.93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1,925.93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172.30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171.06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2,438.02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2,439.26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2,438.02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626"/>
        <w:gridCol w:w="657"/>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1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318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8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1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8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2,438.02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2,071.97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366.05</w:t>
            </w: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1,912.04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1,556.88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355.17</w:t>
            </w: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6.26</w:t>
            </w: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2050701</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2050999</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w:t>
            </w: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1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171.06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171.06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1841"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1,862.47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552.23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157.43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515.31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239.75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167.19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bookmarkEnd w:id="0"/>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2047.96</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rPr>
              <w:t>24.02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514"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gridAfter w:val="1"/>
          <w:wAfter w:w="2" w:type="dxa"/>
          <w:trHeight w:val="809"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科目代码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220" w:right="0" w:hanging="220" w:hangingChars="10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0"/>
          <w:sz w:val="22"/>
          <w:szCs w:val="22"/>
          <w:highlight w:val="none"/>
          <w:lang w:bidi="ar"/>
        </w:rPr>
        <w:t>：本表反映部门本年度国有资本经营预算财政拨款支出情况。</w:t>
      </w:r>
    </w:p>
    <w:p>
      <w:pPr>
        <w:keepNext w:val="0"/>
        <w:keepLines w:val="0"/>
        <w:widowControl/>
        <w:suppressLineNumbers w:val="0"/>
        <w:spacing w:before="0" w:beforeAutospacing="0" w:after="0" w:afterAutospacing="0"/>
        <w:ind w:left="220" w:right="0" w:hanging="210" w:hangingChars="10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注：本表反映部门本年度财政拨款“三公”经费支出预决算情况。其中，预算数为“三公”经费全年预算数，反映按规定程序调整后的预算数；</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0"/>
                <w:sz w:val="22"/>
                <w:szCs w:val="22"/>
                <w:highlight w:val="none"/>
                <w:lang w:bidi="ar"/>
              </w:rPr>
              <w:t>决算数是包括当年财政拨款和以前年度结转资金安排的实际支出。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w:t>
            </w:r>
          </w:p>
          <w:p>
            <w:pPr>
              <w:keepNext w:val="0"/>
              <w:keepLines w:val="0"/>
              <w:widowControl/>
              <w:suppressLineNumbers w:val="0"/>
              <w:spacing w:before="0" w:beforeAutospacing="0" w:after="0" w:afterAutospacing="0"/>
              <w:ind w:left="0" w:right="0" w:firstLine="420" w:firstLineChars="2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 xml:space="preserve">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rPr>
        <w:t>2439.26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增加186.12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增长8.2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2439.26</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rPr>
        <w:t>2438.02</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hint="eastAsia" w:ascii="仿宋" w:hAnsi="仿宋" w:eastAsia="仿宋" w:cs="仿宋"/>
          <w:color w:val="auto"/>
          <w:sz w:val="32"/>
          <w:u w:color="auto"/>
          <w:lang w:val="en-US" w:eastAsia="zh-CN"/>
        </w:rPr>
        <w:t>增加188.94</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增长8.4</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，主要原因：单位教职工基本工资、津补贴待遇等较上年度有所提高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FF0000"/>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hint="eastAsia" w:ascii="仿宋" w:hAnsi="仿宋" w:eastAsia="仿宋" w:cs="仿宋"/>
          <w:color w:val="auto"/>
          <w:sz w:val="32"/>
          <w:u w:color="auto"/>
        </w:rPr>
        <w:t>1.24</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hint="eastAsia" w:ascii="仿宋" w:hAnsi="仿宋" w:eastAsia="仿宋" w:cs="仿宋"/>
          <w:color w:val="auto"/>
          <w:sz w:val="32"/>
          <w:u w:color="auto"/>
          <w:lang w:val="en-US" w:eastAsia="zh-CN"/>
        </w:rPr>
        <w:t>减少2.82</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下降69.46</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，主要原因：学校少年宫活动参与学生数及少年宫开展活动项目减少，故下降</w:t>
      </w:r>
      <w:r>
        <w:rPr>
          <w:rFonts w:hint="eastAsia" w:ascii="仿宋" w:hAnsi="仿宋" w:eastAsia="仿宋" w:cs="仿宋"/>
          <w:color w:val="auto"/>
          <w:sz w:val="32"/>
          <w:u w:color="auto"/>
          <w:lang w:val="en-US" w:eastAsia="zh-CN"/>
        </w:rPr>
        <w:t>69.46</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color w:val="auto"/>
          <w:kern w:val="0"/>
          <w:sz w:val="32"/>
          <w:szCs w:val="32"/>
          <w:lang w:val="en-US" w:eastAsia="zh-CN"/>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w:t>
      </w:r>
      <w:r>
        <w:rPr>
          <w:rFonts w:hint="eastAsia" w:ascii="Times New Roman" w:hAnsi="Times New Roman" w:eastAsia="仿宋_GB2312" w:cs="Times New Roman"/>
          <w:color w:val="auto"/>
          <w:kern w:val="0"/>
          <w:sz w:val="32"/>
          <w:szCs w:val="32"/>
          <w:lang w:val="en-US" w:eastAsia="zh-CN"/>
        </w:rPr>
        <w:t>2023年无</w:t>
      </w:r>
      <w:r>
        <w:rPr>
          <w:rFonts w:hint="eastAsia" w:ascii="仿宋" w:hAnsi="仿宋" w:eastAsia="仿宋" w:cs="仿宋"/>
          <w:color w:val="auto"/>
          <w:kern w:val="2"/>
          <w:sz w:val="32"/>
          <w:szCs w:val="32"/>
          <w:highlight w:val="none"/>
          <w:lang w:val="en-US" w:eastAsia="zh-CN" w:bidi="ar"/>
        </w:rPr>
        <w:t>国有资本经营预算财政拨款</w:t>
      </w:r>
      <w:r>
        <w:rPr>
          <w:rFonts w:hint="eastAsia" w:ascii="Times New Roman" w:hAnsi="Times New Roman" w:eastAsia="仿宋_GB2312" w:cs="Times New Roman"/>
          <w:color w:val="auto"/>
          <w:kern w:val="0"/>
          <w:sz w:val="32"/>
          <w:szCs w:val="32"/>
          <w:lang w:val="en-US" w:eastAsia="zh-CN"/>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万元，为以前年度支出预算因客观条件变化未执行完毕、结转到本年度按有关规定继续使用的资金。较2023年度决算数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kern w:val="2"/>
          <w:sz w:val="32"/>
          <w:szCs w:val="32"/>
          <w:highlight w:val="none"/>
          <w:lang w:val="en-US" w:eastAsia="zh-CN" w:bidi="ar"/>
        </w:rPr>
        <w:t>上年结转和结余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rPr>
        <w:t>2439.26</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2439.26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增加186.12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增长8.2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u w:color="auto"/>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24.02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u w:color="auto"/>
          <w:lang w:val="en-US" w:eastAsia="zh-CN"/>
        </w:rPr>
        <w:t>单位工会开展活动及各项支出需要</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u w:color="auto"/>
          <w:lang w:val="en-US" w:eastAsia="zh-CN"/>
        </w:rPr>
        <w:t>单位工会开展活动及其他需要，2023年使用经费24.02万元。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1925.93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w:t>
      </w:r>
      <w:r>
        <w:rPr>
          <w:rFonts w:hint="eastAsia" w:ascii="华文仿宋" w:hAnsi="华文仿宋" w:eastAsia="华文仿宋" w:cs="华文仿宋"/>
          <w:kern w:val="0"/>
          <w:sz w:val="32"/>
          <w:szCs w:val="32"/>
        </w:rPr>
        <w:t>人员工资及为开展教育教学活动的支出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增加258.12</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w:t>
      </w:r>
      <w:r>
        <w:rPr>
          <w:rFonts w:hint="eastAsia" w:ascii="仿宋" w:hAnsi="仿宋" w:eastAsia="仿宋" w:cs="仿宋"/>
          <w:color w:val="auto"/>
          <w:sz w:val="32"/>
          <w:szCs w:val="32"/>
          <w:highlight w:val="none"/>
          <w:lang w:val="en-US" w:eastAsia="zh-CN" w:bidi="ar"/>
        </w:rPr>
        <w:t>15.47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主要原因是：单位教职工基本工资、津补贴待遇等较上年度有所提高，故支出有增加。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179.48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val="en-US" w:eastAsia="zh-CN"/>
        </w:rPr>
        <w:t>单位职工缴纳五险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增加20.36</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w:t>
      </w:r>
      <w:r>
        <w:rPr>
          <w:rFonts w:hint="eastAsia" w:ascii="仿宋" w:hAnsi="仿宋" w:eastAsia="仿宋" w:cs="仿宋"/>
          <w:color w:val="auto"/>
          <w:sz w:val="32"/>
          <w:szCs w:val="32"/>
          <w:highlight w:val="none"/>
          <w:lang w:val="en-US" w:eastAsia="zh-CN" w:bidi="ar"/>
        </w:rPr>
        <w:t>12.87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主要原因是：单位人员五险基数提高，所需缴纳费款增加。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137.53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val="en-US" w:eastAsia="zh-CN"/>
        </w:rPr>
        <w:t>单位职工缴纳住房公积金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18.09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13.15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单位人员五险基数提高，所需缴纳费款增加。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172.3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val="en-US" w:eastAsia="zh-CN"/>
        </w:rPr>
        <w:t>其中1.24万元用于单位开</w:t>
      </w:r>
      <w:r>
        <w:rPr>
          <w:rFonts w:hint="eastAsia" w:ascii="仿宋" w:hAnsi="仿宋" w:eastAsia="仿宋" w:cs="仿宋"/>
          <w:kern w:val="0"/>
          <w:sz w:val="32"/>
          <w:szCs w:val="32"/>
          <w:lang w:val="en-US" w:eastAsia="zh-CN"/>
        </w:rPr>
        <w:t>展少年宫活动，其余用于教师福利。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113.47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39.71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单位人员因退休、调动发生减少，故支出有减少。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减少0</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bookmarkStart w:id="6" w:name="_GoBack"/>
      <w:r>
        <w:rPr>
          <w:rFonts w:hint="eastAsia" w:ascii="仿宋" w:hAnsi="仿宋" w:eastAsia="仿宋" w:cs="仿宋"/>
          <w:sz w:val="32"/>
          <w:szCs w:val="32"/>
          <w:highlight w:val="none"/>
        </w:rPr>
        <w:drawing>
          <wp:inline distT="0" distB="0" distL="114300" distR="114300">
            <wp:extent cx="5080000" cy="376555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6"/>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color w:val="auto"/>
          <w:sz w:val="32"/>
          <w:u w:color="auto"/>
        </w:rPr>
        <w:t>2438.02</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color w:val="auto"/>
          <w:sz w:val="32"/>
          <w:u w:color="auto"/>
          <w:lang w:val="en-US" w:eastAsia="zh-CN"/>
        </w:rPr>
        <w:t>增加188.94</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增长8.4</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2071.97</w:t>
      </w:r>
      <w:r>
        <w:rPr>
          <w:rFonts w:hint="eastAsia" w:ascii="仿宋" w:hAnsi="仿宋" w:eastAsia="仿宋" w:cs="仿宋"/>
          <w:sz w:val="32"/>
          <w:szCs w:val="32"/>
          <w:highlight w:val="none"/>
        </w:rPr>
        <w:t>万元，项目支出</w:t>
      </w:r>
      <w:r>
        <w:rPr>
          <w:rFonts w:hint="eastAsia" w:ascii="仿宋" w:hAnsi="仿宋" w:eastAsia="仿宋" w:cs="仿宋"/>
          <w:sz w:val="32"/>
          <w:u w:color="auto"/>
        </w:rPr>
        <w:t>367.29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环江毛南族自治县明伦镇中心小学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rPr>
        <w:t>1708.12</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2438.02</w:t>
      </w:r>
      <w:r>
        <w:rPr>
          <w:rFonts w:hint="eastAsia" w:ascii="仿宋" w:hAnsi="仿宋" w:eastAsia="仿宋" w:cs="仿宋"/>
          <w:sz w:val="32"/>
          <w:szCs w:val="32"/>
          <w:highlight w:val="none"/>
        </w:rPr>
        <w:t>万元，完成年初预算的</w:t>
      </w:r>
      <w:r>
        <w:rPr>
          <w:rFonts w:ascii="仿宋" w:hAnsi="仿宋" w:eastAsia="仿宋" w:cs="仿宋"/>
          <w:sz w:val="32"/>
          <w:u w:color="auto"/>
        </w:rPr>
        <w:t>142.</w:t>
      </w:r>
      <w:r>
        <w:rPr>
          <w:rFonts w:hint="eastAsia" w:ascii="仿宋" w:hAnsi="仿宋" w:eastAsia="仿宋" w:cs="仿宋"/>
          <w:sz w:val="32"/>
          <w:u w:color="auto"/>
          <w:lang w:val="en-US" w:eastAsia="zh-CN"/>
        </w:rPr>
        <w:t>73</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24.02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24.02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r>
        <w:rPr>
          <w:rFonts w:hint="eastAsia" w:ascii="仿宋" w:hAnsi="仿宋" w:eastAsia="仿宋" w:cs="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无偏差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教育支出</w:t>
      </w:r>
      <w:r>
        <w:rPr>
          <w:rFonts w:ascii="仿宋" w:hAnsi="仿宋" w:eastAsia="仿宋"/>
          <w:sz w:val="32"/>
          <w:u w:color="auto"/>
        </w:rPr>
        <w:t>（</w:t>
      </w:r>
      <w:r>
        <w:rPr>
          <w:rFonts w:ascii="仿宋" w:hAnsi="仿宋" w:eastAsia="仿宋"/>
          <w:color w:val="auto"/>
          <w:sz w:val="32"/>
          <w:u w:color="auto"/>
        </w:rPr>
        <w:t>205</w:t>
      </w:r>
      <w:r>
        <w:rPr>
          <w:rFonts w:hint="eastAsia" w:ascii="仿宋" w:hAnsi="仿宋" w:eastAsia="仿宋"/>
          <w:color w:val="auto"/>
          <w:sz w:val="32"/>
          <w:szCs w:val="32"/>
          <w:highlight w:val="none"/>
        </w:rPr>
        <w:t>类</w:t>
      </w:r>
      <w:r>
        <w:rPr>
          <w:rFonts w:hint="eastAsia" w:ascii="仿宋" w:hAnsi="仿宋" w:eastAsia="仿宋"/>
          <w:sz w:val="32"/>
          <w:szCs w:val="32"/>
          <w:highlight w:val="none"/>
        </w:rPr>
        <w:t>）年初预算为1334.12万元，支出决算为1925.93万元，完成年初预算的</w:t>
      </w:r>
      <w:r>
        <w:rPr>
          <w:rFonts w:hint="eastAsia" w:ascii="仿宋" w:hAnsi="仿宋" w:eastAsia="仿宋"/>
          <w:sz w:val="32"/>
          <w:szCs w:val="32"/>
          <w:highlight w:val="none"/>
          <w:lang w:val="en-US" w:eastAsia="zh-CN"/>
        </w:rPr>
        <w:t>144.36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lang w:val="en-US" w:eastAsia="zh-CN"/>
          <w14:textFill>
            <w14:solidFill>
              <w14:schemeClr w14:val="tx1"/>
            </w14:solidFill>
          </w14:textFill>
        </w:rPr>
        <w:t>预决算存有差异原因是：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default" w:ascii="仿宋" w:hAnsi="仿宋" w:eastAsia="仿宋"/>
          <w:color w:val="000000" w:themeColor="text1"/>
          <w:sz w:val="32"/>
          <w:szCs w:val="32"/>
          <w:highlight w:val="none"/>
          <w:lang w:val="en-US" w:eastAsia="zh-CN"/>
          <w14:textFill>
            <w14:solidFill>
              <w14:schemeClr w14:val="tx1"/>
            </w14:solidFill>
          </w14:textFill>
        </w:rPr>
        <w:t>该类支出部分资金由上级部门预算直接下达，本部门无</w:t>
      </w:r>
      <w:r>
        <w:rPr>
          <w:rFonts w:hint="eastAsia" w:ascii="仿宋" w:hAnsi="仿宋" w:eastAsia="仿宋"/>
          <w:color w:val="000000" w:themeColor="text1"/>
          <w:sz w:val="32"/>
          <w:szCs w:val="32"/>
          <w:highlight w:val="none"/>
          <w:lang w:val="en-US" w:eastAsia="zh-CN"/>
          <w14:textFill>
            <w14:solidFill>
              <w14:schemeClr w14:val="tx1"/>
            </w14:solidFill>
          </w14:textFill>
        </w:rPr>
        <w:t>需</w:t>
      </w:r>
      <w:r>
        <w:rPr>
          <w:rFonts w:hint="default" w:ascii="仿宋" w:hAnsi="仿宋" w:eastAsia="仿宋"/>
          <w:color w:val="000000" w:themeColor="text1"/>
          <w:sz w:val="32"/>
          <w:szCs w:val="32"/>
          <w:highlight w:val="none"/>
          <w:lang w:val="en-US" w:eastAsia="zh-CN"/>
          <w14:textFill>
            <w14:solidFill>
              <w14:schemeClr w14:val="tx1"/>
            </w14:solidFill>
          </w14:textFill>
        </w:rPr>
        <w:t>预算，如义教补助资金中的寄宿生生活补助，公用经费等</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22"/>
        <w:gridCol w:w="935"/>
        <w:gridCol w:w="1041"/>
        <w:gridCol w:w="975"/>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2050202</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小学教育</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1334.12</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1912.04</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2"/>
                <w:sz w:val="18"/>
                <w:szCs w:val="18"/>
                <w:highlight w:val="none"/>
                <w:u w:val="none"/>
                <w:lang w:val="en-US" w:eastAsia="zh-CN" w:bidi="ar-SA"/>
              </w:rPr>
              <w:t>144.36%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该类支出部分资金由上级部门预算直接下达，本部门无需预算，如义教补助资金中的寄宿生生活补助，公用经费等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2050299</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其他普通教育支出</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9.27</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default" w:ascii="宋体" w:hAnsi="宋体" w:eastAsia="宋体" w:cs="宋体"/>
                <w:i w:val="0"/>
                <w:iCs w:val="0"/>
                <w:color w:val="auto"/>
                <w:sz w:val="18"/>
                <w:szCs w:val="18"/>
                <w:highlight w:val="none"/>
                <w:u w:val="none"/>
                <w:lang w:val="en-US" w:eastAsia="zh-CN"/>
              </w:rPr>
              <w:t>主要用于付</w:t>
            </w:r>
            <w:r>
              <w:rPr>
                <w:rFonts w:hint="eastAsia" w:ascii="宋体" w:hAnsi="宋体" w:eastAsia="宋体" w:cs="宋体"/>
                <w:i w:val="0"/>
                <w:iCs w:val="0"/>
                <w:color w:val="auto"/>
                <w:sz w:val="18"/>
                <w:szCs w:val="18"/>
                <w:highlight w:val="none"/>
                <w:u w:val="none"/>
                <w:lang w:val="en-US" w:eastAsia="zh-CN"/>
              </w:rPr>
              <w:t>2023年校长工资绩效和部分办公经费支出。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2050701</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特殊学校教育</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default" w:ascii="宋体" w:hAnsi="宋体" w:eastAsia="宋体" w:cs="宋体"/>
                <w:i w:val="0"/>
                <w:iCs w:val="0"/>
                <w:color w:val="auto"/>
                <w:sz w:val="18"/>
                <w:szCs w:val="18"/>
                <w:highlight w:val="none"/>
                <w:u w:val="none"/>
                <w:lang w:val="en-US" w:eastAsia="zh-CN"/>
              </w:rPr>
              <w:t>主要用于全镇教职工</w:t>
            </w:r>
            <w:r>
              <w:rPr>
                <w:rFonts w:hint="eastAsia" w:ascii="宋体" w:hAnsi="宋体" w:eastAsia="宋体" w:cs="宋体"/>
                <w:i w:val="0"/>
                <w:iCs w:val="0"/>
                <w:color w:val="auto"/>
                <w:sz w:val="18"/>
                <w:szCs w:val="18"/>
                <w:highlight w:val="none"/>
                <w:u w:val="none"/>
                <w:lang w:val="en-US" w:eastAsia="zh-CN"/>
              </w:rPr>
              <w:t>送教上门办公费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2050999</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其他教育费附加安排的支出（学生营养餐）</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default" w:ascii="宋体" w:hAnsi="宋体" w:eastAsia="宋体" w:cs="宋体"/>
                <w:i w:val="0"/>
                <w:iCs w:val="0"/>
                <w:color w:val="auto"/>
                <w:sz w:val="18"/>
                <w:szCs w:val="18"/>
                <w:highlight w:val="none"/>
                <w:u w:val="none"/>
                <w:lang w:val="en-US" w:eastAsia="zh-CN"/>
              </w:rPr>
              <w:t>主要用于付</w:t>
            </w:r>
            <w:r>
              <w:rPr>
                <w:rFonts w:hint="eastAsia" w:ascii="宋体" w:hAnsi="宋体" w:eastAsia="宋体" w:cs="宋体"/>
                <w:i w:val="0"/>
                <w:iCs w:val="0"/>
                <w:color w:val="auto"/>
                <w:sz w:val="18"/>
                <w:szCs w:val="18"/>
                <w:highlight w:val="none"/>
                <w:u w:val="none"/>
                <w:lang w:val="en-US" w:eastAsia="zh-CN"/>
              </w:rPr>
              <w:t>2023年学校安全协管员工资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2"/>
                <w:sz w:val="18"/>
                <w:szCs w:val="18"/>
                <w:highlight w:val="none"/>
                <w:u w:val="none"/>
                <w:lang w:val="en-US" w:eastAsia="zh-CN" w:bidi="ar-SA"/>
              </w:rPr>
              <w:t>1334.12</w:t>
            </w:r>
          </w:p>
        </w:tc>
        <w:tc>
          <w:tcPr>
            <w:tcW w:w="10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1925.93</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类）年初预算为199.99万元，支出决算为179.48万元，完成年初预算的</w:t>
      </w:r>
      <w:r>
        <w:rPr>
          <w:rFonts w:ascii="仿宋" w:hAnsi="仿宋" w:eastAsia="仿宋"/>
          <w:sz w:val="32"/>
          <w:szCs w:val="32"/>
          <w:highlight w:val="none"/>
        </w:rPr>
        <w:t>89.</w:t>
      </w:r>
      <w:r>
        <w:rPr>
          <w:rFonts w:hint="eastAsia" w:ascii="仿宋" w:hAnsi="仿宋" w:eastAsia="仿宋"/>
          <w:sz w:val="32"/>
          <w:szCs w:val="32"/>
          <w:highlight w:val="none"/>
          <w:lang w:val="en-US" w:eastAsia="zh-CN"/>
        </w:rPr>
        <w:t>74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原因是：单位人员因退休、调动发生减少。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043"/>
        <w:gridCol w:w="987"/>
        <w:gridCol w:w="1076"/>
        <w:gridCol w:w="1218"/>
        <w:gridCol w:w="1399"/>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3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179.48</w:t>
            </w:r>
          </w:p>
        </w:tc>
        <w:tc>
          <w:tcPr>
            <w:tcW w:w="12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89.74%</w:t>
            </w:r>
          </w:p>
        </w:tc>
        <w:tc>
          <w:tcPr>
            <w:tcW w:w="13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单位人员因退休、调动发生减少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179.48</w:t>
            </w:r>
          </w:p>
        </w:tc>
        <w:tc>
          <w:tcPr>
            <w:tcW w:w="12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89.74%</w:t>
            </w:r>
          </w:p>
        </w:tc>
        <w:tc>
          <w:tcPr>
            <w:tcW w:w="13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单位人员因退休、调动发生减少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149</w:t>
      </w:r>
      <w:r>
        <w:rPr>
          <w:rFonts w:ascii="仿宋" w:hAnsi="仿宋" w:eastAsia="仿宋"/>
          <w:sz w:val="32"/>
          <w:szCs w:val="32"/>
          <w:highlight w:val="none"/>
        </w:rPr>
        <w:t>.99</w:t>
      </w:r>
      <w:r>
        <w:rPr>
          <w:rFonts w:hint="eastAsia" w:ascii="仿宋" w:hAnsi="仿宋" w:eastAsia="仿宋"/>
          <w:sz w:val="32"/>
          <w:szCs w:val="32"/>
          <w:highlight w:val="none"/>
        </w:rPr>
        <w:t>万元，支出决算为</w:t>
      </w:r>
      <w:r>
        <w:rPr>
          <w:rFonts w:ascii="仿宋" w:hAnsi="仿宋" w:eastAsia="仿宋"/>
          <w:sz w:val="32"/>
          <w:szCs w:val="32"/>
          <w:highlight w:val="none"/>
        </w:rPr>
        <w:t>119.44</w:t>
      </w:r>
      <w:r>
        <w:rPr>
          <w:rFonts w:hint="eastAsia" w:ascii="仿宋" w:hAnsi="仿宋" w:eastAsia="仿宋"/>
          <w:sz w:val="32"/>
          <w:szCs w:val="32"/>
          <w:highlight w:val="none"/>
        </w:rPr>
        <w:t>万元，完成年初预算的</w:t>
      </w:r>
      <w:r>
        <w:rPr>
          <w:rFonts w:ascii="仿宋" w:hAnsi="仿宋" w:eastAsia="仿宋"/>
          <w:sz w:val="32"/>
          <w:szCs w:val="32"/>
          <w:highlight w:val="none"/>
        </w:rPr>
        <w:t>90.49%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原因是：单位人员因退休、调动发生减少。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单位人员五险基数提高，所需缴纳费款增加。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单位人员五险基数提高，所需缴纳费款增加。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21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万元，支出决算为172.3万元，完成年初预算的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原因是：由上级部门预算下达，本部门无需预算。</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637"/>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6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9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由上级部门预算下达，本部门无需预算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6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9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由上级部门预算下达，本部门无需预算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_GB2312" w:hAnsi="微软雅黑" w:eastAsia="仿宋_GB2312" w:cs="仿宋_GB2312"/>
          <w:i w:val="0"/>
          <w:iCs w:val="0"/>
          <w:caps w:val="0"/>
          <w:color w:val="000000"/>
          <w:spacing w:val="0"/>
          <w:sz w:val="31"/>
          <w:szCs w:val="31"/>
          <w:highlight w:val="none"/>
          <w:shd w:val="clear" w:color="auto" w:fill="FFFFFF"/>
        </w:rPr>
      </w:pPr>
      <w:r>
        <w:rPr>
          <w:rFonts w:hint="eastAsia" w:ascii="仿宋_GB2312" w:hAnsi="微软雅黑" w:eastAsia="仿宋_GB2312" w:cs="仿宋_GB2312"/>
          <w:i w:val="0"/>
          <w:iCs w:val="0"/>
          <w:caps w:val="0"/>
          <w:color w:val="000000"/>
          <w:spacing w:val="0"/>
          <w:sz w:val="31"/>
          <w:szCs w:val="31"/>
          <w:highlight w:val="none"/>
          <w:shd w:val="clear" w:color="auto" w:fill="FFFFFF"/>
        </w:rPr>
        <w:t>环江毛南族自治县明伦镇中心小学</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2023</w:t>
      </w:r>
      <w:r>
        <w:rPr>
          <w:rFonts w:hint="eastAsia" w:ascii="仿宋_GB2312" w:hAnsi="微软雅黑" w:eastAsia="仿宋_GB2312" w:cs="仿宋_GB2312"/>
          <w:i w:val="0"/>
          <w:iCs w:val="0"/>
          <w:caps w:val="0"/>
          <w:color w:val="000000"/>
          <w:spacing w:val="0"/>
          <w:sz w:val="31"/>
          <w:szCs w:val="31"/>
          <w:highlight w:val="none"/>
          <w:shd w:val="clear" w:color="auto" w:fill="FFFFFF"/>
        </w:rPr>
        <w:t>年度一般公共预算财政拨款基本支出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2071.98</w:t>
      </w:r>
      <w:r>
        <w:rPr>
          <w:rFonts w:hint="eastAsia" w:ascii="仿宋_GB2312" w:hAnsi="微软雅黑" w:eastAsia="仿宋_GB2312" w:cs="仿宋_GB2312"/>
          <w:i w:val="0"/>
          <w:iCs w:val="0"/>
          <w:caps w:val="0"/>
          <w:color w:val="000000"/>
          <w:spacing w:val="0"/>
          <w:sz w:val="31"/>
          <w:szCs w:val="31"/>
          <w:highlight w:val="none"/>
          <w:shd w:val="clear" w:color="auto" w:fill="FFFFFF"/>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rPr>
        <w:t>2047.96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rPr>
        <w:t>24.02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rPr>
        <w:t>支出具体情况如下：</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_GB2312" w:hAnsi="微软雅黑" w:eastAsia="仿宋_GB2312" w:cs="仿宋_GB2312"/>
          <w:i w:val="0"/>
          <w:iCs w:val="0"/>
          <w:caps w:val="0"/>
          <w:color w:val="000000"/>
          <w:spacing w:val="0"/>
          <w:sz w:val="31"/>
          <w:szCs w:val="31"/>
          <w:highlight w:val="none"/>
          <w:shd w:val="clear" w:color="auto" w:fill="FFFFFF"/>
        </w:rPr>
      </w:pPr>
      <w:r>
        <w:rPr>
          <w:rFonts w:hint="eastAsia" w:ascii="仿宋_GB2312" w:hAnsi="微软雅黑" w:eastAsia="仿宋_GB2312" w:cs="仿宋_GB2312"/>
          <w:i w:val="0"/>
          <w:iCs w:val="0"/>
          <w:caps w:val="0"/>
          <w:color w:val="auto"/>
          <w:spacing w:val="0"/>
          <w:kern w:val="2"/>
          <w:sz w:val="31"/>
          <w:szCs w:val="31"/>
          <w:shd w:val="clear" w:fill="FFFFFF"/>
          <w:lang w:val="en-US" w:eastAsia="zh-CN" w:bidi="ar-SA"/>
        </w:rPr>
        <w:t>（一）</w:t>
      </w:r>
      <w:r>
        <w:rPr>
          <w:rFonts w:hint="eastAsia" w:ascii="仿宋_GB2312" w:hAnsi="微软雅黑" w:eastAsia="仿宋_GB2312" w:cs="仿宋_GB2312"/>
          <w:i w:val="0"/>
          <w:iCs w:val="0"/>
          <w:caps w:val="0"/>
          <w:color w:val="000000"/>
          <w:spacing w:val="0"/>
          <w:sz w:val="31"/>
          <w:szCs w:val="31"/>
          <w:highlight w:val="none"/>
          <w:shd w:val="clear" w:color="auto" w:fill="FFFFFF"/>
        </w:rPr>
        <w:t>工资福利支出1862.47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auto"/>
          <w:spacing w:val="0"/>
          <w:sz w:val="31"/>
          <w:szCs w:val="31"/>
          <w:highlight w:val="none"/>
          <w:shd w:val="clear" w:color="auto" w:fill="FFFFFF"/>
        </w:rPr>
        <w:t>1</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41</w:t>
      </w:r>
      <w:r>
        <w:rPr>
          <w:rFonts w:hint="eastAsia" w:ascii="仿宋_GB2312" w:hAnsi="微软雅黑" w:eastAsia="仿宋_GB2312" w:cs="仿宋_GB2312"/>
          <w:i w:val="0"/>
          <w:iCs w:val="0"/>
          <w:caps w:val="0"/>
          <w:color w:val="auto"/>
          <w:spacing w:val="0"/>
          <w:sz w:val="31"/>
          <w:szCs w:val="31"/>
          <w:highlight w:val="none"/>
          <w:shd w:val="clear" w:color="auto" w:fill="FFFFFF"/>
        </w:rPr>
        <w:t>.38%</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主要原因是：在职人员岗位工资、薪级工资等</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福利上调，2023年新聘用教师2名，特岗转岗5名故工资福利支出增加，故</w:t>
      </w:r>
      <w:r>
        <w:rPr>
          <w:rFonts w:hint="default" w:ascii="仿宋_GB2312" w:hAnsi="微软雅黑" w:eastAsia="仿宋_GB2312" w:cs="仿宋_GB2312"/>
          <w:i w:val="0"/>
          <w:iCs w:val="0"/>
          <w:caps w:val="0"/>
          <w:color w:val="000000"/>
          <w:spacing w:val="0"/>
          <w:sz w:val="31"/>
          <w:szCs w:val="31"/>
          <w:highlight w:val="none"/>
          <w:shd w:val="clear" w:color="auto" w:fill="FFFFFF"/>
          <w:lang w:val="en-US" w:eastAsia="zh-CN"/>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完成率较高。</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支出具体情况如下</w:t>
      </w:r>
      <w:r>
        <w:rPr>
          <w:rFonts w:hint="eastAsia"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30101基本工资552.23万元，30102津贴补贴157.43万元，30103奖金515.31万元，30107绩效工资239.75万元，30108机关事业单位基本养老保险缴费179.48万元，30110职工基本医疗保险缴费71.87万元，30112其他社会保障缴费8.86万元，30113住房公积金137.53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24.02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color w:val="auto"/>
          <w:kern w:val="2"/>
          <w:sz w:val="32"/>
          <w:szCs w:val="32"/>
          <w:highlight w:val="none"/>
          <w:lang w:val="en-US" w:eastAsia="zh-CN" w:bidi="ar"/>
        </w:rPr>
        <w:t>无差异。</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_GB2312" w:cs="仿宋"/>
          <w:color w:val="auto"/>
          <w:sz w:val="32"/>
          <w:szCs w:val="32"/>
          <w:highlight w:val="none"/>
          <w:lang w:val="en-US" w:eastAsia="zh-CN"/>
        </w:rPr>
      </w:pPr>
      <w:r>
        <w:rPr>
          <w:rFonts w:hint="eastAsia" w:ascii="仿宋_GB2312" w:hAnsi="微软雅黑" w:eastAsia="仿宋_GB2312" w:cs="仿宋_GB2312"/>
          <w:i w:val="0"/>
          <w:iCs w:val="0"/>
          <w:caps w:val="0"/>
          <w:color w:val="auto"/>
          <w:spacing w:val="0"/>
          <w:sz w:val="31"/>
          <w:szCs w:val="31"/>
          <w:highlight w:val="none"/>
          <w:shd w:val="clear" w:color="auto" w:fill="FFFFFF"/>
        </w:rPr>
        <w:t>支出具体情况如下：</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30228工会经费24.02万元。</w:t>
      </w:r>
    </w:p>
    <w:p>
      <w:pPr>
        <w:keepNext w:val="0"/>
        <w:keepLines w:val="0"/>
        <w:widowControl w:val="0"/>
        <w:numPr>
          <w:ilvl w:val="0"/>
          <w:numId w:val="0"/>
        </w:numPr>
        <w:suppressLineNumbers w:val="0"/>
        <w:spacing w:before="0" w:beforeAutospacing="0" w:after="0" w:afterAutospacing="0"/>
        <w:ind w:left="420" w:leftChars="0" w:right="0" w:right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s="仿宋"/>
          <w:color w:val="auto"/>
          <w:sz w:val="32"/>
          <w:u w:color="auto"/>
          <w:lang w:val="en-US"/>
        </w:rPr>
      </w:pPr>
      <w:r>
        <w:rPr>
          <w:rFonts w:hint="eastAsia" w:ascii="仿宋" w:hAnsi="仿宋" w:eastAsia="仿宋" w:cs="仿宋"/>
          <w:color w:val="auto"/>
          <w:kern w:val="2"/>
          <w:sz w:val="32"/>
          <w:szCs w:val="24"/>
          <w:u w:color="auto"/>
          <w:lang w:val="en-US" w:eastAsia="zh-CN" w:bidi="ar-SA"/>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185.49</w:t>
      </w:r>
      <w:r>
        <w:rPr>
          <w:rFonts w:ascii="仿宋" w:hAnsi="仿宋" w:eastAsia="仿宋" w:cs="仿宋"/>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181.23</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u w:color="auto"/>
          <w:lang w:val="en-US" w:eastAsia="zh-CN"/>
        </w:rPr>
        <w:t>：退休教师、抚恤人员等增加。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30304抚恤金17.38万元，30305生活补助167.19万元，30307医疗费补助0.9万元，30399其他对个人和家庭的补助0.02万元。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FF0000"/>
          <w:sz w:val="32"/>
          <w:szCs w:val="32"/>
          <w:highlight w:val="none"/>
        </w:rPr>
      </w:pPr>
      <w:r>
        <w:rPr>
          <w:rFonts w:hint="eastAsia" w:ascii="仿宋" w:hAnsi="仿宋" w:eastAsia="仿宋" w:cs="仿宋"/>
          <w:color w:val="auto"/>
          <w:kern w:val="2"/>
          <w:sz w:val="32"/>
          <w:szCs w:val="32"/>
          <w:lang w:val="en-US" w:eastAsia="zh-CN" w:bidi="ar-SA"/>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FF0000"/>
          <w:sz w:val="32"/>
          <w:szCs w:val="32"/>
          <w:highlight w:val="none"/>
        </w:rPr>
      </w:pPr>
      <w:r>
        <w:rPr>
          <w:rFonts w:hint="eastAsia" w:ascii="仿宋" w:hAnsi="仿宋" w:eastAsia="仿宋" w:cs="仿宋"/>
          <w:color w:val="auto"/>
          <w:kern w:val="2"/>
          <w:sz w:val="32"/>
          <w:szCs w:val="32"/>
          <w:lang w:val="en-US" w:eastAsia="zh-CN" w:bidi="ar-SA"/>
        </w:rPr>
        <w:t>（五）</w:t>
      </w: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FF0000"/>
          <w:sz w:val="32"/>
          <w:szCs w:val="32"/>
          <w:highlight w:val="none"/>
        </w:rPr>
      </w:pPr>
      <w:r>
        <w:rPr>
          <w:rFonts w:hint="eastAsia" w:ascii="仿宋" w:hAnsi="仿宋" w:eastAsia="仿宋" w:cs="仿宋"/>
          <w:color w:val="auto"/>
          <w:kern w:val="2"/>
          <w:sz w:val="32"/>
          <w:szCs w:val="32"/>
          <w:lang w:val="en-US" w:eastAsia="zh-CN" w:bidi="ar-SA"/>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本单位无</w:t>
      </w:r>
      <w:r>
        <w:rPr>
          <w:rFonts w:hint="eastAsia" w:ascii="仿宋" w:hAnsi="仿宋" w:eastAsia="仿宋" w:cs="仿宋"/>
          <w:sz w:val="32"/>
          <w:szCs w:val="32"/>
          <w:highlight w:val="none"/>
          <w:lang w:val="en-US" w:eastAsia="zh-CN"/>
        </w:rPr>
        <w:t>其他</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1.24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color w:val="auto"/>
          <w:sz w:val="32"/>
          <w:u w:color="auto"/>
          <w:lang w:val="en-US" w:eastAsia="zh-CN"/>
        </w:rPr>
        <w:t>减少2.82</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下降69.46</w:t>
      </w:r>
      <w:r>
        <w:rPr>
          <w:rFonts w:ascii="仿宋" w:hAnsi="仿宋" w:eastAsia="仿宋" w:cs="仿宋"/>
          <w:color w:val="auto"/>
          <w:sz w:val="32"/>
          <w:u w:color="auto"/>
        </w:rPr>
        <w:t>%</w:t>
      </w:r>
      <w:r>
        <w:rPr>
          <w:rFonts w:hint="eastAsia" w:ascii="仿宋" w:hAnsi="仿宋" w:eastAsia="仿宋" w:cs="仿宋"/>
          <w:color w:val="auto"/>
          <w:sz w:val="32"/>
          <w:u w:color="auto"/>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1.24</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1.24</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0"/>
          <w:sz w:val="32"/>
          <w:szCs w:val="32"/>
          <w:lang w:val="en-US"/>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1.24</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该资金为年中预算资金，未进行年初预算。</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环江毛南族自治县明伦镇中心小学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环江毛南族自治县明伦镇中心小学</w:t>
      </w:r>
      <w:r>
        <w:rPr>
          <w:rFonts w:hint="eastAsia" w:ascii="仿宋_GB2312" w:hAnsi="Times New Roman" w:eastAsia="仿宋_GB2312" w:cs="Times New Roman"/>
          <w:color w:val="auto"/>
          <w:sz w:val="32"/>
          <w:szCs w:val="32"/>
          <w:lang w:eastAsia="zh-CN"/>
        </w:rPr>
        <w:t>2023</w:t>
      </w:r>
      <w:r>
        <w:rPr>
          <w:rFonts w:hint="eastAsia" w:ascii="仿宋_GB2312" w:hAnsi="Times New Roman" w:eastAsia="仿宋_GB2312" w:cs="Times New Roman"/>
          <w:color w:val="auto"/>
          <w:sz w:val="32"/>
          <w:szCs w:val="32"/>
        </w:rPr>
        <w:t>年度国有资本经营预算支出0.00万元。其中：基本支出0.00万元，项目支出0.00万元。</w:t>
      </w:r>
    </w:p>
    <w:p>
      <w:pPr>
        <w:ind w:firstLine="640" w:firstLineChars="200"/>
        <w:jc w:val="lef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环江毛南族自治县明伦镇中心小学</w:t>
      </w:r>
      <w:r>
        <w:rPr>
          <w:rFonts w:hint="eastAsia" w:ascii="仿宋_GB2312" w:hAnsi="Times New Roman" w:eastAsia="仿宋_GB2312" w:cs="Times New Roman"/>
          <w:color w:val="auto"/>
          <w:sz w:val="32"/>
          <w:szCs w:val="32"/>
          <w:lang w:eastAsia="zh-CN"/>
        </w:rPr>
        <w:t>2023</w:t>
      </w:r>
      <w:r>
        <w:rPr>
          <w:rFonts w:hint="eastAsia" w:ascii="仿宋_GB2312" w:hAnsi="Times New Roman" w:eastAsia="仿宋_GB2312" w:cs="Times New Roman"/>
          <w:color w:val="auto"/>
          <w:sz w:val="32"/>
          <w:szCs w:val="32"/>
        </w:rPr>
        <w:t xml:space="preserve"> 年度国有资本经营预算支出年初预算为0.00万元，支出决算为0.00万元，完成年初预算的0%。</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环江毛南族自治县明伦镇中心小学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2023</w:t>
      </w:r>
      <w:r>
        <w:rPr>
          <w:rFonts w:hint="eastAsia" w:ascii="仿宋_GB2312" w:hAnsi="Times New Roman" w:eastAsia="仿宋_GB2312" w:cs="Times New Roman"/>
          <w:color w:val="auto"/>
          <w:sz w:val="32"/>
          <w:szCs w:val="32"/>
        </w:rPr>
        <w:t>年预算财政拨款安排的“三公”经费支出0.00万元，完成年初预算的0%，比上年增加0.00万元，</w:t>
      </w:r>
      <w:r>
        <w:rPr>
          <w:rFonts w:hint="eastAsia" w:ascii="仿宋_GB2312" w:hAnsi="Times New Roman" w:eastAsia="仿宋_GB2312" w:cs="Times New Roman"/>
          <w:color w:val="auto"/>
          <w:sz w:val="32"/>
          <w:szCs w:val="32"/>
          <w:lang w:val="en-US" w:eastAsia="zh-CN"/>
        </w:rPr>
        <w:t>主要原因是：本单位为全额拨款事业单位，无“三公”经费支出。</w:t>
      </w:r>
      <w:r>
        <w:rPr>
          <w:rFonts w:hint="eastAsia" w:ascii="仿宋_GB2312" w:hAnsi="Times New Roman" w:eastAsia="仿宋_GB2312" w:cs="Times New Roman"/>
          <w:color w:val="auto"/>
          <w:sz w:val="32"/>
          <w:szCs w:val="32"/>
        </w:rPr>
        <w:t>其中：因公出国（境）费支出决算0.00万元，公务用车购置及运行费支出决算0.00万元，公务接待费支出决算0.00万元。</w:t>
      </w:r>
    </w:p>
    <w:p>
      <w:pPr>
        <w:ind w:firstLine="640" w:firstLineChars="200"/>
        <w:jc w:val="lef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具体情况如下：</w:t>
      </w:r>
    </w:p>
    <w:p>
      <w:pPr>
        <w:ind w:firstLine="640" w:firstLineChars="200"/>
        <w:jc w:val="lef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因公出国（境）费支出0.00万元，完成年初预算的0%，比上年增加0.00 万元。</w:t>
      </w:r>
      <w:r>
        <w:rPr>
          <w:rFonts w:hint="eastAsia" w:ascii="仿宋_GB2312" w:hAnsi="Times New Roman" w:eastAsia="仿宋_GB2312" w:cs="Times New Roman"/>
          <w:color w:val="auto"/>
          <w:sz w:val="32"/>
          <w:szCs w:val="32"/>
          <w:lang w:val="en-US" w:eastAsia="zh-CN"/>
        </w:rPr>
        <w:t>原因是</w:t>
      </w:r>
      <w:r>
        <w:rPr>
          <w:rFonts w:hint="eastAsia" w:ascii="仿宋_GB2312" w:hAnsi="Times New Roman" w:eastAsia="仿宋_GB2312" w:cs="Times New Roman"/>
          <w:color w:val="auto"/>
          <w:sz w:val="32"/>
          <w:szCs w:val="32"/>
        </w:rPr>
        <w:t>本部门无因公出国（境）费支出</w:t>
      </w:r>
      <w:r>
        <w:rPr>
          <w:rFonts w:hint="eastAsia" w:ascii="仿宋_GB2312" w:hAnsi="Times New Roman" w:eastAsia="仿宋_GB2312" w:cs="Times New Roman"/>
          <w:color w:val="auto"/>
          <w:sz w:val="32"/>
          <w:szCs w:val="32"/>
          <w:lang w:eastAsia="zh-CN"/>
        </w:rPr>
        <w:t>。</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（二）公务用车购置及运行维护费0.00万元。其中：公务用车购置支出0.00万元，完成年初预算的0%，比上年增加0.00 万元。主要原因是</w:t>
      </w:r>
      <w:bookmarkStart w:id="5" w:name="PO_part3A6B2IncReason1"/>
      <w:r>
        <w:rPr>
          <w:rFonts w:hint="eastAsia" w:ascii="仿宋_GB2312" w:hAnsi="Times New Roman" w:eastAsia="仿宋_GB2312" w:cs="Times New Roman"/>
          <w:color w:val="auto"/>
          <w:sz w:val="32"/>
          <w:szCs w:val="32"/>
        </w:rPr>
        <w:t>本部门无公务用车购置</w:t>
      </w:r>
      <w:bookmarkEnd w:id="5"/>
      <w:r>
        <w:rPr>
          <w:rFonts w:hint="eastAsia" w:ascii="仿宋_GB2312" w:hAnsi="Times New Roman" w:eastAsia="仿宋_GB2312" w:cs="Times New Roman"/>
          <w:color w:val="auto"/>
          <w:sz w:val="32"/>
          <w:szCs w:val="32"/>
          <w:lang w:eastAsia="zh-CN"/>
        </w:rPr>
        <w:t>。</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公务用车运行维护支出0.00万元，完成年初预算的0%，比上年增加0.00万元。主要原因是：本部门无公务用车</w:t>
      </w:r>
      <w:r>
        <w:rPr>
          <w:rFonts w:hint="eastAsia" w:ascii="仿宋_GB2312" w:hAnsi="Times New Roman" w:eastAsia="仿宋_GB2312" w:cs="Times New Roman"/>
          <w:color w:val="auto"/>
          <w:sz w:val="32"/>
          <w:szCs w:val="32"/>
          <w:lang w:eastAsia="zh-CN"/>
        </w:rPr>
        <w:t>。</w:t>
      </w:r>
    </w:p>
    <w:p>
      <w:pPr>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（三）公务接待费支出0.00万元，完成年初预算的0%， 比上年增加0.00万元，</w:t>
      </w:r>
      <w:r>
        <w:rPr>
          <w:rFonts w:hint="eastAsia" w:ascii="仿宋_GB2312" w:hAnsi="Times New Roman" w:eastAsia="仿宋_GB2312" w:cs="Times New Roman"/>
          <w:color w:val="auto"/>
          <w:sz w:val="32"/>
          <w:szCs w:val="32"/>
          <w:lang w:val="en-US" w:eastAsia="zh-CN"/>
        </w:rPr>
        <w:t>主要原因是：本</w:t>
      </w:r>
      <w:r>
        <w:rPr>
          <w:rFonts w:hint="eastAsia" w:ascii="仿宋_GB2312" w:hAnsi="Times New Roman" w:eastAsia="仿宋_GB2312" w:cs="Times New Roman"/>
          <w:color w:val="auto"/>
          <w:sz w:val="32"/>
          <w:szCs w:val="32"/>
        </w:rPr>
        <w:t>部门</w:t>
      </w:r>
      <w:r>
        <w:rPr>
          <w:rFonts w:hint="eastAsia" w:ascii="仿宋_GB2312" w:hAnsi="Times New Roman" w:eastAsia="仿宋_GB2312" w:cs="Times New Roman"/>
          <w:color w:val="auto"/>
          <w:sz w:val="32"/>
          <w:szCs w:val="32"/>
          <w:lang w:val="en-US" w:eastAsia="zh-CN"/>
        </w:rPr>
        <w:t>为事业单位，无</w:t>
      </w:r>
      <w:r>
        <w:rPr>
          <w:rFonts w:hint="eastAsia" w:ascii="仿宋_GB2312" w:hAnsi="Times New Roman" w:eastAsia="仿宋_GB2312" w:cs="Times New Roman"/>
          <w:color w:val="auto"/>
          <w:sz w:val="32"/>
          <w:szCs w:val="32"/>
        </w:rPr>
        <w:t>公务接待</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本部门2023年度机关运行经费支出0.00万元，比年初预算数减少</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lang w:eastAsia="zh-CN"/>
        </w:rPr>
        <w:t>万元，下降</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lang w:eastAsia="zh-CN"/>
        </w:rPr>
        <w:t>%，比上年决算数增加0.00万元，增长0%。原因是</w:t>
      </w:r>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部门</w:t>
      </w:r>
      <w:r>
        <w:rPr>
          <w:rFonts w:hint="eastAsia" w:ascii="仿宋_GB2312" w:hAnsi="Times New Roman" w:eastAsia="仿宋_GB2312" w:cs="Times New Roman"/>
          <w:color w:val="auto"/>
          <w:sz w:val="32"/>
          <w:szCs w:val="32"/>
          <w:lang w:val="en-US" w:eastAsia="zh-CN"/>
        </w:rPr>
        <w:t>为事业单位</w:t>
      </w:r>
      <w:r>
        <w:rPr>
          <w:rFonts w:hint="default" w:ascii="仿宋_GB2312" w:hAnsi="Times New Roman" w:eastAsia="仿宋_GB2312" w:cs="Times New Roman"/>
          <w:color w:val="auto"/>
          <w:sz w:val="32"/>
          <w:szCs w:val="32"/>
          <w:lang w:eastAsia="zh-CN"/>
        </w:rPr>
        <w:t>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 w:hAnsi="仿宋" w:eastAsia="仿宋" w:cs="仿宋"/>
          <w:sz w:val="32"/>
          <w:szCs w:val="32"/>
          <w:highlight w:val="none"/>
        </w:rPr>
        <w:t>本</w:t>
      </w:r>
      <w:r>
        <w:rPr>
          <w:rFonts w:hint="eastAsia" w:ascii="仿宋_GB2312" w:hAnsi="Times New Roman" w:eastAsia="仿宋_GB2312" w:cs="Times New Roman"/>
          <w:color w:val="auto"/>
          <w:sz w:val="32"/>
          <w:szCs w:val="32"/>
          <w:lang w:eastAsia="zh-CN"/>
        </w:rPr>
        <w:t>部门2023年度政府采购支出总额0.00万元，</w:t>
      </w:r>
      <w:r>
        <w:rPr>
          <w:rFonts w:hint="default" w:ascii="仿宋_GB2312" w:hAnsi="Times New Roman" w:eastAsia="仿宋_GB2312" w:cs="Times New Roman"/>
          <w:color w:val="auto"/>
          <w:sz w:val="32"/>
          <w:szCs w:val="32"/>
          <w:lang w:eastAsia="zh-CN"/>
        </w:rPr>
        <w:t>无政府采购支出</w:t>
      </w:r>
      <w:r>
        <w:rPr>
          <w:rFonts w:hint="eastAsia" w:ascii="仿宋_GB2312" w:hAnsi="Times New Roman" w:eastAsia="仿宋_GB2312" w:cs="Times New Roman"/>
          <w:color w:val="auto"/>
          <w:sz w:val="32"/>
          <w:szCs w:val="32"/>
          <w:lang w:eastAsia="zh-CN"/>
        </w:rPr>
        <w:t>。其中：政府采购货物支出0.00万元、政府采购工程支出0.00万元、政府采购服务支出0.00万元。授予中小企业合同金额0.00万元，占政府采购支出总额的0%，其中：授予小微企业合同金额0.00万元，占授予中小企业合同金额的0%。</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截至2023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_GB2312" w:hAnsi="Times New Roman" w:eastAsia="仿宋_GB2312" w:cs="Times New Roman"/>
          <w:color w:val="auto"/>
          <w:sz w:val="32"/>
          <w:szCs w:val="32"/>
          <w:lang w:val="en-US" w:eastAsia="zh-CN"/>
        </w:rPr>
        <w:t>100万</w:t>
      </w:r>
      <w:r>
        <w:rPr>
          <w:rFonts w:hint="eastAsia" w:ascii="仿宋_GB2312" w:hAnsi="Times New Roman" w:eastAsia="仿宋_GB2312" w:cs="Times New Roman"/>
          <w:color w:val="auto"/>
          <w:sz w:val="32"/>
          <w:szCs w:val="32"/>
          <w:lang w:eastAsia="zh-CN"/>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1.绩效管理工作开展情况。</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根据财政预算管理要求，本部门组织对2023年度一般公共预算项目支出全面开展绩效自评。其中，一</w:t>
      </w:r>
      <w:r>
        <w:rPr>
          <w:rFonts w:hint="eastAsia" w:ascii="仿宋_GB2312" w:hAnsi="Times New Roman" w:eastAsia="仿宋_GB2312" w:cs="Times New Roman"/>
          <w:color w:val="auto"/>
          <w:sz w:val="32"/>
          <w:szCs w:val="32"/>
          <w:lang w:val="en-US" w:eastAsia="zh-CN"/>
        </w:rPr>
        <w:t>等</w:t>
      </w:r>
      <w:r>
        <w:rPr>
          <w:rFonts w:hint="eastAsia" w:ascii="仿宋_GB2312" w:hAnsi="Times New Roman" w:eastAsia="仿宋_GB2312" w:cs="Times New Roman"/>
          <w:color w:val="auto"/>
          <w:sz w:val="32"/>
          <w:szCs w:val="32"/>
          <w:lang w:eastAsia="zh-CN"/>
        </w:rPr>
        <w:t>项目</w:t>
      </w:r>
      <w:r>
        <w:rPr>
          <w:rFonts w:hint="eastAsia" w:ascii="仿宋_GB2312" w:hAnsi="Times New Roman" w:eastAsia="仿宋_GB2312" w:cs="Times New Roman"/>
          <w:color w:val="auto"/>
          <w:sz w:val="32"/>
          <w:szCs w:val="32"/>
          <w:lang w:val="en-US" w:eastAsia="zh-CN"/>
        </w:rPr>
        <w:t>23</w:t>
      </w:r>
      <w:r>
        <w:rPr>
          <w:rFonts w:hint="eastAsia" w:ascii="仿宋_GB2312" w:hAnsi="Times New Roman" w:eastAsia="仿宋_GB2312" w:cs="Times New Roman"/>
          <w:color w:val="auto"/>
          <w:sz w:val="32"/>
          <w:szCs w:val="32"/>
          <w:lang w:eastAsia="zh-CN"/>
        </w:rPr>
        <w:t>个，二</w:t>
      </w:r>
      <w:r>
        <w:rPr>
          <w:rFonts w:hint="eastAsia" w:ascii="仿宋_GB2312" w:hAnsi="Times New Roman" w:eastAsia="仿宋_GB2312" w:cs="Times New Roman"/>
          <w:color w:val="auto"/>
          <w:sz w:val="32"/>
          <w:szCs w:val="32"/>
          <w:lang w:val="en-US" w:eastAsia="zh-CN"/>
        </w:rPr>
        <w:t>等</w:t>
      </w:r>
      <w:r>
        <w:rPr>
          <w:rFonts w:hint="eastAsia" w:ascii="仿宋_GB2312" w:hAnsi="Times New Roman" w:eastAsia="仿宋_GB2312" w:cs="Times New Roman"/>
          <w:color w:val="auto"/>
          <w:sz w:val="32"/>
          <w:szCs w:val="32"/>
          <w:lang w:eastAsia="zh-CN"/>
        </w:rPr>
        <w:t>项目</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个，共涉及资金</w:t>
      </w:r>
      <w:r>
        <w:rPr>
          <w:rFonts w:hint="eastAsia" w:ascii="仿宋_GB2312" w:hAnsi="Times New Roman" w:eastAsia="仿宋_GB2312" w:cs="Times New Roman"/>
          <w:color w:val="auto"/>
          <w:sz w:val="32"/>
          <w:szCs w:val="32"/>
          <w:lang w:val="en-US" w:eastAsia="zh-CN"/>
        </w:rPr>
        <w:t>702.11</w:t>
      </w:r>
      <w:r>
        <w:rPr>
          <w:rFonts w:hint="eastAsia" w:ascii="仿宋_GB2312" w:hAnsi="Times New Roman" w:eastAsia="仿宋_GB2312" w:cs="Times New Roman"/>
          <w:color w:val="auto"/>
          <w:sz w:val="32"/>
          <w:szCs w:val="32"/>
          <w:lang w:eastAsia="zh-CN"/>
        </w:rPr>
        <w:t>万元。组织对2023年度《中央专项彩票公益金支持乡村学校少年宫经费》政府性基金预算项目支出开展绩效自评，共涉及资金</w:t>
      </w:r>
      <w:r>
        <w:rPr>
          <w:rFonts w:hint="eastAsia" w:ascii="仿宋_GB2312" w:hAnsi="Times New Roman" w:eastAsia="仿宋_GB2312" w:cs="Times New Roman"/>
          <w:color w:val="auto"/>
          <w:sz w:val="32"/>
          <w:szCs w:val="32"/>
          <w:lang w:val="en-US" w:eastAsia="zh-CN"/>
        </w:rPr>
        <w:t>1.24</w:t>
      </w:r>
      <w:r>
        <w:rPr>
          <w:rFonts w:hint="eastAsia" w:ascii="仿宋_GB2312" w:hAnsi="Times New Roman" w:eastAsia="仿宋_GB2312" w:cs="Times New Roman"/>
          <w:color w:val="auto"/>
          <w:sz w:val="32"/>
          <w:szCs w:val="32"/>
          <w:lang w:eastAsia="zh-CN"/>
        </w:rPr>
        <w:t>万元。本</w:t>
      </w:r>
      <w:r>
        <w:rPr>
          <w:rFonts w:hint="eastAsia" w:ascii="仿宋_GB2312" w:hAnsi="Times New Roman" w:eastAsia="仿宋_GB2312" w:cs="Times New Roman"/>
          <w:color w:val="auto"/>
          <w:sz w:val="32"/>
          <w:szCs w:val="32"/>
          <w:lang w:val="en-US" w:eastAsia="zh-CN"/>
        </w:rPr>
        <w:t>单位无</w:t>
      </w:r>
      <w:r>
        <w:rPr>
          <w:rFonts w:hint="eastAsia" w:ascii="仿宋_GB2312" w:hAnsi="Times New Roman" w:eastAsia="仿宋_GB2312" w:cs="Times New Roman"/>
          <w:color w:val="auto"/>
          <w:sz w:val="32"/>
          <w:szCs w:val="32"/>
          <w:lang w:eastAsia="zh-CN"/>
        </w:rPr>
        <w:t>国有资本经营预算项目，</w:t>
      </w:r>
      <w:r>
        <w:rPr>
          <w:rFonts w:hint="eastAsia" w:ascii="仿宋_GB2312" w:hAnsi="Times New Roman" w:eastAsia="仿宋_GB2312" w:cs="Times New Roman"/>
          <w:color w:val="auto"/>
          <w:sz w:val="32"/>
          <w:szCs w:val="32"/>
          <w:lang w:val="en-US" w:eastAsia="zh-CN"/>
        </w:rPr>
        <w:t>故未</w:t>
      </w:r>
      <w:r>
        <w:rPr>
          <w:rFonts w:hint="eastAsia" w:ascii="仿宋_GB2312" w:hAnsi="Times New Roman" w:eastAsia="仿宋_GB2312" w:cs="Times New Roman"/>
          <w:color w:val="auto"/>
          <w:sz w:val="32"/>
          <w:szCs w:val="32"/>
          <w:lang w:eastAsia="zh-CN"/>
        </w:rPr>
        <w:t>对2023年度有资本经营预算项目支出开展绩效自评，共涉及资金</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lang w:eastAsia="zh-CN"/>
        </w:rPr>
        <w:t>万元，占国有资本经营预算项目支出总额的</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lang w:eastAsia="zh-CN"/>
        </w:rPr>
        <w:t>%</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组织对“全县校园安全保卫经费”等</w:t>
      </w:r>
      <w:r>
        <w:rPr>
          <w:rFonts w:hint="eastAsia" w:ascii="仿宋_GB2312" w:hAnsi="Times New Roman" w:eastAsia="仿宋_GB2312" w:cs="Times New Roman"/>
          <w:color w:val="auto"/>
          <w:sz w:val="32"/>
          <w:szCs w:val="32"/>
          <w:lang w:val="en-US" w:eastAsia="zh-CN"/>
        </w:rPr>
        <w:t>24</w:t>
      </w:r>
      <w:r>
        <w:rPr>
          <w:rFonts w:hint="eastAsia" w:ascii="仿宋_GB2312" w:hAnsi="Times New Roman" w:eastAsia="仿宋_GB2312" w:cs="Times New Roman"/>
          <w:color w:val="auto"/>
          <w:sz w:val="32"/>
          <w:szCs w:val="32"/>
          <w:lang w:eastAsia="zh-CN"/>
        </w:rPr>
        <w:t>个项目进行了部门评价，涉及一般公共预算支出</w:t>
      </w:r>
      <w:r>
        <w:rPr>
          <w:rFonts w:hint="eastAsia" w:ascii="仿宋_GB2312" w:hAnsi="Times New Roman" w:eastAsia="仿宋_GB2312" w:cs="Times New Roman"/>
          <w:color w:val="auto"/>
          <w:sz w:val="32"/>
          <w:szCs w:val="32"/>
          <w:lang w:val="en-US" w:eastAsia="zh-CN"/>
        </w:rPr>
        <w:t>702.11</w:t>
      </w:r>
      <w:r>
        <w:rPr>
          <w:rFonts w:hint="eastAsia" w:ascii="仿宋_GB2312" w:hAnsi="Times New Roman" w:eastAsia="仿宋_GB2312" w:cs="Times New Roman"/>
          <w:color w:val="auto"/>
          <w:sz w:val="32"/>
          <w:szCs w:val="32"/>
          <w:lang w:eastAsia="zh-CN"/>
        </w:rPr>
        <w:t>万元，政府性基金预算支出</w:t>
      </w:r>
      <w:r>
        <w:rPr>
          <w:rFonts w:hint="eastAsia" w:ascii="仿宋_GB2312" w:hAnsi="Times New Roman" w:eastAsia="仿宋_GB2312" w:cs="Times New Roman"/>
          <w:color w:val="auto"/>
          <w:sz w:val="32"/>
          <w:szCs w:val="32"/>
          <w:lang w:val="en-US" w:eastAsia="zh-CN"/>
        </w:rPr>
        <w:t>1.24</w:t>
      </w:r>
      <w:r>
        <w:rPr>
          <w:rFonts w:hint="eastAsia" w:ascii="仿宋_GB2312" w:hAnsi="Times New Roman" w:eastAsia="仿宋_GB2312" w:cs="Times New Roman"/>
          <w:color w:val="auto"/>
          <w:sz w:val="32"/>
          <w:szCs w:val="32"/>
          <w:lang w:eastAsia="zh-CN"/>
        </w:rPr>
        <w:t>万元，国有资本经营预算支出</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lang w:eastAsia="zh-CN"/>
        </w:rPr>
        <w:t>万元。从评价情况来看，</w:t>
      </w:r>
      <w:r>
        <w:rPr>
          <w:rFonts w:hint="eastAsia" w:ascii="仿宋_GB2312" w:hAnsi="Times New Roman" w:eastAsia="仿宋_GB2312" w:cs="Times New Roman"/>
          <w:color w:val="auto"/>
          <w:sz w:val="32"/>
          <w:szCs w:val="32"/>
          <w:lang w:val="en-US" w:eastAsia="zh-CN"/>
        </w:rPr>
        <w:t>项目立项较为规范，绩效目标明确，预算编制合理，管理科学规范，资金到位及时。但个别项目如班主任津贴等由于材料整理不及时未能按时支出。总体完成情况较好，基本达到预期绩效目标。</w:t>
      </w:r>
    </w:p>
    <w:p>
      <w:pPr>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eastAsia="zh-CN"/>
        </w:rPr>
        <w:t>组织对0个部门（单位）开展整体支出绩效评价试点，涉及一般公共预算支出0万元，政府性基金预算支出0万元。本单位为二级</w:t>
      </w:r>
      <w:r>
        <w:rPr>
          <w:rFonts w:hint="eastAsia" w:ascii="仿宋_GB2312" w:hAnsi="Times New Roman" w:eastAsia="仿宋_GB2312" w:cs="Times New Roman"/>
          <w:color w:val="auto"/>
          <w:sz w:val="32"/>
          <w:szCs w:val="32"/>
          <w:lang w:val="en-US" w:eastAsia="zh-CN"/>
        </w:rPr>
        <w:t>预算</w:t>
      </w:r>
      <w:r>
        <w:rPr>
          <w:rFonts w:hint="eastAsia" w:ascii="仿宋_GB2312" w:hAnsi="Times New Roman" w:eastAsia="仿宋_GB2312" w:cs="Times New Roman"/>
          <w:color w:val="auto"/>
          <w:sz w:val="32"/>
          <w:szCs w:val="32"/>
          <w:lang w:eastAsia="zh-CN"/>
        </w:rPr>
        <w:t>单位，</w:t>
      </w:r>
      <w:r>
        <w:rPr>
          <w:rFonts w:hint="eastAsia" w:ascii="仿宋_GB2312" w:hAnsi="Times New Roman" w:eastAsia="仿宋_GB2312" w:cs="Times New Roman"/>
          <w:color w:val="auto"/>
          <w:sz w:val="32"/>
          <w:szCs w:val="32"/>
          <w:lang w:val="en-US" w:eastAsia="zh-CN"/>
        </w:rPr>
        <w:t>不开展整体绩效评价。</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2.部门决算中项目绩效自评结果</w:t>
      </w:r>
    </w:p>
    <w:p>
      <w:pPr>
        <w:ind w:firstLine="640" w:firstLineChars="200"/>
        <w:jc w:val="left"/>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color w:val="auto"/>
          <w:sz w:val="32"/>
          <w:szCs w:val="32"/>
          <w:lang w:eastAsia="zh-CN"/>
        </w:rPr>
        <w:t>我部门根据年初设定的绩效目标，义务教育阶段家庭经济困难学生生活中央补助资金项目自评得分为</w:t>
      </w:r>
      <w:r>
        <w:rPr>
          <w:rFonts w:hint="eastAsia" w:ascii="仿宋_GB2312" w:hAnsi="Times New Roman" w:eastAsia="仿宋_GB2312" w:cs="Times New Roman"/>
          <w:color w:val="auto"/>
          <w:sz w:val="32"/>
          <w:szCs w:val="32"/>
          <w:lang w:val="en-US" w:eastAsia="zh-CN"/>
        </w:rPr>
        <w:t>99.58</w:t>
      </w:r>
      <w:r>
        <w:rPr>
          <w:rFonts w:hint="eastAsia" w:ascii="仿宋_GB2312" w:hAnsi="Times New Roman" w:eastAsia="仿宋_GB2312" w:cs="Times New Roman"/>
          <w:color w:val="auto"/>
          <w:sz w:val="32"/>
          <w:szCs w:val="32"/>
          <w:lang w:eastAsia="zh-CN"/>
        </w:rPr>
        <w:t>分；乡村教师生活补助县级补助资金项目自评得分为</w:t>
      </w:r>
      <w:r>
        <w:rPr>
          <w:rFonts w:hint="eastAsia" w:ascii="仿宋_GB2312" w:hAnsi="Times New Roman" w:eastAsia="仿宋_GB2312" w:cs="Times New Roman"/>
          <w:color w:val="auto"/>
          <w:sz w:val="32"/>
          <w:szCs w:val="32"/>
          <w:lang w:val="en-US" w:eastAsia="zh-CN"/>
        </w:rPr>
        <w:t>98.24</w:t>
      </w:r>
      <w:r>
        <w:rPr>
          <w:rFonts w:hint="eastAsia" w:ascii="仿宋_GB2312" w:hAnsi="Times New Roman" w:eastAsia="仿宋_GB2312" w:cs="Times New Roman"/>
          <w:color w:val="auto"/>
          <w:sz w:val="32"/>
          <w:szCs w:val="32"/>
          <w:lang w:eastAsia="zh-CN"/>
        </w:rPr>
        <w:t>分；自治区级乡村教师生活补助自评得分为</w:t>
      </w:r>
      <w:r>
        <w:rPr>
          <w:rFonts w:hint="eastAsia" w:ascii="仿宋_GB2312" w:hAnsi="Times New Roman" w:eastAsia="仿宋_GB2312" w:cs="Times New Roman"/>
          <w:color w:val="auto"/>
          <w:sz w:val="32"/>
          <w:szCs w:val="32"/>
          <w:lang w:val="en-US" w:eastAsia="zh-CN"/>
        </w:rPr>
        <w:t>99.18</w:t>
      </w:r>
      <w:r>
        <w:rPr>
          <w:rFonts w:hint="eastAsia" w:ascii="仿宋_GB2312" w:hAnsi="Times New Roman" w:eastAsia="仿宋_GB2312" w:cs="Times New Roman"/>
          <w:color w:val="auto"/>
          <w:sz w:val="32"/>
          <w:szCs w:val="32"/>
          <w:lang w:eastAsia="zh-CN"/>
        </w:rPr>
        <w:t>分；自治区公用经费自评得分为97.39</w:t>
      </w:r>
      <w:r>
        <w:rPr>
          <w:rFonts w:hint="eastAsia" w:ascii="仿宋_GB2312" w:hAnsi="Times New Roman" w:eastAsia="仿宋_GB2312" w:cs="Times New Roman"/>
          <w:color w:val="auto"/>
          <w:sz w:val="32"/>
          <w:szCs w:val="32"/>
          <w:lang w:val="en-US" w:eastAsia="zh-CN"/>
        </w:rPr>
        <w:t>分；食堂钟点工补贴资金97.36分。</w:t>
      </w:r>
      <w:r>
        <w:rPr>
          <w:rFonts w:hint="eastAsia" w:ascii="仿宋_GB2312" w:hAnsi="Times New Roman" w:eastAsia="仿宋_GB2312" w:cs="Times New Roman"/>
          <w:color w:val="auto"/>
          <w:sz w:val="32"/>
          <w:szCs w:val="32"/>
          <w:lang w:eastAsia="zh-CN"/>
        </w:rPr>
        <w:t>发现的主要问题及原因：一是</w:t>
      </w:r>
      <w:r>
        <w:rPr>
          <w:rFonts w:hint="eastAsia" w:ascii="仿宋_GB2312" w:hAnsi="Times New Roman" w:eastAsia="仿宋_GB2312" w:cs="Times New Roman"/>
          <w:color w:val="auto"/>
          <w:sz w:val="32"/>
          <w:szCs w:val="32"/>
          <w:lang w:val="en-US" w:eastAsia="zh-CN"/>
        </w:rPr>
        <w:t>未能即使监控把握项目进度，适当做出工作调整</w:t>
      </w:r>
      <w:r>
        <w:rPr>
          <w:rFonts w:hint="eastAsia" w:ascii="仿宋_GB2312" w:hAnsi="Times New Roman" w:eastAsia="仿宋_GB2312" w:cs="Times New Roman"/>
          <w:color w:val="auto"/>
          <w:sz w:val="32"/>
          <w:szCs w:val="32"/>
          <w:lang w:eastAsia="zh-CN"/>
        </w:rPr>
        <w:t>；二是没有协调好年初预算。下一步改进措施：一是做好年初预算；二是充分实施项目，提高执行率，</w:t>
      </w:r>
      <w:r>
        <w:rPr>
          <w:rFonts w:hint="eastAsia" w:ascii="仿宋_GB2312" w:hAnsi="Times New Roman" w:eastAsia="仿宋_GB2312" w:cs="Times New Roman"/>
          <w:color w:val="auto"/>
          <w:sz w:val="32"/>
          <w:szCs w:val="32"/>
          <w:lang w:val="en-US" w:eastAsia="zh-CN"/>
        </w:rPr>
        <w:t>三是</w:t>
      </w:r>
      <w:r>
        <w:rPr>
          <w:rFonts w:hint="eastAsia" w:ascii="仿宋_GB2312" w:hAnsi="Times New Roman" w:eastAsia="仿宋_GB2312" w:cs="Times New Roman"/>
          <w:color w:val="auto"/>
          <w:sz w:val="32"/>
          <w:szCs w:val="32"/>
          <w:lang w:eastAsia="zh-CN"/>
        </w:rPr>
        <w:t>把握财务制度流程，规范执行；</w:t>
      </w:r>
      <w:r>
        <w:rPr>
          <w:rFonts w:hint="eastAsia" w:ascii="仿宋_GB2312" w:hAnsi="Times New Roman" w:eastAsia="仿宋_GB2312" w:cs="Times New Roman"/>
          <w:color w:val="auto"/>
          <w:sz w:val="32"/>
          <w:szCs w:val="32"/>
          <w:lang w:val="en-US" w:eastAsia="zh-CN"/>
        </w:rPr>
        <w:t>四</w:t>
      </w:r>
      <w:r>
        <w:rPr>
          <w:rFonts w:hint="eastAsia" w:ascii="仿宋_GB2312" w:hAnsi="Times New Roman" w:eastAsia="仿宋_GB2312" w:cs="Times New Roman"/>
          <w:color w:val="auto"/>
          <w:sz w:val="32"/>
          <w:szCs w:val="32"/>
          <w:lang w:eastAsia="zh-CN"/>
        </w:rPr>
        <w:t>是</w:t>
      </w:r>
      <w:r>
        <w:rPr>
          <w:rFonts w:hint="eastAsia" w:ascii="仿宋_GB2312" w:hAnsi="Times New Roman" w:eastAsia="仿宋_GB2312" w:cs="Times New Roman"/>
          <w:color w:val="auto"/>
          <w:sz w:val="32"/>
          <w:szCs w:val="32"/>
          <w:lang w:val="en-US" w:eastAsia="zh-CN"/>
        </w:rPr>
        <w:t>做好</w:t>
      </w:r>
      <w:r>
        <w:rPr>
          <w:rFonts w:hint="eastAsia" w:ascii="仿宋_GB2312" w:hAnsi="Times New Roman" w:eastAsia="仿宋_GB2312" w:cs="Times New Roman"/>
          <w:color w:val="auto"/>
          <w:sz w:val="32"/>
          <w:szCs w:val="32"/>
          <w:lang w:eastAsia="zh-CN"/>
        </w:rPr>
        <w:t>项目资金规划，发展需要的办公活动。</w:t>
      </w:r>
    </w:p>
    <w:p>
      <w:pPr>
        <w:ind w:firstLine="640" w:firstLineChars="200"/>
        <w:jc w:val="left"/>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eastAsia="zh-CN"/>
        </w:rPr>
        <w:t>明伦小学年初预算经费(门面租金)项目自评得分为100分；一次性抚恤金项目自评得分为100分；六一儿童节慰问金项目自评得分为100分；奖励性补贴项目自评得分为100分；全县校园安全保卫经费项目自评得分为100分；教师节经费、特岗教师工资、义务教育阶段家庭经济困难学生生活自治区补助资金、基础性绩效工资增量事业项目自评得分为100分，</w:t>
      </w:r>
      <w:r>
        <w:rPr>
          <w:rFonts w:hint="eastAsia" w:ascii="仿宋_GB2312" w:hAnsi="Times New Roman" w:eastAsia="仿宋_GB2312" w:cs="Times New Roman"/>
          <w:color w:val="auto"/>
          <w:sz w:val="32"/>
          <w:szCs w:val="32"/>
          <w:lang w:val="en-US" w:eastAsia="zh-CN"/>
        </w:rPr>
        <w:t>以上几个项目完成情况良好，无问题。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一、财政拨款收入：指环江毛南族自治县财政部门当年拨付的资金。</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二、事业收入：指事业单位开展专业业务活动及辅助活动所取得的收入。</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三、经营收入：指事业单位在专业业务活动及其辅助活动之外开展非独立核算经营活动取得的收入。</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四、其他收入：指除上述“财政拨款收入”“事业收入”“经营收入”等以外的收入。</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eastAsia="zh-CN"/>
        </w:rPr>
        <w:t>六、年初结转和结余：指以前年度尚未完成、结转到本年 按有关规定继续使用的资金。</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九、基本支出：指为保障机构正常运转、完成日常工作任务而发生的人员支出和公用支出。 </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十、项目支出：指在基本支出之外为完成特定行政任务和事业发展目标所发生的支出。 </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十一、经营支出：指事业单位在专业业务活动及其辅助活动之外开展非独立核算经营活动发生的支出。</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十二、“三公”经费：纳入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08CC826"/>
    <w:multiLevelType w:val="singleLevel"/>
    <w:tmpl w:val="D08CC826"/>
    <w:lvl w:ilvl="0" w:tentative="0">
      <w:start w:val="2"/>
      <w:numFmt w:val="chineseCounting"/>
      <w:suff w:val="nothing"/>
      <w:lvlText w:val="（%1）"/>
      <w:lvlJc w:val="left"/>
      <w:rPr>
        <w:rFonts w:hint="eastAsia"/>
      </w:rPr>
    </w:lvl>
  </w:abstractNum>
  <w:abstractNum w:abstractNumId="2">
    <w:nsid w:val="39BF7DB9"/>
    <w:multiLevelType w:val="singleLevel"/>
    <w:tmpl w:val="39BF7DB9"/>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mExNGVlZWYzNGFmMjM5OTM1YTUzMGE1M2Q0OWEifQ=="/>
  </w:docVars>
  <w:rsids>
    <w:rsidRoot w:val="637D7558"/>
    <w:rsid w:val="00002C84"/>
    <w:rsid w:val="00022149"/>
    <w:rsid w:val="00047F6C"/>
    <w:rsid w:val="00080F54"/>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991"/>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A7CA7"/>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2F92D08"/>
    <w:rsid w:val="03C52BEB"/>
    <w:rsid w:val="04E54546"/>
    <w:rsid w:val="05992762"/>
    <w:rsid w:val="05F652DD"/>
    <w:rsid w:val="07B0770E"/>
    <w:rsid w:val="08CE2541"/>
    <w:rsid w:val="0942143F"/>
    <w:rsid w:val="0AB17A25"/>
    <w:rsid w:val="0D100297"/>
    <w:rsid w:val="0D202B45"/>
    <w:rsid w:val="0DED346A"/>
    <w:rsid w:val="0F8D4C87"/>
    <w:rsid w:val="0FFC7994"/>
    <w:rsid w:val="10505FAA"/>
    <w:rsid w:val="105F7E7E"/>
    <w:rsid w:val="10833B67"/>
    <w:rsid w:val="11423ACC"/>
    <w:rsid w:val="11E56B5B"/>
    <w:rsid w:val="125C77AB"/>
    <w:rsid w:val="14CB726E"/>
    <w:rsid w:val="14E153AA"/>
    <w:rsid w:val="16465E0D"/>
    <w:rsid w:val="16E66CA8"/>
    <w:rsid w:val="17A40622"/>
    <w:rsid w:val="17E92249"/>
    <w:rsid w:val="18D304F1"/>
    <w:rsid w:val="19F32577"/>
    <w:rsid w:val="19F45B80"/>
    <w:rsid w:val="1B0C078D"/>
    <w:rsid w:val="1B100ADA"/>
    <w:rsid w:val="1B2B31E2"/>
    <w:rsid w:val="1B4C295A"/>
    <w:rsid w:val="1B973C63"/>
    <w:rsid w:val="1BA1001E"/>
    <w:rsid w:val="1BAA4748"/>
    <w:rsid w:val="1BCA6B98"/>
    <w:rsid w:val="1D317259"/>
    <w:rsid w:val="1E664F5B"/>
    <w:rsid w:val="1EB34BE1"/>
    <w:rsid w:val="1EDD6D77"/>
    <w:rsid w:val="1F1C2FBB"/>
    <w:rsid w:val="20D02EA3"/>
    <w:rsid w:val="2120725A"/>
    <w:rsid w:val="215E639F"/>
    <w:rsid w:val="21B52CFF"/>
    <w:rsid w:val="21EC3183"/>
    <w:rsid w:val="225E72CD"/>
    <w:rsid w:val="226F2247"/>
    <w:rsid w:val="229972C4"/>
    <w:rsid w:val="246E2F77"/>
    <w:rsid w:val="24FA61B1"/>
    <w:rsid w:val="254B4E2B"/>
    <w:rsid w:val="283D7C94"/>
    <w:rsid w:val="2916166F"/>
    <w:rsid w:val="29480E03"/>
    <w:rsid w:val="2983634D"/>
    <w:rsid w:val="2BB02055"/>
    <w:rsid w:val="2C575A56"/>
    <w:rsid w:val="2F257714"/>
    <w:rsid w:val="2F3275E5"/>
    <w:rsid w:val="30AA08EF"/>
    <w:rsid w:val="30D23D1C"/>
    <w:rsid w:val="30D77936"/>
    <w:rsid w:val="31221CF5"/>
    <w:rsid w:val="31400178"/>
    <w:rsid w:val="31772EC7"/>
    <w:rsid w:val="318B6972"/>
    <w:rsid w:val="31AD0696"/>
    <w:rsid w:val="31E22A36"/>
    <w:rsid w:val="321E3342"/>
    <w:rsid w:val="327759C8"/>
    <w:rsid w:val="33185FE3"/>
    <w:rsid w:val="34EE2E36"/>
    <w:rsid w:val="36777241"/>
    <w:rsid w:val="371E78D5"/>
    <w:rsid w:val="37FE1C4C"/>
    <w:rsid w:val="3821593A"/>
    <w:rsid w:val="38A951DB"/>
    <w:rsid w:val="38B31605"/>
    <w:rsid w:val="39003F4F"/>
    <w:rsid w:val="3AAF547F"/>
    <w:rsid w:val="3C07002B"/>
    <w:rsid w:val="3D0D152A"/>
    <w:rsid w:val="3D406863"/>
    <w:rsid w:val="3DD82F3F"/>
    <w:rsid w:val="3DF62756"/>
    <w:rsid w:val="3E5F18CE"/>
    <w:rsid w:val="3F1B7587"/>
    <w:rsid w:val="3F2301EA"/>
    <w:rsid w:val="3FE536F1"/>
    <w:rsid w:val="41E57B4F"/>
    <w:rsid w:val="429F402B"/>
    <w:rsid w:val="43160791"/>
    <w:rsid w:val="432F26F6"/>
    <w:rsid w:val="433429C6"/>
    <w:rsid w:val="43880F63"/>
    <w:rsid w:val="441C5A6F"/>
    <w:rsid w:val="44C44FCC"/>
    <w:rsid w:val="44CC7369"/>
    <w:rsid w:val="457F5108"/>
    <w:rsid w:val="45ED74B3"/>
    <w:rsid w:val="46951B6B"/>
    <w:rsid w:val="47FE35A2"/>
    <w:rsid w:val="49A34401"/>
    <w:rsid w:val="4A3E30AB"/>
    <w:rsid w:val="4AC14DAC"/>
    <w:rsid w:val="4AEE58A5"/>
    <w:rsid w:val="4D154C85"/>
    <w:rsid w:val="4D333CEE"/>
    <w:rsid w:val="4D785BA5"/>
    <w:rsid w:val="4EB35ECE"/>
    <w:rsid w:val="508F4E24"/>
    <w:rsid w:val="50A15412"/>
    <w:rsid w:val="51461E90"/>
    <w:rsid w:val="51463753"/>
    <w:rsid w:val="51B66C9C"/>
    <w:rsid w:val="52553A93"/>
    <w:rsid w:val="526B5CD8"/>
    <w:rsid w:val="53521F8B"/>
    <w:rsid w:val="53E22F47"/>
    <w:rsid w:val="54522FF8"/>
    <w:rsid w:val="54D17E9B"/>
    <w:rsid w:val="55450629"/>
    <w:rsid w:val="56692963"/>
    <w:rsid w:val="568B0F48"/>
    <w:rsid w:val="56EB73E7"/>
    <w:rsid w:val="571C1C97"/>
    <w:rsid w:val="574B60D8"/>
    <w:rsid w:val="5786217B"/>
    <w:rsid w:val="57E52C6D"/>
    <w:rsid w:val="58B02697"/>
    <w:rsid w:val="58C93758"/>
    <w:rsid w:val="59337A15"/>
    <w:rsid w:val="59810274"/>
    <w:rsid w:val="59861649"/>
    <w:rsid w:val="5A252C10"/>
    <w:rsid w:val="5CA96A00"/>
    <w:rsid w:val="5CB73713"/>
    <w:rsid w:val="5CF730BC"/>
    <w:rsid w:val="5E5F0DCE"/>
    <w:rsid w:val="5F4E49B7"/>
    <w:rsid w:val="5FA40A7B"/>
    <w:rsid w:val="5FD56D29"/>
    <w:rsid w:val="5FEC7F3F"/>
    <w:rsid w:val="60F74BC3"/>
    <w:rsid w:val="617D3BF8"/>
    <w:rsid w:val="61841F6A"/>
    <w:rsid w:val="623007A9"/>
    <w:rsid w:val="63133F4E"/>
    <w:rsid w:val="637D7558"/>
    <w:rsid w:val="644F19AC"/>
    <w:rsid w:val="64E536C8"/>
    <w:rsid w:val="65AA4920"/>
    <w:rsid w:val="65E31D0B"/>
    <w:rsid w:val="66F347C2"/>
    <w:rsid w:val="67694F1E"/>
    <w:rsid w:val="6854190B"/>
    <w:rsid w:val="69597934"/>
    <w:rsid w:val="6B715CB5"/>
    <w:rsid w:val="6B964DDC"/>
    <w:rsid w:val="6C783074"/>
    <w:rsid w:val="6C9A7610"/>
    <w:rsid w:val="6D9E65C6"/>
    <w:rsid w:val="6DA81947"/>
    <w:rsid w:val="6DC20A4A"/>
    <w:rsid w:val="6EB66DE2"/>
    <w:rsid w:val="6ED3075F"/>
    <w:rsid w:val="6F2614AD"/>
    <w:rsid w:val="6F2A2D4B"/>
    <w:rsid w:val="6F8A0C1E"/>
    <w:rsid w:val="703F45D4"/>
    <w:rsid w:val="704E4817"/>
    <w:rsid w:val="715D6546"/>
    <w:rsid w:val="71BE069E"/>
    <w:rsid w:val="71EF3DD8"/>
    <w:rsid w:val="727D3192"/>
    <w:rsid w:val="73953409"/>
    <w:rsid w:val="73E069A3"/>
    <w:rsid w:val="75133BF1"/>
    <w:rsid w:val="77EA18BC"/>
    <w:rsid w:val="78104AA8"/>
    <w:rsid w:val="78E257C5"/>
    <w:rsid w:val="794B35BE"/>
    <w:rsid w:val="7B0A3A31"/>
    <w:rsid w:val="7B3360ED"/>
    <w:rsid w:val="7BDF037E"/>
    <w:rsid w:val="7BF50948"/>
    <w:rsid w:val="7C647170"/>
    <w:rsid w:val="7CE66A78"/>
    <w:rsid w:val="7D23564C"/>
    <w:rsid w:val="7D5E062D"/>
    <w:rsid w:val="7DF76CD8"/>
    <w:rsid w:val="7F594F87"/>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manualLayout>
                  <c:x val="0.315424386708515"/>
                  <c:y val="-0.1784630520650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2438.02万元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45487142075989"/>
                  <c:y val="0.01256184577100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1.24万元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2249.08</c:v>
                </c:pt>
                <c:pt idx="1">
                  <c:v>4.06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Sheet1!$A$2:$A$12</c:f>
              <c:strCache>
                <c:ptCount val="11"/>
                <c:pt idx="0">
                  <c:v>30301</c:v>
                </c:pt>
                <c:pt idx="1">
                  <c:v>30302</c:v>
                </c:pt>
                <c:pt idx="2">
                  <c:v>30303</c:v>
                </c:pt>
                <c:pt idx="3">
                  <c:v>30304</c:v>
                </c:pt>
                <c:pt idx="4">
                  <c:v>30305</c:v>
                </c:pt>
                <c:pt idx="5">
                  <c:v>30306</c:v>
                </c:pt>
                <c:pt idx="6">
                  <c:v>30307</c:v>
                </c:pt>
                <c:pt idx="7">
                  <c:v>30308</c:v>
                </c:pt>
                <c:pt idx="8">
                  <c:v>30309</c:v>
                </c:pt>
                <c:pt idx="9">
                  <c:v>30399</c:v>
                </c:pt>
                <c:pt idx="10">
                  <c:v>303X</c:v>
                </c:pt>
              </c:strCache>
            </c:strRef>
          </c:cat>
          <c:val>
            <c:numRef>
              <c:f>Sheet1!$B$2:$B$12</c:f>
              <c:numCache>
                <c:formatCode>General</c:formatCode>
                <c:ptCount val="11"/>
                <c:pt idx="0">
                  <c:v>0</c:v>
                </c:pt>
                <c:pt idx="1">
                  <c:v>0</c:v>
                </c:pt>
                <c:pt idx="2">
                  <c:v>0</c:v>
                </c:pt>
                <c:pt idx="3">
                  <c:v>17.38</c:v>
                </c:pt>
                <c:pt idx="4">
                  <c:v>167.19</c:v>
                </c:pt>
                <c:pt idx="5">
                  <c:v>0</c:v>
                </c:pt>
                <c:pt idx="6">
                  <c:v>0.9</c:v>
                </c:pt>
                <c:pt idx="7">
                  <c:v>0</c:v>
                </c:pt>
                <c:pt idx="8">
                  <c:v>0</c:v>
                </c:pt>
                <c:pt idx="9">
                  <c:v>0.02</c:v>
                </c:pt>
                <c:pt idx="10">
                  <c:v>185.49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22</c:v>
                </c:pt>
                <c:pt idx="1">
                  <c:v>1667.81</c:v>
                </c:pt>
                <c:pt idx="2">
                  <c:v>158.12</c:v>
                </c:pt>
                <c:pt idx="3">
                  <c:v>119.44</c:v>
                </c:pt>
                <c:pt idx="4">
                  <c:v>285.77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24.02</c:v>
                </c:pt>
                <c:pt idx="1">
                  <c:v>1925.93</c:v>
                </c:pt>
                <c:pt idx="2">
                  <c:v>179.48</c:v>
                </c:pt>
                <c:pt idx="3">
                  <c:v>137.53</c:v>
                </c:pt>
                <c:pt idx="4">
                  <c:v>172.3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24.02</c:v>
                </c:pt>
                <c:pt idx="1">
                  <c:v>24.02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2050701</c:v>
                </c:pt>
                <c:pt idx="3">
                  <c:v>2050999</c:v>
                </c:pt>
                <c:pt idx="4">
                  <c:v>205x</c:v>
                </c:pt>
              </c:strCache>
            </c:strRef>
          </c:cat>
          <c:val>
            <c:numRef>
              <c:f>Sheet1!$B$2:$B$6</c:f>
              <c:numCache>
                <c:formatCode>#,##0.00</c:formatCode>
                <c:ptCount val="5"/>
                <c:pt idx="0">
                  <c:v>1912.04</c:v>
                </c:pt>
                <c:pt idx="1">
                  <c:v>9.27</c:v>
                </c:pt>
                <c:pt idx="2">
                  <c:v>3</c:v>
                </c:pt>
                <c:pt idx="3" c:formatCode="General">
                  <c:v>1.62</c:v>
                </c:pt>
                <c:pt idx="4" c:formatCode="General">
                  <c:v>1925.93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179.48</c:v>
                </c:pt>
                <c:pt idx="1">
                  <c:v>179.48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137.53</c:v>
                </c:pt>
                <c:pt idx="1">
                  <c:v>137.53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172.3</c:v>
                </c:pt>
                <c:pt idx="1">
                  <c:v>172.3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301X</c:v>
                </c:pt>
              </c:strCache>
            </c:strRef>
          </c:cat>
          <c:val>
            <c:numRef>
              <c:f>Sheet1!$B$2:$B$16</c:f>
              <c:numCache>
                <c:formatCode>General</c:formatCode>
                <c:ptCount val="15"/>
                <c:pt idx="0">
                  <c:v>552.23</c:v>
                </c:pt>
                <c:pt idx="1">
                  <c:v>157.43</c:v>
                </c:pt>
                <c:pt idx="2">
                  <c:v>515.31</c:v>
                </c:pt>
                <c:pt idx="4">
                  <c:v>239.75</c:v>
                </c:pt>
                <c:pt idx="5">
                  <c:v>179.48</c:v>
                </c:pt>
                <c:pt idx="7">
                  <c:v>71.87</c:v>
                </c:pt>
                <c:pt idx="9">
                  <c:v>8.86</c:v>
                </c:pt>
                <c:pt idx="10">
                  <c:v>137.53</c:v>
                </c:pt>
                <c:pt idx="12">
                  <c:v>1862.47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Sheet1!$A$2:$A$20</c:f>
              <c:strCache>
                <c:ptCount val="19"/>
                <c:pt idx="0">
                  <c:v>30201</c:v>
                </c:pt>
                <c:pt idx="1">
                  <c:v>30202</c:v>
                </c:pt>
                <c:pt idx="2">
                  <c:v>30203</c:v>
                </c:pt>
                <c:pt idx="3">
                  <c:v>30204</c:v>
                </c:pt>
                <c:pt idx="4">
                  <c:v>30205</c:v>
                </c:pt>
                <c:pt idx="5">
                  <c:v>30206</c:v>
                </c:pt>
                <c:pt idx="6">
                  <c:v>30207</c:v>
                </c:pt>
                <c:pt idx="7">
                  <c:v>30208</c:v>
                </c:pt>
                <c:pt idx="8">
                  <c:v>30209</c:v>
                </c:pt>
                <c:pt idx="9">
                  <c:v>30224</c:v>
                </c:pt>
                <c:pt idx="10">
                  <c:v>30225</c:v>
                </c:pt>
                <c:pt idx="11">
                  <c:v>30226</c:v>
                </c:pt>
                <c:pt idx="12">
                  <c:v>30227</c:v>
                </c:pt>
                <c:pt idx="13">
                  <c:v>30228</c:v>
                </c:pt>
                <c:pt idx="14">
                  <c:v>30229</c:v>
                </c:pt>
                <c:pt idx="15">
                  <c:v>30231</c:v>
                </c:pt>
                <c:pt idx="16">
                  <c:v>30239</c:v>
                </c:pt>
                <c:pt idx="17">
                  <c:v>30240</c:v>
                </c:pt>
                <c:pt idx="18">
                  <c:v>302X</c:v>
                </c:pt>
              </c:strCache>
            </c:strRef>
          </c:cat>
          <c:val>
            <c:numRef>
              <c:f>Sheet1!$B$2:$B$20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24.02</c:v>
                </c:pt>
                <c:pt idx="14">
                  <c:v>0</c:v>
                </c:pt>
                <c:pt idx="15">
                  <c:v>0</c:v>
                </c:pt>
                <c:pt idx="16">
                  <c:v>0</c:v>
                </c:pt>
                <c:pt idx="17">
                  <c:v>0</c:v>
                </c:pt>
                <c:pt idx="18">
                  <c:v>24.02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3665</Words>
  <Characters>4726</Characters>
  <Lines>90</Lines>
  <Paragraphs>25</Paragraphs>
  <TotalTime>16</TotalTime>
  <ScaleCrop>false</ScaleCrop>
  <LinksUpToDate>false</LinksUpToDate>
  <CharactersWithSpaces>4945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2024-12-24T03:31:00Z</cp:lastPrinted>
  <dcterms:modified xsi:type="dcterms:W3CDTF">2025-01-04T07:26:29Z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8503EFE0FE7E4B58893D79BF3744617C_13</vt:lpwstr>
  </property>
  <property fmtid="{D5CDD505-2E9C-101B-9397-08002B2CF9AE}" pid="4" name="KSOTemplateDocerSaveRecord">
    <vt:lpwstr>eyJoZGlkIjoiODc1NmExNGVlZWYzNGFmMjM5OTM1YTUzMGE1M2Q0OWEiLCJ1c2VySWQiOiI0OTQ4MzQyNzYifQ==</vt:lpwstr>
  </property>
</Properties>
</file>