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方正小标宋简体" w:eastAsia="方正小标宋简体" w:cs="ArialUnicodeMS"/>
          <w:kern w:val="0"/>
          <w:sz w:val="52"/>
          <w:szCs w:val="52"/>
        </w:rPr>
        <w:t>广西壮族自治区</w:t>
      </w:r>
      <w:r>
        <w:rPr>
          <w:rFonts w:hint="eastAsia" w:ascii="黑体" w:hAnsi="黑体" w:eastAsia="黑体" w:cs="黑体"/>
          <w:b/>
          <w:bCs/>
          <w:sz w:val="52"/>
          <w:szCs w:val="52"/>
          <w:highlight w:val="none"/>
          <w:lang w:eastAsia="zh-CN"/>
        </w:rPr>
        <w:t>环江毛南族自治县明伦镇中心幼儿园</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w:t>
      </w:r>
      <w:r>
        <w:rPr>
          <w:rFonts w:hint="eastAsia" w:ascii="黑体" w:hAnsi="黑体" w:eastAsia="黑体" w:cs="黑体"/>
          <w:b/>
          <w:bCs/>
          <w:sz w:val="52"/>
          <w:szCs w:val="52"/>
          <w:highlight w:val="none"/>
          <w:lang w:val="en-US" w:eastAsia="zh-CN"/>
        </w:rPr>
        <w:t>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1760" w:firstLineChars="400"/>
        <w:rPr>
          <w:rFonts w:hint="default" w:ascii="黑体" w:eastAsia="黑体" w:cs="黑体"/>
          <w:kern w:val="0"/>
          <w:sz w:val="44"/>
          <w:szCs w:val="44"/>
          <w:lang w:val="en-US" w:eastAsia="zh-CN"/>
        </w:rPr>
      </w:pPr>
      <w:r>
        <w:rPr>
          <w:rFonts w:hint="eastAsia" w:ascii="黑体" w:eastAsia="黑体" w:cs="黑体"/>
          <w:kern w:val="0"/>
          <w:sz w:val="44"/>
          <w:szCs w:val="44"/>
        </w:rPr>
        <w:t>单位负责人：</w:t>
      </w:r>
      <w:r>
        <w:rPr>
          <w:rFonts w:hint="eastAsia" w:ascii="黑体" w:eastAsia="黑体" w:cs="黑体"/>
          <w:kern w:val="0"/>
          <w:sz w:val="44"/>
          <w:szCs w:val="44"/>
          <w:lang w:val="en-US" w:eastAsia="zh-CN"/>
        </w:rPr>
        <w:t>卢小偏</w:t>
      </w:r>
    </w:p>
    <w:p>
      <w:pPr>
        <w:ind w:firstLine="2530" w:firstLineChars="700"/>
        <w:jc w:val="both"/>
        <w:rPr>
          <w:rFonts w:hint="default" w:ascii="黑体" w:hAnsi="黑体" w:eastAsia="黑体" w:cs="黑体"/>
          <w:b/>
          <w:bCs/>
          <w:sz w:val="36"/>
          <w:szCs w:val="36"/>
          <w:highlight w:val="none"/>
          <w:lang w:val="en-US" w:eastAsia="zh-CN"/>
        </w:rPr>
      </w:pPr>
      <w:bookmarkStart w:id="4" w:name="_GoBack"/>
      <w:bookmarkEnd w:id="4"/>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环江毛南族自治县明伦镇中心幼儿园</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lang w:val="en-US" w:eastAsia="zh-CN"/>
        </w:rPr>
        <w:t>幼儿园</w:t>
      </w:r>
      <w:r>
        <w:rPr>
          <w:rFonts w:hint="eastAsia" w:ascii="仿宋_GB2312" w:eastAsia="仿宋_GB2312" w:cs="仿宋_GB2312"/>
          <w:kern w:val="0"/>
          <w:sz w:val="32"/>
          <w:szCs w:val="32"/>
        </w:rPr>
        <w:t>贯彻执行党和国家的教育方针、政策和法律法规；拟订</w:t>
      </w:r>
      <w:r>
        <w:rPr>
          <w:rFonts w:hint="eastAsia" w:ascii="仿宋_GB2312" w:eastAsia="仿宋_GB2312" w:cs="仿宋_GB2312"/>
          <w:kern w:val="0"/>
          <w:sz w:val="32"/>
          <w:szCs w:val="32"/>
          <w:lang w:val="en-US" w:eastAsia="zh-CN"/>
        </w:rPr>
        <w:t>幼儿园</w:t>
      </w:r>
      <w:r>
        <w:rPr>
          <w:rFonts w:hint="eastAsia" w:ascii="仿宋_GB2312" w:eastAsia="仿宋_GB2312" w:cs="仿宋_GB2312"/>
          <w:kern w:val="0"/>
          <w:sz w:val="32"/>
          <w:szCs w:val="32"/>
        </w:rPr>
        <w:t>教育改革与发展规划并组织实施。</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（二）编制</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教育事业发展规划并检查实施情况，向自治县人民政府和上级教育部门作出报告。</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（三）督促检查</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贯彻执行教育方针、政策、法令、法规和上级的各项规定；评估</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教育教学工作。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（四）执行义务教育均衡发展和促进教育公平。</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（五）负责</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教师队伍建设，包括教师岗位培训、后备干部队伍建设、教师学历教育、继续教育等。</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（六）做好</w:t>
      </w:r>
      <w:r>
        <w:rPr>
          <w:rFonts w:hint="eastAsia" w:ascii="仿宋_GB2312" w:eastAsia="仿宋_GB2312" w:cs="仿宋_GB2312"/>
          <w:kern w:val="0"/>
          <w:sz w:val="32"/>
          <w:szCs w:val="32"/>
          <w:lang w:val="en-US" w:eastAsia="zh-CN"/>
        </w:rPr>
        <w:t>幼儿</w:t>
      </w:r>
      <w:r>
        <w:rPr>
          <w:rFonts w:hint="eastAsia" w:ascii="仿宋_GB2312" w:eastAsia="仿宋_GB2312" w:cs="仿宋_GB2312"/>
          <w:kern w:val="0"/>
          <w:sz w:val="32"/>
          <w:szCs w:val="32"/>
        </w:rPr>
        <w:t>学籍管理工作。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rPr>
        <w:t>按照中央关于全面推进素质教育要求，负责</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教育教学管理、教育教学改革及教育教学科学研究工作，检查指导教师实施素质教育工作，并组织推广先进的教育教学经验。</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（八）检查教师的教育教学设备装备、管理和使用工作。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（九）检查</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教师开展电化教育和信息化教学工作。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（十）组织</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教师参加初级专业技术职务资格和中、高级专业技术职务资格的申报工作。按照管理权限对教师进行考核、聘任、奖惩、晋升等工作。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（十一）规范</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经费管理与使用工作。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（十二）负责组织</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教学教育常规管理工作，包括</w:t>
      </w:r>
      <w:r>
        <w:rPr>
          <w:rFonts w:hint="eastAsia" w:ascii="仿宋_GB2312" w:eastAsia="仿宋_GB2312" w:cs="仿宋_GB2312"/>
          <w:kern w:val="0"/>
          <w:sz w:val="32"/>
          <w:szCs w:val="32"/>
          <w:lang w:val="en-US" w:eastAsia="zh-CN"/>
        </w:rPr>
        <w:t>语言、科学、社会、健康、艺术</w:t>
      </w:r>
      <w:r>
        <w:rPr>
          <w:rFonts w:hint="eastAsia" w:ascii="仿宋_GB2312" w:eastAsia="仿宋_GB2312" w:cs="仿宋_GB2312"/>
          <w:kern w:val="0"/>
          <w:sz w:val="32"/>
          <w:szCs w:val="32"/>
        </w:rPr>
        <w:t>等。</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）负责指导</w:t>
      </w: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学生资助管理工作。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）负责语言文字和指导推广普通话工作。</w:t>
      </w:r>
    </w:p>
    <w:p>
      <w:pPr>
        <w:numPr>
          <w:ilvl w:val="0"/>
          <w:numId w:val="0"/>
        </w:numPr>
        <w:ind w:firstLine="640" w:firstLineChars="200"/>
        <w:jc w:val="left"/>
        <w:rPr>
          <w:rFonts w:hint="eastAsia" w:ascii="黑体" w:hAnsi="黑体" w:eastAsia="仿宋_GB2312" w:cs="黑体"/>
          <w:sz w:val="32"/>
          <w:szCs w:val="32"/>
          <w:highlight w:val="none"/>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rPr>
        <w:t>）完成上级部门交办的其他工作</w:t>
      </w:r>
      <w:r>
        <w:rPr>
          <w:rFonts w:hint="eastAsia" w:ascii="仿宋_GB2312" w:eastAsia="仿宋_GB2312" w:cs="仿宋_GB2312"/>
          <w:kern w:val="0"/>
          <w:sz w:val="32"/>
          <w:szCs w:val="32"/>
          <w:lang w:eastAsia="zh-CN"/>
        </w:rPr>
        <w:t>。</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p>
    <w:p>
      <w:pPr>
        <w:spacing w:line="460" w:lineRule="exact"/>
        <w:ind w:firstLine="617" w:firstLineChars="193"/>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幼儿园</w:t>
      </w:r>
      <w:r>
        <w:rPr>
          <w:rFonts w:hint="eastAsia" w:ascii="仿宋_GB2312" w:eastAsia="仿宋_GB2312" w:cs="仿宋_GB2312"/>
          <w:kern w:val="0"/>
          <w:sz w:val="32"/>
          <w:szCs w:val="32"/>
        </w:rPr>
        <w:t>设有</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个处室，分别为：行政办公室、教务处、</w:t>
      </w:r>
      <w:r>
        <w:rPr>
          <w:rFonts w:hint="eastAsia" w:ascii="仿宋_GB2312" w:eastAsia="仿宋_GB2312" w:cs="仿宋_GB2312"/>
          <w:kern w:val="0"/>
          <w:sz w:val="32"/>
          <w:szCs w:val="32"/>
          <w:lang w:eastAsia="zh-CN"/>
        </w:rPr>
        <w:t>安全办、</w:t>
      </w:r>
      <w:r>
        <w:rPr>
          <w:rFonts w:hint="eastAsia" w:ascii="仿宋_GB2312" w:eastAsia="仿宋_GB2312" w:cs="仿宋_GB2312"/>
          <w:kern w:val="0"/>
          <w:sz w:val="32"/>
          <w:szCs w:val="32"/>
        </w:rPr>
        <w:t>财务室、</w:t>
      </w:r>
      <w:r>
        <w:rPr>
          <w:rFonts w:hint="eastAsia" w:ascii="仿宋_GB2312" w:eastAsia="仿宋_GB2312" w:cs="仿宋_GB2312"/>
          <w:kern w:val="0"/>
          <w:sz w:val="32"/>
          <w:szCs w:val="32"/>
          <w:lang w:val="en-US" w:eastAsia="zh-CN"/>
        </w:rPr>
        <w:t>保健室</w:t>
      </w:r>
      <w:r>
        <w:rPr>
          <w:rFonts w:hint="eastAsia" w:ascii="仿宋_GB2312" w:eastAsia="仿宋_GB2312" w:cs="仿宋_GB2312"/>
          <w:kern w:val="0"/>
          <w:sz w:val="32"/>
          <w:szCs w:val="32"/>
        </w:rPr>
        <w:t>。</w:t>
      </w:r>
    </w:p>
    <w:p>
      <w:pPr>
        <w:ind w:firstLine="640" w:firstLineChars="200"/>
        <w:jc w:val="left"/>
        <w:rPr>
          <w:rFonts w:hint="eastAsia" w:ascii="仿宋" w:hAnsi="仿宋" w:eastAsia="仿宋" w:cs="仿宋"/>
          <w:color w:val="FF0000"/>
          <w:sz w:val="32"/>
          <w:szCs w:val="32"/>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247.77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216.63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247.77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247.77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247.77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247.77</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26521" w:type="dxa"/>
        <w:tblInd w:w="96" w:type="dxa"/>
        <w:tblLayout w:type="fixed"/>
        <w:tblCellMar>
          <w:top w:w="0" w:type="dxa"/>
          <w:left w:w="108" w:type="dxa"/>
          <w:bottom w:w="0" w:type="dxa"/>
          <w:right w:w="108" w:type="dxa"/>
        </w:tblCellMar>
      </w:tblPr>
      <w:tblGrid>
        <w:gridCol w:w="1408"/>
        <w:gridCol w:w="1554"/>
        <w:gridCol w:w="236"/>
        <w:gridCol w:w="236"/>
        <w:gridCol w:w="591"/>
        <w:gridCol w:w="1453"/>
        <w:gridCol w:w="236"/>
        <w:gridCol w:w="1394"/>
        <w:gridCol w:w="59"/>
        <w:gridCol w:w="1124"/>
        <w:gridCol w:w="1217"/>
        <w:gridCol w:w="499"/>
        <w:gridCol w:w="685"/>
        <w:gridCol w:w="795"/>
        <w:gridCol w:w="1289"/>
        <w:gridCol w:w="1420"/>
        <w:gridCol w:w="10454"/>
        <w:gridCol w:w="1871"/>
      </w:tblGrid>
      <w:tr>
        <w:tblPrEx>
          <w:tblCellMar>
            <w:top w:w="0" w:type="dxa"/>
            <w:left w:w="108" w:type="dxa"/>
            <w:bottom w:w="0" w:type="dxa"/>
            <w:right w:w="108" w:type="dxa"/>
          </w:tblCellMar>
        </w:tblPrEx>
        <w:trPr>
          <w:gridAfter w:val="1"/>
          <w:wAfter w:w="1871" w:type="dxa"/>
          <w:trHeight w:val="951" w:hRule="atLeast"/>
        </w:trPr>
        <w:tc>
          <w:tcPr>
            <w:tcW w:w="12776" w:type="dxa"/>
            <w:gridSpan w:val="1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c>
          <w:tcPr>
            <w:tcW w:w="1187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4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1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c>
          <w:tcPr>
            <w:tcW w:w="12325"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kern w:val="0"/>
                <w:sz w:val="20"/>
                <w:szCs w:val="20"/>
                <w:highlight w:val="none"/>
                <w:lang w:bidi="ar"/>
              </w:rPr>
            </w:pPr>
          </w:p>
        </w:tc>
      </w:tr>
      <w:tr>
        <w:tblPrEx>
          <w:tblCellMar>
            <w:top w:w="0" w:type="dxa"/>
            <w:left w:w="108" w:type="dxa"/>
            <w:bottom w:w="0" w:type="dxa"/>
            <w:right w:w="108" w:type="dxa"/>
          </w:tblCellMar>
        </w:tblPrEx>
        <w:trPr>
          <w:gridAfter w:val="1"/>
          <w:wAfter w:w="1871" w:type="dxa"/>
          <w:trHeight w:val="317" w:hRule="atLeast"/>
        </w:trPr>
        <w:tc>
          <w:tcPr>
            <w:tcW w:w="7108"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18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16"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9" w:type="dxa"/>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c>
          <w:tcPr>
            <w:tcW w:w="11874" w:type="dxa"/>
            <w:gridSpan w:val="2"/>
            <w:tcBorders>
              <w:top w:val="nil"/>
              <w:left w:val="nil"/>
              <w:bottom w:val="single" w:color="auto" w:sz="4" w:space="0"/>
            </w:tcBorders>
            <w:shd w:val="clear" w:color="auto" w:fill="auto"/>
            <w:noWrap/>
            <w:vAlign w:val="bottom"/>
          </w:tcPr>
          <w:p>
            <w:pPr>
              <w:keepNext w:val="0"/>
              <w:keepLines w:val="0"/>
              <w:widowControl/>
              <w:suppressLineNumbers w:val="0"/>
              <w:tabs>
                <w:tab w:val="left" w:pos="1008"/>
              </w:tabs>
              <w:spacing w:before="0" w:beforeAutospacing="0" w:after="0" w:afterAutospacing="0"/>
              <w:ind w:left="0" w:right="0"/>
              <w:jc w:val="left"/>
              <w:textAlignment w:val="bottom"/>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871" w:type="dxa"/>
          <w:trHeight w:val="352" w:hRule="atLeast"/>
        </w:trPr>
        <w:tc>
          <w:tcPr>
            <w:tcW w:w="40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8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经营收入</w:t>
            </w:r>
          </w:p>
        </w:tc>
        <w:tc>
          <w:tcPr>
            <w:tcW w:w="20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87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526"/>
              </w:tabs>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gridAfter w:val="1"/>
          <w:wAfter w:w="1871" w:type="dxa"/>
          <w:trHeight w:val="327" w:hRule="atLeast"/>
        </w:trPr>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6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0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7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871" w:type="dxa"/>
          <w:trHeight w:val="327" w:hRule="atLeast"/>
        </w:trPr>
        <w:tc>
          <w:tcPr>
            <w:tcW w:w="40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459"/>
                <w:tab w:val="center" w:pos="5506"/>
              </w:tabs>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gridAfter w:val="1"/>
          <w:wAfter w:w="1871" w:type="dxa"/>
          <w:trHeight w:val="327" w:hRule="atLeast"/>
        </w:trPr>
        <w:tc>
          <w:tcPr>
            <w:tcW w:w="40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871" w:type="dxa"/>
          <w:trHeight w:val="327" w:hRule="atLeast"/>
        </w:trPr>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6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871" w:type="dxa"/>
          <w:trHeight w:val="425" w:hRule="atLeast"/>
        </w:trPr>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2050201</w:t>
            </w:r>
          </w:p>
        </w:tc>
        <w:tc>
          <w:tcPr>
            <w:tcW w:w="26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学前教育</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213.86 </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213.86 </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gridAfter w:val="1"/>
          <w:wAfter w:w="1871" w:type="dxa"/>
          <w:trHeight w:val="327" w:hRule="atLeast"/>
        </w:trPr>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6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2.78 </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2.78 </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871" w:type="dxa"/>
          <w:trHeight w:val="327" w:hRule="atLeast"/>
        </w:trPr>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12.03 </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12.03 </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871" w:type="dxa"/>
          <w:trHeight w:val="327" w:hRule="atLeast"/>
        </w:trPr>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6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8.56 </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8.56 </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871" w:type="dxa"/>
          <w:trHeight w:val="327" w:hRule="atLeast"/>
        </w:trPr>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61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8.55 </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8.55 </w:t>
            </w:r>
          </w:p>
        </w:tc>
        <w:tc>
          <w:tcPr>
            <w:tcW w:w="11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871" w:type="dxa"/>
          <w:trHeight w:val="327" w:hRule="atLeast"/>
        </w:trPr>
        <w:tc>
          <w:tcPr>
            <w:tcW w:w="12776"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c>
          <w:tcPr>
            <w:tcW w:w="11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3" w:type="dxa"/>
        <w:tblLayout w:type="fixed"/>
        <w:tblCellMar>
          <w:top w:w="0" w:type="dxa"/>
          <w:left w:w="108" w:type="dxa"/>
          <w:bottom w:w="0" w:type="dxa"/>
          <w:right w:w="108" w:type="dxa"/>
        </w:tblCellMar>
      </w:tblPr>
      <w:tblGrid>
        <w:gridCol w:w="3"/>
        <w:gridCol w:w="987"/>
        <w:gridCol w:w="155"/>
        <w:gridCol w:w="237"/>
        <w:gridCol w:w="303"/>
        <w:gridCol w:w="2222"/>
        <w:gridCol w:w="822"/>
        <w:gridCol w:w="805"/>
        <w:gridCol w:w="911"/>
        <w:gridCol w:w="769"/>
        <w:gridCol w:w="981"/>
        <w:gridCol w:w="779"/>
        <w:gridCol w:w="988"/>
        <w:gridCol w:w="665"/>
        <w:gridCol w:w="585"/>
        <w:gridCol w:w="1069"/>
        <w:gridCol w:w="1702"/>
      </w:tblGrid>
      <w:tr>
        <w:tblPrEx>
          <w:tblCellMar>
            <w:top w:w="0" w:type="dxa"/>
            <w:left w:w="108" w:type="dxa"/>
            <w:bottom w:w="0" w:type="dxa"/>
            <w:right w:w="108" w:type="dxa"/>
          </w:tblCellMar>
        </w:tblPrEx>
        <w:trPr>
          <w:gridBefore w:val="1"/>
          <w:trHeight w:val="623" w:hRule="atLeast"/>
        </w:trPr>
        <w:tc>
          <w:tcPr>
            <w:tcW w:w="13980" w:type="dxa"/>
            <w:gridSpan w:val="1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32"/>
                <w:szCs w:val="32"/>
                <w:highlight w:val="none"/>
                <w:lang w:bidi="ar"/>
              </w:rPr>
            </w:pP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gridBefore w:val="1"/>
          <w:trHeight w:val="312" w:hRule="atLeast"/>
        </w:trPr>
        <w:tc>
          <w:tcPr>
            <w:tcW w:w="114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gridBefore w:val="1"/>
          <w:trHeight w:val="312" w:hRule="atLeast"/>
        </w:trPr>
        <w:tc>
          <w:tcPr>
            <w:tcW w:w="8971" w:type="dxa"/>
            <w:gridSpan w:val="11"/>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653"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300" w:hRule="atLeast"/>
        </w:trPr>
        <w:tc>
          <w:tcPr>
            <w:tcW w:w="4726"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6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0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9"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6" w:type="dxa"/>
            <w:gridSpan w:val="2"/>
            <w:vMerge w:val="restart"/>
            <w:tcBorders>
              <w:top w:val="single" w:color="000000" w:sz="4" w:space="0"/>
              <w:left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50" w:type="dxa"/>
            <w:gridSpan w:val="2"/>
            <w:vMerge w:val="restart"/>
            <w:tcBorders>
              <w:top w:val="single" w:color="000000" w:sz="4" w:space="0"/>
              <w:left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67" w:type="dxa"/>
            <w:gridSpan w:val="2"/>
            <w:vMerge w:val="restart"/>
            <w:tcBorders>
              <w:top w:val="single" w:color="000000" w:sz="4" w:space="0"/>
              <w:left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50" w:type="dxa"/>
            <w:gridSpan w:val="2"/>
            <w:vMerge w:val="restart"/>
            <w:tcBorders>
              <w:top w:val="single" w:color="000000" w:sz="4" w:space="0"/>
              <w:left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69" w:type="dxa"/>
            <w:vMerge w:val="restart"/>
            <w:tcBorders>
              <w:top w:val="single" w:color="000000" w:sz="4" w:space="0"/>
              <w:left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02" w:type="dxa"/>
            <w:vMerge w:val="restart"/>
            <w:tcBorders>
              <w:top w:val="single" w:color="000000" w:sz="4" w:space="0"/>
              <w:left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739"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739"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9"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9"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133.05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114.72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7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213.86 </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101.91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111.95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7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 </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 </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5057"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215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7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2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01"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61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1"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9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bl>
    <w:p>
      <w:pPr>
        <w:jc w:val="left"/>
        <w:rPr>
          <w:rFonts w:hint="eastAsia" w:ascii="仿宋" w:hAnsi="仿宋" w:eastAsia="仿宋" w:cs="仿宋"/>
          <w:sz w:val="24"/>
          <w:highlight w:val="none"/>
        </w:rPr>
      </w:pPr>
    </w:p>
    <w:tbl>
      <w:tblPr>
        <w:tblStyle w:val="6"/>
        <w:tblW w:w="14316"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83"/>
        <w:gridCol w:w="717"/>
        <w:gridCol w:w="1100"/>
        <w:gridCol w:w="2950"/>
        <w:gridCol w:w="800"/>
        <w:gridCol w:w="983"/>
        <w:gridCol w:w="933"/>
        <w:gridCol w:w="1384"/>
        <w:gridCol w:w="1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4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216.63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216.63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29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50"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966" w:type="dxa"/>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3" w:type="dxa"/>
        <w:tblInd w:w="93" w:type="dxa"/>
        <w:tblLayout w:type="fixed"/>
        <w:tblCellMar>
          <w:top w:w="0" w:type="dxa"/>
          <w:left w:w="108" w:type="dxa"/>
          <w:bottom w:w="0" w:type="dxa"/>
          <w:right w:w="108" w:type="dxa"/>
        </w:tblCellMar>
      </w:tblPr>
      <w:tblGrid>
        <w:gridCol w:w="3"/>
        <w:gridCol w:w="1908"/>
        <w:gridCol w:w="375"/>
        <w:gridCol w:w="238"/>
        <w:gridCol w:w="238"/>
        <w:gridCol w:w="2052"/>
        <w:gridCol w:w="714"/>
        <w:gridCol w:w="2459"/>
        <w:gridCol w:w="174"/>
        <w:gridCol w:w="2633"/>
        <w:gridCol w:w="300"/>
        <w:gridCol w:w="2884"/>
        <w:gridCol w:w="5"/>
      </w:tblGrid>
      <w:tr>
        <w:tblPrEx>
          <w:tblCellMar>
            <w:top w:w="0" w:type="dxa"/>
            <w:left w:w="108" w:type="dxa"/>
            <w:bottom w:w="0" w:type="dxa"/>
            <w:right w:w="108" w:type="dxa"/>
          </w:tblCellMar>
        </w:tblPrEx>
        <w:trPr>
          <w:gridBefore w:val="1"/>
          <w:wBefore w:w="3" w:type="dxa"/>
          <w:trHeight w:val="693" w:hRule="atLeast"/>
        </w:trPr>
        <w:tc>
          <w:tcPr>
            <w:tcW w:w="1398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wBefore w:w="3" w:type="dxa"/>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Before w:val="1"/>
          <w:wBefore w:w="3" w:type="dxa"/>
          <w:trHeight w:val="346" w:hRule="atLeast"/>
        </w:trPr>
        <w:tc>
          <w:tcPr>
            <w:tcW w:w="798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310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552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50"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7"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3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84"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91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7"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8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7"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8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20" w:hRule="atLeast"/>
        </w:trPr>
        <w:tc>
          <w:tcPr>
            <w:tcW w:w="552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05" w:hRule="atLeast"/>
        </w:trPr>
        <w:tc>
          <w:tcPr>
            <w:tcW w:w="552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247.77 </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133.05 </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213.86 </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101.91 </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 </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 </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9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 </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 </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3978" w:type="dxa"/>
            <w:gridSpan w:val="12"/>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tbl>
      <w:tblPr>
        <w:tblStyle w:val="6"/>
        <w:tblW w:w="14003" w:type="dxa"/>
        <w:tblInd w:w="93" w:type="dxa"/>
        <w:tblLayout w:type="fixed"/>
        <w:tblCellMar>
          <w:top w:w="0" w:type="dxa"/>
          <w:left w:w="108" w:type="dxa"/>
          <w:bottom w:w="0" w:type="dxa"/>
          <w:right w:w="108" w:type="dxa"/>
        </w:tblCellMar>
      </w:tblPr>
      <w:tblGrid>
        <w:gridCol w:w="3"/>
        <w:gridCol w:w="732"/>
        <w:gridCol w:w="375"/>
        <w:gridCol w:w="2371"/>
        <w:gridCol w:w="163"/>
        <w:gridCol w:w="943"/>
        <w:gridCol w:w="241"/>
        <w:gridCol w:w="1039"/>
        <w:gridCol w:w="27"/>
        <w:gridCol w:w="2250"/>
        <w:gridCol w:w="70"/>
        <w:gridCol w:w="1014"/>
        <w:gridCol w:w="146"/>
        <w:gridCol w:w="1154"/>
        <w:gridCol w:w="19"/>
        <w:gridCol w:w="2147"/>
        <w:gridCol w:w="184"/>
        <w:gridCol w:w="1125"/>
        <w:gridCol w:w="91"/>
      </w:tblGrid>
      <w:tr>
        <w:tblPrEx>
          <w:tblCellMar>
            <w:top w:w="0" w:type="dxa"/>
            <w:left w:w="108" w:type="dxa"/>
            <w:bottom w:w="0" w:type="dxa"/>
            <w:right w:w="108" w:type="dxa"/>
          </w:tblCellMar>
        </w:tblPrEx>
        <w:trPr>
          <w:gridBefore w:val="1"/>
          <w:gridAfter w:val="1"/>
          <w:wBefore w:w="3" w:type="dxa"/>
          <w:wAfter w:w="91" w:type="dxa"/>
          <w:trHeight w:val="614" w:hRule="atLeast"/>
        </w:trPr>
        <w:tc>
          <w:tcPr>
            <w:tcW w:w="14000" w:type="dxa"/>
            <w:gridSpan w:val="1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gridAfter w:val="1"/>
          <w:wBefore w:w="3" w:type="dxa"/>
          <w:wAfter w:w="91"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gridBefore w:val="1"/>
          <w:gridAfter w:val="1"/>
          <w:wBefore w:w="3" w:type="dxa"/>
          <w:wAfter w:w="91" w:type="dxa"/>
          <w:trHeight w:val="569" w:hRule="atLeast"/>
        </w:trPr>
        <w:tc>
          <w:tcPr>
            <w:tcW w:w="8211"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16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2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66"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0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84"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3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5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5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131.05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50.49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10.61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24.78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18.86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5.12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09" w:type="dxa"/>
            <w:gridSpan w:val="3"/>
            <w:tcBorders>
              <w:top w:val="single" w:color="000000" w:sz="4" w:space="0"/>
              <w:left w:val="single" w:color="000000" w:sz="4" w:space="0"/>
              <w:bottom w:val="nil"/>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84"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50" w:type="dxa"/>
            <w:tcBorders>
              <w:top w:val="single" w:color="000000" w:sz="4" w:space="0"/>
              <w:left w:val="single" w:color="000000" w:sz="4" w:space="0"/>
              <w:bottom w:val="nil"/>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84"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350" w:type="dxa"/>
            <w:gridSpan w:val="3"/>
            <w:tcBorders>
              <w:top w:val="single" w:color="000000" w:sz="4" w:space="0"/>
              <w:left w:val="single" w:color="000000" w:sz="4" w:space="0"/>
              <w:bottom w:val="nil"/>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16" w:type="dxa"/>
            <w:gridSpan w:val="2"/>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nil"/>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09" w:type="dxa"/>
            <w:gridSpan w:val="3"/>
            <w:tcBorders>
              <w:top w:val="nil"/>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8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nil"/>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50" w:type="dxa"/>
            <w:tcBorders>
              <w:top w:val="nil"/>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8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nil"/>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350" w:type="dxa"/>
            <w:gridSpan w:val="3"/>
            <w:tcBorders>
              <w:top w:val="nil"/>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216"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44"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131.05 </w:t>
            </w:r>
          </w:p>
        </w:tc>
        <w:tc>
          <w:tcPr>
            <w:tcW w:w="8050" w:type="dxa"/>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94"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2023年</w:t>
            </w:r>
            <w:r>
              <w:rPr>
                <w:rFonts w:hint="eastAsia" w:ascii="宋体" w:hAnsi="宋体" w:eastAsia="宋体" w:cs="宋体"/>
                <w:color w:val="000000" w:themeColor="text1"/>
                <w:kern w:val="2"/>
                <w:sz w:val="21"/>
                <w:szCs w:val="21"/>
                <w:lang w:val="en-US" w:eastAsia="zh-CN" w:bidi="ar"/>
                <w14:textFill>
                  <w14:solidFill>
                    <w14:schemeClr w14:val="tx1"/>
                  </w14:solidFill>
                </w14:textFill>
              </w:rPr>
              <w:t>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2023年</w:t>
      </w:r>
      <w:r>
        <w:rPr>
          <w:rFonts w:hint="eastAsia" w:ascii="宋体" w:hAnsi="宋体" w:eastAsia="宋体" w:cs="宋体"/>
          <w:color w:val="000000" w:themeColor="text1"/>
          <w:kern w:val="2"/>
          <w:sz w:val="21"/>
          <w:szCs w:val="21"/>
          <w:lang w:val="en-US" w:eastAsia="zh-CN" w:bidi="ar"/>
          <w14:textFill>
            <w14:solidFill>
              <w14:schemeClr w14:val="tx1"/>
            </w14:solidFill>
          </w14:textFill>
        </w:rPr>
        <w:t>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环江毛南族自治县明伦镇中心幼儿园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2023年</w:t>
            </w:r>
            <w:r>
              <w:rPr>
                <w:rFonts w:hint="eastAsia" w:ascii="宋体" w:hAnsi="宋体" w:eastAsia="宋体" w:cs="宋体"/>
                <w:color w:val="000000" w:themeColor="text1"/>
                <w:kern w:val="2"/>
                <w:sz w:val="21"/>
                <w:szCs w:val="21"/>
                <w:lang w:val="en-US" w:eastAsia="zh-CN" w:bidi="ar"/>
                <w14:textFill>
                  <w14:solidFill>
                    <w14:schemeClr w14:val="tx1"/>
                  </w14:solidFill>
                </w14:textFill>
              </w:rPr>
              <w:t>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环江毛南族自治县明伦镇中心幼儿园</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w:t>
      </w:r>
      <w:r>
        <w:rPr>
          <w:rFonts w:hint="eastAsia" w:ascii="仿宋" w:hAnsi="仿宋" w:eastAsia="仿宋" w:cs="仿宋"/>
          <w:sz w:val="32"/>
          <w:u w:color="auto"/>
          <w:lang w:val="en-US" w:eastAsia="zh-CN"/>
        </w:rPr>
        <w:t>247.77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增加74.95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上升43.37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247.77</w:t>
      </w:r>
      <w:r>
        <w:rPr>
          <w:rFonts w:hint="eastAsia" w:ascii="仿宋" w:hAnsi="仿宋" w:eastAsia="仿宋" w:cs="仿宋"/>
          <w:sz w:val="32"/>
          <w:szCs w:val="32"/>
          <w:highlight w:val="none"/>
        </w:rPr>
        <w:t>万元。收入具体情况如下。</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247.77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74.95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43.37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rPr>
        <w:t>教师人数</w:t>
      </w:r>
      <w:r>
        <w:rPr>
          <w:rFonts w:hint="eastAsia" w:ascii="华文仿宋" w:hAnsi="华文仿宋" w:eastAsia="华文仿宋" w:cs="华文仿宋"/>
          <w:kern w:val="0"/>
          <w:sz w:val="32"/>
          <w:szCs w:val="32"/>
          <w:lang w:eastAsia="zh-CN"/>
        </w:rPr>
        <w:t>调入</w:t>
      </w:r>
      <w:r>
        <w:rPr>
          <w:rFonts w:hint="eastAsia" w:ascii="华文仿宋" w:hAnsi="华文仿宋" w:eastAsia="华文仿宋" w:cs="华文仿宋"/>
          <w:kern w:val="0"/>
          <w:sz w:val="32"/>
          <w:szCs w:val="32"/>
        </w:rPr>
        <w:t>增加，</w:t>
      </w:r>
      <w:r>
        <w:rPr>
          <w:rFonts w:hint="eastAsia" w:ascii="华文仿宋" w:hAnsi="华文仿宋" w:eastAsia="华文仿宋" w:cs="华文仿宋"/>
          <w:kern w:val="0"/>
          <w:sz w:val="32"/>
          <w:szCs w:val="32"/>
          <w:lang w:eastAsia="zh-CN"/>
        </w:rPr>
        <w:t>工资也有所提高</w:t>
      </w:r>
      <w:r>
        <w:rPr>
          <w:rFonts w:hint="eastAsia" w:ascii="华文仿宋" w:hAnsi="华文仿宋" w:eastAsia="华文仿宋" w:cs="华文仿宋"/>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r>
        <w:rPr>
          <w:rFonts w:hint="eastAsia" w:ascii="仿宋" w:hAnsi="仿宋" w:eastAsia="仿宋" w:cs="仿宋"/>
          <w:sz w:val="32"/>
          <w:szCs w:val="32"/>
          <w:highlight w:val="none"/>
        </w:rPr>
        <w:drawing>
          <wp:inline distT="0" distB="0" distL="114300" distR="114300">
            <wp:extent cx="5080000" cy="2390775"/>
            <wp:effectExtent l="4445" t="4445" r="5715" b="1270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val="en-US" w:eastAsia="zh-CN"/>
        </w:rPr>
        <w:t>247.77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247.77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上升74.95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上升43.37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一般公共服务支出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1.99</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教职工工会活动费</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bidi="ar"/>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1.49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298</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主要原因是：本部门2023年度新增3名公招教师控制数。</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教育支出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205</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216.63</w:t>
      </w:r>
      <w:r>
        <w:rPr>
          <w:rFonts w:hint="eastAsia" w:ascii="仿宋" w:hAnsi="仿宋" w:eastAsia="仿宋" w:cs="仿宋"/>
          <w:color w:val="000000" w:themeColor="text1"/>
          <w:sz w:val="32"/>
          <w:szCs w:val="32"/>
          <w:highlight w:val="none"/>
          <w14:textFill>
            <w14:solidFill>
              <w14:schemeClr w14:val="tx1"/>
            </w14:solidFill>
          </w14:textFill>
        </w:rPr>
        <w:t>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人员基本工资，商品服务支出</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增加59.97</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上升38.28</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主要原因是：本部门2023年度活动增多，人员增加，所以商品服务支出增加。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208</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12.03</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本部门2023年度教职工基本养老保险缴费支出</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bidi="ar"/>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6.70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125.7</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主要原因是：本部门2023年度新增3名公招教师控制数。2023年度调整缴费基数，基数变高。</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8.56</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本部门2023年度教职工住房公积金支出</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度决算数</w:t>
      </w:r>
      <w:r>
        <w:rPr>
          <w:rFonts w:hint="eastAsia" w:ascii="仿宋" w:hAnsi="仿宋" w:eastAsia="仿宋" w:cs="仿宋"/>
          <w:color w:val="000000" w:themeColor="text1"/>
          <w:sz w:val="32"/>
          <w:szCs w:val="32"/>
          <w:highlight w:val="none"/>
          <w:lang w:bidi="ar"/>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4.93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增长1</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35.81</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主要原因是：本部门2023年度新增3名公招教师控制数。2023年度调整缴费基数，基数变高。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8.54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其他工资福利支出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27.46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主要原因是：本部门2023年度新增3名公招教师控制数。</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环江毛南族自治县明伦镇中心幼儿园2023年</w:t>
      </w:r>
      <w:r>
        <w:rPr>
          <w:rFonts w:hint="eastAsia" w:ascii="仿宋" w:hAnsi="仿宋" w:eastAsia="仿宋" w:cs="仿宋"/>
          <w:sz w:val="32"/>
          <w:szCs w:val="32"/>
          <w:highlight w:val="none"/>
        </w:rPr>
        <w:t>度一般公共预算财政拨款支出</w:t>
      </w:r>
      <w:r>
        <w:rPr>
          <w:rFonts w:hint="eastAsia" w:ascii="仿宋" w:hAnsi="仿宋" w:eastAsia="仿宋" w:cs="仿宋"/>
          <w:sz w:val="32"/>
          <w:u w:color="auto"/>
          <w:lang w:val="en-US" w:eastAsia="zh-CN"/>
        </w:rPr>
        <w:t>247.77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增加74.95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上升43.37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133.05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114.72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232.27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247.77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106.67</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1.99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1.99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ind w:firstLine="640" w:firstLineChars="200"/>
        <w:jc w:val="both"/>
        <w:rPr>
          <w:rFonts w:hint="default"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201.29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216.63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107.62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原因是：2023年度新增公招教师控制数3名，有部分资金由上级部分直接下达，本单位无需预算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213.86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增加3名控制数教师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此项资金由上级部门直接下达，本部分无需预算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autoSpaceDE w:val="0"/>
        <w:autoSpaceDN w:val="0"/>
        <w:adjustRightInd w:val="0"/>
        <w:spacing w:line="560" w:lineRule="exact"/>
        <w:rPr>
          <w:rFonts w:hint="eastAsia" w:ascii="仿宋" w:hAnsi="仿宋" w:eastAsia="仿宋"/>
          <w:sz w:val="32"/>
          <w:szCs w:val="32"/>
          <w:highlight w:val="none"/>
          <w:lang w:eastAsia="zh-CN"/>
        </w:rPr>
      </w:pPr>
    </w:p>
    <w:p>
      <w:pPr>
        <w:autoSpaceDE w:val="0"/>
        <w:autoSpaceDN w:val="0"/>
        <w:adjustRightInd w:val="0"/>
        <w:spacing w:line="560" w:lineRule="exact"/>
        <w:ind w:firstLine="320" w:firstLineChars="100"/>
        <w:rPr>
          <w:rFonts w:hint="eastAsia" w:ascii="仿宋" w:hAnsi="仿宋" w:eastAsia="仿宋"/>
          <w:sz w:val="32"/>
          <w:szCs w:val="32"/>
          <w:highlight w:val="none"/>
          <w:lang w:eastAsia="zh-CN"/>
        </w:rPr>
      </w:pPr>
    </w:p>
    <w:p>
      <w:pPr>
        <w:autoSpaceDE w:val="0"/>
        <w:autoSpaceDN w:val="0"/>
        <w:adjustRightInd w:val="0"/>
        <w:spacing w:line="560" w:lineRule="exact"/>
        <w:ind w:firstLine="320" w:firstLineChars="100"/>
        <w:rPr>
          <w:rFonts w:hint="eastAsia" w:ascii="仿宋" w:hAnsi="仿宋" w:eastAsia="仿宋"/>
          <w:sz w:val="32"/>
          <w:szCs w:val="32"/>
          <w:highlight w:val="none"/>
          <w:lang w:eastAsia="zh-CN"/>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line="560" w:lineRule="exact"/>
        <w:ind w:firstLine="320" w:firstLineChars="100"/>
        <w:rPr>
          <w:rFonts w:ascii="Times New Roman" w:hAnsi="Times New Roman" w:eastAsia="仿宋_GB2312" w:cs="Times New Roman"/>
          <w:bCs/>
          <w:kern w:val="0"/>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16.56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12.03</w:t>
      </w:r>
      <w:r>
        <w:rPr>
          <w:rFonts w:hint="eastAsia" w:ascii="仿宋" w:hAnsi="仿宋" w:eastAsia="仿宋"/>
          <w:sz w:val="32"/>
          <w:szCs w:val="32"/>
          <w:highlight w:val="none"/>
        </w:rPr>
        <w:t>元，完成年初预算的</w:t>
      </w:r>
      <w:r>
        <w:rPr>
          <w:rFonts w:hint="eastAsia" w:ascii="仿宋" w:hAnsi="仿宋" w:eastAsia="仿宋"/>
          <w:sz w:val="32"/>
          <w:szCs w:val="32"/>
          <w:highlight w:val="none"/>
          <w:lang w:val="en-US" w:eastAsia="zh-CN"/>
        </w:rPr>
        <w:t>72.64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原因是：基数调整未加1-9月基础性绩效工资增量补发部分，</w:t>
      </w:r>
      <w:r>
        <w:rPr>
          <w:rFonts w:hint="eastAsia" w:ascii="Times New Roman" w:hAnsi="Times New Roman" w:eastAsia="仿宋_GB2312" w:cs="Times New Roman"/>
          <w:bCs/>
          <w:kern w:val="0"/>
          <w:sz w:val="32"/>
          <w:szCs w:val="32"/>
        </w:rPr>
        <w:t>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基数调整未加1-9月基础性绩效工资增量补发部分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12.42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8.56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68.92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原因是：基数调整未加1-9月基础性绩效工资增量补发部分，用于本单位住房公积金。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olor w:val="000000" w:themeColor="text1"/>
                <w:sz w:val="16"/>
                <w:szCs w:val="16"/>
                <w:highlight w:val="none"/>
                <w:lang w:val="en-US" w:eastAsia="zh-CN"/>
                <w14:textFill>
                  <w14:solidFill>
                    <w14:schemeClr w14:val="tx1"/>
                  </w14:solidFill>
                </w14:textFill>
              </w:rPr>
              <w:t>基数调整未加1-9月基础性绩效工资增量补发部分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8.54</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i w:val="0"/>
          <w:iCs w:val="0"/>
          <w:color w:val="auto"/>
          <w:sz w:val="32"/>
          <w:szCs w:val="32"/>
          <w:highlight w:val="none"/>
          <w:u w:val="none"/>
          <w:lang w:val="en-US" w:eastAsia="zh-CN"/>
        </w:rPr>
        <w:t>此项资金由上级部门直接下达，本部分无需预算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val="0"/>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lang w:val="en-US" w:eastAsia="zh-CN"/>
              </w:rPr>
              <w:t>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此项资金由上级部门直接下达，本部分无需预算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lang w:eastAsia="zh-CN"/>
          <w14:textFill>
            <w14:solidFill>
              <w14:schemeClr w14:val="tx1"/>
            </w14:solidFill>
          </w14:textFill>
        </w:rPr>
        <w:t>环江毛南族自治县明伦镇中心幼儿园2023年</w:t>
      </w:r>
      <w:r>
        <w:rPr>
          <w:rFonts w:hint="eastAsia" w:ascii="仿宋" w:hAnsi="仿宋" w:eastAsia="仿宋" w:cs="仿宋"/>
          <w:color w:val="000000" w:themeColor="text1"/>
          <w:sz w:val="32"/>
          <w:szCs w:val="32"/>
          <w:highlight w:val="none"/>
          <w14:textFill>
            <w14:solidFill>
              <w14:schemeClr w14:val="tx1"/>
            </w14:solidFill>
          </w14:textFill>
        </w:rPr>
        <w:t>度一般公共预算财政拨款基本支出</w:t>
      </w:r>
      <w:r>
        <w:rPr>
          <w:rFonts w:hint="eastAsia" w:ascii="仿宋" w:hAnsi="仿宋" w:eastAsia="仿宋" w:cs="仿宋"/>
          <w:color w:val="000000" w:themeColor="text1"/>
          <w:sz w:val="32"/>
          <w:u w:color="auto"/>
          <w:lang w:val="en-US" w:eastAsia="zh-CN"/>
          <w14:textFill>
            <w14:solidFill>
              <w14:schemeClr w14:val="tx1"/>
            </w14:solidFill>
          </w14:textFill>
        </w:rPr>
        <w:t>133.04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131.05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1.99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131.05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01.38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lang w:eastAsia="zh-CN"/>
        </w:rPr>
        <w:t>2023年</w:t>
      </w:r>
      <w:r>
        <w:rPr>
          <w:rFonts w:hint="eastAsia" w:ascii="Times New Roman" w:hAnsi="Times New Roman" w:eastAsia="仿宋_GB2312" w:cs="Times New Roman"/>
          <w:bCs/>
          <w:kern w:val="0"/>
          <w:sz w:val="32"/>
          <w:szCs w:val="32"/>
          <w:lang w:val="en-US" w:eastAsia="zh-CN"/>
        </w:rPr>
        <w:t>度新增</w:t>
      </w:r>
      <w:r>
        <w:rPr>
          <w:rFonts w:hint="eastAsia" w:ascii="Times New Roman" w:hAnsi="Times New Roman" w:eastAsia="仿宋_GB2312" w:cs="Times New Roman"/>
          <w:bCs/>
          <w:kern w:val="0"/>
          <w:sz w:val="32"/>
          <w:szCs w:val="32"/>
        </w:rPr>
        <w:t>公招</w:t>
      </w:r>
      <w:r>
        <w:rPr>
          <w:rFonts w:hint="eastAsia" w:ascii="Times New Roman" w:hAnsi="Times New Roman" w:eastAsia="仿宋_GB2312" w:cs="Times New Roman"/>
          <w:bCs/>
          <w:kern w:val="0"/>
          <w:sz w:val="32"/>
          <w:szCs w:val="32"/>
          <w:lang w:val="en-US" w:eastAsia="zh-CN"/>
        </w:rPr>
        <w:t>教师控制数3</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center"/>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50.49万元，30102津贴补贴10.61万元，30103奖金24.78万元，30107绩效工资18.86万元，30108机关事业单位基本养老保险缴费12.03万元，30110职工基本医疗保险缴费5.12万元，30112其他社会保障缴费0.6万元，30113住房公积金8.56万元。</w:t>
      </w: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1.99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lang w:eastAsia="zh-CN"/>
        </w:rPr>
        <w:t>2023年</w:t>
      </w:r>
      <w:r>
        <w:rPr>
          <w:rFonts w:hint="eastAsia" w:ascii="Times New Roman" w:hAnsi="Times New Roman" w:eastAsia="仿宋_GB2312" w:cs="Times New Roman"/>
          <w:bCs/>
          <w:kern w:val="0"/>
          <w:sz w:val="32"/>
          <w:szCs w:val="32"/>
          <w:lang w:val="en-US" w:eastAsia="zh-CN"/>
        </w:rPr>
        <w:t>度新增</w:t>
      </w:r>
      <w:r>
        <w:rPr>
          <w:rFonts w:hint="eastAsia" w:ascii="Times New Roman" w:hAnsi="Times New Roman" w:eastAsia="仿宋_GB2312" w:cs="Times New Roman"/>
          <w:bCs/>
          <w:kern w:val="0"/>
          <w:sz w:val="32"/>
          <w:szCs w:val="32"/>
        </w:rPr>
        <w:t>公招</w:t>
      </w:r>
      <w:r>
        <w:rPr>
          <w:rFonts w:hint="eastAsia" w:ascii="Times New Roman" w:hAnsi="Times New Roman" w:eastAsia="仿宋_GB2312" w:cs="Times New Roman"/>
          <w:bCs/>
          <w:kern w:val="0"/>
          <w:sz w:val="32"/>
          <w:szCs w:val="32"/>
          <w:lang w:val="en-US" w:eastAsia="zh-CN"/>
        </w:rPr>
        <w:t>教师控制数3</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30228工会经费1.99万元。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主要原因是：本单位无人员需要“个人和家庭补助款”。</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87650"/>
            <wp:effectExtent l="4445" t="4445" r="16510" b="825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主要原因是：本单位2022年无债务利息。</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主要原因是：本单位2022年度无资本性支出。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727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主要原因是：本单位2022年度无其他支出。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2511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环江毛南族自治县明伦镇中心幼儿园</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环江毛南族自治县明伦镇中心幼儿园</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2" w:name="PO_part3A5B1C1DiffReason1"/>
      <w:r>
        <w:rPr>
          <w:rFonts w:hint="eastAsia" w:ascii="仿宋_GB2312" w:hAnsi="Times New Roman" w:eastAsia="仿宋_GB2312" w:cs="Times New Roman"/>
          <w:color w:val="000000" w:themeColor="text1"/>
          <w:sz w:val="32"/>
          <w:szCs w:val="32"/>
          <w:lang w:eastAsia="zh-CN"/>
          <w14:textFill>
            <w14:solidFill>
              <w14:schemeClr w14:val="tx1"/>
            </w14:solidFill>
          </w14:textFill>
        </w:rPr>
        <w:t>环江毛南族自治县明伦镇中心幼儿园</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本部门</w:t>
      </w:r>
      <w:r>
        <w:rPr>
          <w:rFonts w:hint="eastAsia" w:ascii="Times New Roman" w:hAnsi="Times New Roman" w:eastAsia="仿宋_GB2312" w:cs="Times New Roman"/>
          <w:kern w:val="0"/>
          <w:sz w:val="32"/>
          <w:szCs w:val="32"/>
          <w:lang w:eastAsia="zh-CN"/>
        </w:rPr>
        <w:t>2023年</w:t>
      </w:r>
      <w:r>
        <w:rPr>
          <w:rFonts w:hint="eastAsia" w:ascii="Times New Roman" w:hAnsi="Times New Roman" w:eastAsia="仿宋_GB2312" w:cs="Times New Roman"/>
          <w:kern w:val="0"/>
          <w:sz w:val="32"/>
          <w:szCs w:val="32"/>
        </w:rPr>
        <w:t>度没有“三公”经费资金收入，也没有“三公”经费资金安排的支出。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3" w:name="PO_part3A6B2IncReason1"/>
      <w:r>
        <w:rPr>
          <w:rFonts w:hint="eastAsia" w:ascii="仿宋" w:hAnsi="仿宋" w:eastAsia="仿宋" w:cs="仿宋"/>
          <w:color w:val="auto"/>
          <w:sz w:val="32"/>
          <w:szCs w:val="32"/>
        </w:rPr>
        <w:t>无公务用车购置</w:t>
      </w:r>
      <w:bookmarkEnd w:id="3"/>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4"/>
        </w:numPr>
        <w:jc w:val="left"/>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减少0.00</w:t>
      </w:r>
      <w:r>
        <w:rPr>
          <w:rFonts w:hint="eastAsia" w:ascii="仿宋" w:hAnsi="仿宋" w:eastAsia="仿宋" w:cs="仿宋"/>
          <w:sz w:val="32"/>
          <w:szCs w:val="32"/>
          <w:highlight w:val="none"/>
        </w:rPr>
        <w:t>万元，</w:t>
      </w:r>
      <w:r>
        <w:rPr>
          <w:rFonts w:ascii="仿宋" w:hAnsi="仿宋" w:eastAsia="仿宋" w:cs="仿宋"/>
          <w:sz w:val="32"/>
          <w:szCs w:val="32"/>
          <w:highlight w:val="none"/>
        </w:rPr>
        <w:t>下降0.00%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本部门2023年度无机关运行经费支出。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政府采购</w:t>
      </w:r>
      <w:r>
        <w:rPr>
          <w:rFonts w:hint="eastAsia" w:ascii="仿宋" w:hAnsi="仿宋" w:eastAsia="仿宋" w:cs="仿宋"/>
          <w:sz w:val="32"/>
          <w:szCs w:val="32"/>
          <w:highlight w:val="none"/>
          <w:lang w:val="en-US" w:eastAsia="zh-CN"/>
        </w:rPr>
        <w:t>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 xml:space="preserve">本部门已于 2023年4月份完成 </w:t>
      </w:r>
      <w:r>
        <w:rPr>
          <w:rFonts w:hint="eastAsia" w:ascii="Times New Roman" w:hAnsi="Times New Roman" w:eastAsia="仿宋_GB2312" w:cs="Times New Roman"/>
          <w:kern w:val="0"/>
          <w:sz w:val="32"/>
          <w:szCs w:val="32"/>
          <w:lang w:eastAsia="zh-CN"/>
        </w:rPr>
        <w:t>2023年</w:t>
      </w:r>
      <w:r>
        <w:rPr>
          <w:rFonts w:hint="eastAsia" w:ascii="Times New Roman" w:hAnsi="Times New Roman" w:eastAsia="仿宋_GB2312" w:cs="Times New Roman"/>
          <w:kern w:val="0"/>
          <w:sz w:val="32"/>
          <w:szCs w:val="32"/>
        </w:rPr>
        <w:t>部门项目支出绩效自评工作，整体综合评价结果良好</w:t>
      </w:r>
      <w:r>
        <w:rPr>
          <w:rFonts w:hint="eastAsia" w:ascii="Times New Roman" w:hAnsi="Times New Roman" w:eastAsia="仿宋_GB2312" w:cs="Times New Roman"/>
          <w:kern w:val="0"/>
          <w:sz w:val="32"/>
          <w:szCs w:val="32"/>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color w:val="000000"/>
          <w:kern w:val="0"/>
          <w:sz w:val="32"/>
          <w:szCs w:val="32"/>
          <w:u w:val="none"/>
          <w:lang w:val="en-US" w:eastAsia="zh-CN" w:bidi="ar"/>
        </w:rPr>
        <w:t>环江毛南族自治县明伦镇中心幼儿园2023年年初预算经费(保育教育费)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94.82</w:t>
      </w:r>
      <w:r>
        <w:rPr>
          <w:rFonts w:hint="eastAsia" w:ascii="仿宋" w:hAnsi="仿宋" w:eastAsia="仿宋" w:cs="仿宋"/>
          <w:color w:val="000000" w:themeColor="text1"/>
          <w:sz w:val="32"/>
          <w:szCs w:val="32"/>
          <w14:textFill>
            <w14:solidFill>
              <w14:schemeClr w14:val="tx1"/>
            </w14:solidFill>
          </w14:textFill>
        </w:rPr>
        <w:t>分。发现的主要问题及原因：是</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报账材料未能及时整理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下一步改进措施：是与财政沟通第二年支付。学前教育保育费项目自评得分为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97.93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达成制度目标。</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学前教育免保教费县本级补助资金</w:t>
      </w:r>
      <w:r>
        <w:rPr>
          <w:rFonts w:hint="eastAsia" w:ascii="仿宋" w:hAnsi="仿宋" w:eastAsia="仿宋" w:cs="仿宋"/>
          <w:color w:val="000000" w:themeColor="text1"/>
          <w:sz w:val="32"/>
          <w:szCs w:val="32"/>
          <w:lang w:val="en-US" w:eastAsia="zh-CN"/>
          <w14:textFill>
            <w14:solidFill>
              <w14:schemeClr w14:val="tx1"/>
            </w14:solidFill>
          </w14:textFill>
        </w:rPr>
        <w:t>项目自评得分为89.2分。</w:t>
      </w:r>
      <w:r>
        <w:rPr>
          <w:rFonts w:hint="eastAsia" w:ascii="仿宋" w:hAnsi="仿宋" w:eastAsia="仿宋" w:cs="仿宋"/>
          <w:color w:val="000000" w:themeColor="text1"/>
          <w:sz w:val="32"/>
          <w:szCs w:val="32"/>
          <w14:textFill>
            <w14:solidFill>
              <w14:schemeClr w14:val="tx1"/>
            </w14:solidFill>
          </w14:textFill>
        </w:rPr>
        <w:t>发现的主要问题及原因：是</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各类票据、发票未能及时整理报账。下一步改进措施：</w:t>
      </w:r>
      <w:r>
        <w:rPr>
          <w:rFonts w:hint="eastAsia" w:ascii="仿宋" w:hAnsi="仿宋" w:eastAsia="仿宋" w:cs="仿宋"/>
          <w:color w:val="000000" w:themeColor="text1"/>
          <w:sz w:val="32"/>
          <w:szCs w:val="32"/>
          <w:lang w:val="en-US" w:eastAsia="zh-CN"/>
          <w14:textFill>
            <w14:solidFill>
              <w14:schemeClr w14:val="tx1"/>
            </w14:solidFill>
          </w14:textFill>
        </w:rPr>
        <w:t>及时整理票据</w:t>
      </w:r>
      <w:r>
        <w:rPr>
          <w:rFonts w:hint="eastAsia" w:ascii="仿宋" w:hAnsi="仿宋" w:eastAsia="仿宋" w:cs="仿宋"/>
          <w:color w:val="000000" w:themeColor="text1"/>
          <w:sz w:val="32"/>
          <w:szCs w:val="32"/>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项目自评得分为100分，</w:t>
      </w:r>
      <w:r>
        <w:rPr>
          <w:rFonts w:hint="eastAsia" w:ascii="Times New Roman" w:hAnsi="Times New Roman" w:eastAsia="仿宋_GB2312" w:cs="Times New Roman"/>
          <w:kern w:val="0"/>
          <w:sz w:val="32"/>
          <w:szCs w:val="32"/>
        </w:rPr>
        <w:t>达到预期绩效目标。</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w:t>
      </w:r>
      <w:r>
        <w:rPr>
          <w:rFonts w:hint="eastAsia" w:ascii="仿宋" w:hAnsi="仿宋" w:eastAsia="仿宋" w:cs="仿宋"/>
          <w:sz w:val="32"/>
          <w:u w:color="auto"/>
          <w:lang w:eastAsia="zh-CN"/>
        </w:rPr>
        <w:t>环江毛南族自治县财政局</w:t>
      </w:r>
      <w:r>
        <w:rPr>
          <w:rFonts w:ascii="仿宋" w:hAnsi="仿宋" w:eastAsia="仿宋" w:cs="仿宋"/>
          <w:sz w:val="32"/>
          <w:u w:color="auto"/>
        </w:rPr>
        <w:t>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160" w:firstLineChars="1300"/>
        <w:jc w:val="left"/>
        <w:rPr>
          <w:rFonts w:hint="default" w:ascii="仿宋" w:hAnsi="仿宋" w:eastAsia="仿宋" w:cs="仿宋"/>
          <w:sz w:val="32"/>
          <w:szCs w:val="32"/>
          <w:highlight w:val="none"/>
          <w:lang w:val="en-US" w:eastAsia="zh-CN"/>
        </w:rPr>
      </w:pPr>
    </w:p>
    <w:p>
      <w:pPr>
        <w:ind w:firstLine="4160" w:firstLineChars="1300"/>
        <w:jc w:val="left"/>
        <w:rPr>
          <w:rFonts w:hint="default" w:ascii="仿宋" w:hAnsi="仿宋" w:eastAsia="仿宋" w:cs="仿宋"/>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0EDC3F-A535-4673-814D-D5AF6AB36167}"/>
  </w:font>
  <w:font w:name="黑体">
    <w:panose1 w:val="02010609060101010101"/>
    <w:charset w:val="86"/>
    <w:family w:val="auto"/>
    <w:pitch w:val="default"/>
    <w:sig w:usb0="800002BF" w:usb1="38CF7CFA" w:usb2="00000016" w:usb3="00000000" w:csb0="00040001" w:csb1="00000000"/>
    <w:embedRegular r:id="rId2" w:fontKey="{4DA80C7D-967E-407E-9B24-FCB3336B32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8694C17-5F69-4921-AECB-865C25BAF54A}"/>
  </w:font>
  <w:font w:name="仿宋">
    <w:panose1 w:val="02010609060101010101"/>
    <w:charset w:val="86"/>
    <w:family w:val="modern"/>
    <w:pitch w:val="default"/>
    <w:sig w:usb0="800002BF" w:usb1="38CF7CFA" w:usb2="00000016" w:usb3="00000000" w:csb0="00040001" w:csb1="00000000"/>
    <w:embedRegular r:id="rId4" w:fontKey="{34D5C5E3-68A5-449A-AB9D-072CCDBDC0A4}"/>
  </w:font>
  <w:font w:name="方正小标宋简体">
    <w:panose1 w:val="02010601030101010101"/>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embedRegular r:id="rId5" w:fontKey="{6DA70E2E-5C7D-42DD-85EA-A2C38BA5DCBE}"/>
  </w:font>
  <w:font w:name="仿宋_GB2312">
    <w:panose1 w:val="02010609030101010101"/>
    <w:charset w:val="86"/>
    <w:family w:val="decorative"/>
    <w:pitch w:val="default"/>
    <w:sig w:usb0="00000001" w:usb1="080E0000" w:usb2="00000000" w:usb3="00000000" w:csb0="00040000" w:csb1="00000000"/>
    <w:embedRegular r:id="rId6" w:fontKey="{1F4C3722-9327-48D2-BF14-98347BB47AEE}"/>
  </w:font>
  <w:font w:name="华文仿宋">
    <w:panose1 w:val="02010600040101010101"/>
    <w:charset w:val="86"/>
    <w:family w:val="auto"/>
    <w:pitch w:val="default"/>
    <w:sig w:usb0="00000287" w:usb1="080F0000" w:usb2="00000000" w:usb3="00000000" w:csb0="0004009F" w:csb1="DFD70000"/>
    <w:embedRegular r:id="rId7" w:fontKey="{62CE0941-3B7F-4944-B99D-86D41A72D0E7}"/>
  </w:font>
  <w:font w:name="微软雅黑">
    <w:panose1 w:val="020B0503020204020204"/>
    <w:charset w:val="86"/>
    <w:family w:val="auto"/>
    <w:pitch w:val="default"/>
    <w:sig w:usb0="80000287" w:usb1="2ACF3C50" w:usb2="00000016" w:usb3="00000000" w:csb0="0004001F" w:csb1="00000000"/>
    <w:embedRegular r:id="rId8" w:fontKey="{B0DF91D7-3C0F-454D-8048-95930759C6A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61DB7"/>
    <w:multiLevelType w:val="singleLevel"/>
    <w:tmpl w:val="9A761DB7"/>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C9DFEF34"/>
    <w:multiLevelType w:val="singleLevel"/>
    <w:tmpl w:val="C9DFEF34"/>
    <w:lvl w:ilvl="0" w:tentative="0">
      <w:start w:val="3"/>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2ODg3ODRkY2M0MWZjZTg1ZWI2ODkzMjUxNzBmMD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A3073B"/>
    <w:rsid w:val="02041E72"/>
    <w:rsid w:val="020C171D"/>
    <w:rsid w:val="0216715F"/>
    <w:rsid w:val="02E0291A"/>
    <w:rsid w:val="02F92D08"/>
    <w:rsid w:val="04E54546"/>
    <w:rsid w:val="05992762"/>
    <w:rsid w:val="07B0770E"/>
    <w:rsid w:val="0942143F"/>
    <w:rsid w:val="0D100297"/>
    <w:rsid w:val="0D202B45"/>
    <w:rsid w:val="0F81030D"/>
    <w:rsid w:val="0F8D4C87"/>
    <w:rsid w:val="0FB0474F"/>
    <w:rsid w:val="10505FAA"/>
    <w:rsid w:val="105F7E7E"/>
    <w:rsid w:val="11E56B5B"/>
    <w:rsid w:val="1223779D"/>
    <w:rsid w:val="125C77AB"/>
    <w:rsid w:val="14CB726E"/>
    <w:rsid w:val="1533692A"/>
    <w:rsid w:val="17E92249"/>
    <w:rsid w:val="183F6906"/>
    <w:rsid w:val="18D304F1"/>
    <w:rsid w:val="19166FAB"/>
    <w:rsid w:val="19C810D2"/>
    <w:rsid w:val="19F32577"/>
    <w:rsid w:val="19F45B80"/>
    <w:rsid w:val="1B0C078D"/>
    <w:rsid w:val="1B2B31E2"/>
    <w:rsid w:val="1B4C295A"/>
    <w:rsid w:val="1B973C63"/>
    <w:rsid w:val="1BA1001E"/>
    <w:rsid w:val="1D317259"/>
    <w:rsid w:val="1D7274D1"/>
    <w:rsid w:val="1E664F5B"/>
    <w:rsid w:val="1EB34BE1"/>
    <w:rsid w:val="1EE241F9"/>
    <w:rsid w:val="1FFC12EA"/>
    <w:rsid w:val="215E639F"/>
    <w:rsid w:val="21EC3183"/>
    <w:rsid w:val="225E72CD"/>
    <w:rsid w:val="22965A26"/>
    <w:rsid w:val="234D30CC"/>
    <w:rsid w:val="246E2F77"/>
    <w:rsid w:val="2472601F"/>
    <w:rsid w:val="24CE3552"/>
    <w:rsid w:val="254B4E2B"/>
    <w:rsid w:val="25F86928"/>
    <w:rsid w:val="263D1011"/>
    <w:rsid w:val="264145FD"/>
    <w:rsid w:val="269F3049"/>
    <w:rsid w:val="283D7C94"/>
    <w:rsid w:val="28980531"/>
    <w:rsid w:val="29480E03"/>
    <w:rsid w:val="2983634D"/>
    <w:rsid w:val="2B7A2B95"/>
    <w:rsid w:val="2BB02055"/>
    <w:rsid w:val="2C575A56"/>
    <w:rsid w:val="2EF676EE"/>
    <w:rsid w:val="2F257714"/>
    <w:rsid w:val="2F3275E5"/>
    <w:rsid w:val="2F8111CA"/>
    <w:rsid w:val="30AA08EF"/>
    <w:rsid w:val="30D23D1C"/>
    <w:rsid w:val="31221CF5"/>
    <w:rsid w:val="31400178"/>
    <w:rsid w:val="321E3342"/>
    <w:rsid w:val="327759C8"/>
    <w:rsid w:val="33185FE3"/>
    <w:rsid w:val="34EE2E36"/>
    <w:rsid w:val="36777241"/>
    <w:rsid w:val="371E78D5"/>
    <w:rsid w:val="373E08DE"/>
    <w:rsid w:val="38A951DB"/>
    <w:rsid w:val="38B31605"/>
    <w:rsid w:val="38E1218E"/>
    <w:rsid w:val="39003F4F"/>
    <w:rsid w:val="3C07002B"/>
    <w:rsid w:val="3D0D152A"/>
    <w:rsid w:val="3D7C6551"/>
    <w:rsid w:val="3DF62756"/>
    <w:rsid w:val="3E7A47B8"/>
    <w:rsid w:val="3F1B7587"/>
    <w:rsid w:val="3F3C0453"/>
    <w:rsid w:val="40997CC0"/>
    <w:rsid w:val="41E57B4F"/>
    <w:rsid w:val="4310281E"/>
    <w:rsid w:val="432F26F6"/>
    <w:rsid w:val="43880F63"/>
    <w:rsid w:val="441C5A6F"/>
    <w:rsid w:val="44AE4F38"/>
    <w:rsid w:val="44C44FCC"/>
    <w:rsid w:val="44CC7369"/>
    <w:rsid w:val="457F5108"/>
    <w:rsid w:val="46951B6B"/>
    <w:rsid w:val="47610391"/>
    <w:rsid w:val="481E50E4"/>
    <w:rsid w:val="49A34401"/>
    <w:rsid w:val="4A3E30AB"/>
    <w:rsid w:val="4AC14DAC"/>
    <w:rsid w:val="4C5D3A96"/>
    <w:rsid w:val="4CE37B27"/>
    <w:rsid w:val="4D154C85"/>
    <w:rsid w:val="4EB35ECE"/>
    <w:rsid w:val="508F4E24"/>
    <w:rsid w:val="51106B27"/>
    <w:rsid w:val="51461E90"/>
    <w:rsid w:val="51463753"/>
    <w:rsid w:val="52553A93"/>
    <w:rsid w:val="53521F8B"/>
    <w:rsid w:val="53E22F47"/>
    <w:rsid w:val="54522FF8"/>
    <w:rsid w:val="55450629"/>
    <w:rsid w:val="559E6E83"/>
    <w:rsid w:val="56692963"/>
    <w:rsid w:val="568B0F48"/>
    <w:rsid w:val="5786217B"/>
    <w:rsid w:val="59337A15"/>
    <w:rsid w:val="59810274"/>
    <w:rsid w:val="59A3044D"/>
    <w:rsid w:val="5AE661B3"/>
    <w:rsid w:val="5CA96A00"/>
    <w:rsid w:val="5CF730BC"/>
    <w:rsid w:val="5D2C1469"/>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C7E2B1F"/>
    <w:rsid w:val="6CF237A1"/>
    <w:rsid w:val="6D9E65C6"/>
    <w:rsid w:val="6DA81947"/>
    <w:rsid w:val="6EB66DE2"/>
    <w:rsid w:val="6ED3075F"/>
    <w:rsid w:val="6F2A2D4B"/>
    <w:rsid w:val="6F8A0C1E"/>
    <w:rsid w:val="703F45D4"/>
    <w:rsid w:val="715D6546"/>
    <w:rsid w:val="71BE069E"/>
    <w:rsid w:val="73953409"/>
    <w:rsid w:val="73E069A3"/>
    <w:rsid w:val="756A5F2C"/>
    <w:rsid w:val="78104AA8"/>
    <w:rsid w:val="78E257C5"/>
    <w:rsid w:val="78FD502C"/>
    <w:rsid w:val="794B0CB9"/>
    <w:rsid w:val="794B35BE"/>
    <w:rsid w:val="7B0A3A31"/>
    <w:rsid w:val="7B3360ED"/>
    <w:rsid w:val="7BB120FE"/>
    <w:rsid w:val="7BDF037E"/>
    <w:rsid w:val="7BF50948"/>
    <w:rsid w:val="7C16611B"/>
    <w:rsid w:val="7C604AAA"/>
    <w:rsid w:val="7CE66A78"/>
    <w:rsid w:val="7D23564C"/>
    <w:rsid w:val="7D2A766B"/>
    <w:rsid w:val="7D3539C1"/>
    <w:rsid w:val="7D5E062D"/>
    <w:rsid w:val="7DF76CD8"/>
    <w:rsid w:val="7ED75056"/>
    <w:rsid w:val="7F1C0FA5"/>
    <w:rsid w:val="7F695C26"/>
    <w:rsid w:val="7FCF62D3"/>
    <w:rsid w:val="EFFF9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决算收入支出图表</c:v>
                </c:pt>
              </c:strCache>
            </c:strRef>
          </c:tx>
          <c:spPr/>
          <c:explosion val="0"/>
          <c:dPt>
            <c:idx val="0"/>
            <c:bubble3D val="0"/>
            <c:spPr>
              <a:solidFill>
                <a:schemeClr val="accent1"/>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247.77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365.26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156.66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0.5</c:v>
                </c:pt>
                <c:pt idx="1">
                  <c:v>156.66</c:v>
                </c:pt>
                <c:pt idx="2">
                  <c:v>5.33</c:v>
                </c:pt>
                <c:pt idx="3">
                  <c:v>3.63</c:v>
                </c:pt>
                <c:pt idx="4">
                  <c:v>6.7</c:v>
                </c:pt>
              </c:numCache>
            </c:numRef>
          </c:val>
        </c:ser>
        <c:ser>
          <c:idx val="1"/>
          <c:order val="1"/>
          <c:tx>
            <c:strRef>
              <c:f>Sheet1!$C$1</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0"/>
              <c:layout>
                <c:manualLayout>
                  <c:x val="-0.003"/>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1.99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625"/>
                  <c:y val="0.0065126050420168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216.63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1.99</c:v>
                </c:pt>
                <c:pt idx="1">
                  <c:v>216.63</c:v>
                </c:pt>
                <c:pt idx="2">
                  <c:v>12.03</c:v>
                </c:pt>
                <c:pt idx="3">
                  <c:v>8.56</c:v>
                </c:pt>
                <c:pt idx="4">
                  <c:v>8.54</c:v>
                </c:pt>
              </c:numCache>
            </c:numRef>
          </c:val>
        </c:ser>
        <c:dLbls>
          <c:showLegendKey val="0"/>
          <c:showVal val="0"/>
          <c:showCatName val="0"/>
          <c:showSerName val="0"/>
          <c:showPercent val="0"/>
          <c:showBubbleSize val="0"/>
        </c:dLbls>
        <c:gapWidth val="246"/>
        <c:overlap val="-15"/>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manualLayout>
          <c:layoutTarget val="inner"/>
          <c:xMode val="edge"/>
          <c:yMode val="edge"/>
          <c:x val="0.0708954164892862"/>
          <c:y val="0.137045813586098"/>
          <c:w val="0.89788562508869"/>
          <c:h val="0.678001579778831"/>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1.99</c:v>
                </c:pt>
                <c:pt idx="1">
                  <c:v>1.99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201.29</c:v>
                </c:pt>
                <c:pt idx="1">
                  <c:v>2.77</c:v>
                </c:pt>
                <c:pt idx="2">
                  <c:v>213.86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12.03</c:v>
                </c:pt>
                <c:pt idx="1">
                  <c:v>12.03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manualLayout>
          <c:layoutTarget val="inner"/>
          <c:xMode val="edge"/>
          <c:yMode val="edge"/>
          <c:x val="0.0596849723286505"/>
          <c:y val="0.167061611374408"/>
          <c:w val="0.898878955583936"/>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8.56</c:v>
                </c:pt>
                <c:pt idx="1">
                  <c:v>8.56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8.54</c:v>
                </c:pt>
                <c:pt idx="1">
                  <c:v>8.54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50.49</c:v>
                </c:pt>
                <c:pt idx="1">
                  <c:v>10.61</c:v>
                </c:pt>
                <c:pt idx="2">
                  <c:v>24.78</c:v>
                </c:pt>
                <c:pt idx="3">
                  <c:v>0</c:v>
                </c:pt>
                <c:pt idx="4">
                  <c:v>18.86</c:v>
                </c:pt>
                <c:pt idx="5">
                  <c:v>12.03</c:v>
                </c:pt>
                <c:pt idx="6">
                  <c:v>0</c:v>
                </c:pt>
                <c:pt idx="7">
                  <c:v>5.12</c:v>
                </c:pt>
                <c:pt idx="8">
                  <c:v>0</c:v>
                </c:pt>
                <c:pt idx="9">
                  <c:v>0.6</c:v>
                </c:pt>
                <c:pt idx="10">
                  <c:v>8.56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1.99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2412</Words>
  <Characters>3544</Characters>
  <Lines>90</Lines>
  <Paragraphs>25</Paragraphs>
  <TotalTime>14</TotalTime>
  <ScaleCrop>false</ScaleCrop>
  <LinksUpToDate>false</LinksUpToDate>
  <CharactersWithSpaces>3577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hjxjyj</cp:lastModifiedBy>
  <dcterms:modified xsi:type="dcterms:W3CDTF">2025-01-02T03:40:48Z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eyJoZGlkIjoiNjI2ODg3ODRkY2M0MWZjZTg1ZWI2ODkzMjUxNzBmMDQiLCJ1c2VySWQiOiI4OTU5ODk3MjQifQ==</vt:lpwstr>
  </property>
</Properties>
</file>