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仿宋"/>
          <w:sz w:val="32"/>
          <w:szCs w:val="32"/>
          <w:highlight w:val="none"/>
          <w:lang w:val="en-US" w:eastAsia="zh-CN"/>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spacing w:line="560" w:lineRule="exact"/>
        <w:jc w:val="center"/>
        <w:rPr>
          <w:rFonts w:ascii="Times New Roman" w:hAnsi="Times New Roman" w:eastAsia="方正小标宋简体" w:cs="Times New Roman"/>
          <w:b/>
          <w:bCs/>
          <w:kern w:val="0"/>
          <w:sz w:val="48"/>
          <w:szCs w:val="48"/>
        </w:rPr>
      </w:pPr>
      <w:r>
        <w:rPr>
          <w:rFonts w:ascii="Times New Roman" w:hAnsi="Times New Roman" w:eastAsia="方正小标宋简体" w:cs="Times New Roman"/>
          <w:b/>
          <w:bCs/>
          <w:kern w:val="0"/>
          <w:sz w:val="48"/>
          <w:szCs w:val="48"/>
        </w:rPr>
        <w:t>环江毛南族自治县</w:t>
      </w:r>
      <w:r>
        <w:rPr>
          <w:rFonts w:hint="eastAsia" w:ascii="Times New Roman" w:hAnsi="Times New Roman" w:eastAsia="方正小标宋简体" w:cs="Times New Roman"/>
          <w:b/>
          <w:bCs/>
          <w:kern w:val="0"/>
          <w:sz w:val="48"/>
          <w:szCs w:val="48"/>
          <w:lang w:eastAsia="zh-CN"/>
        </w:rPr>
        <w:t>明伦</w:t>
      </w:r>
      <w:r>
        <w:rPr>
          <w:rFonts w:hint="eastAsia" w:ascii="Times New Roman" w:hAnsi="Times New Roman" w:eastAsia="方正小标宋简体" w:cs="Times New Roman"/>
          <w:b/>
          <w:bCs/>
          <w:kern w:val="0"/>
          <w:sz w:val="48"/>
          <w:szCs w:val="48"/>
        </w:rPr>
        <w:t>镇初级中学</w:t>
      </w:r>
      <w:r>
        <w:rPr>
          <w:rFonts w:hint="eastAsia" w:ascii="Times New Roman" w:hAnsi="Times New Roman" w:eastAsia="方正小标宋简体" w:cs="Times New Roman"/>
          <w:b/>
          <w:bCs/>
          <w:kern w:val="0"/>
          <w:sz w:val="48"/>
          <w:szCs w:val="48"/>
          <w:lang w:eastAsia="zh-CN"/>
        </w:rPr>
        <w:t>2023年</w:t>
      </w:r>
      <w:r>
        <w:rPr>
          <w:rFonts w:ascii="Times New Roman" w:hAnsi="Times New Roman" w:eastAsia="方正小标宋简体" w:cs="Times New Roman"/>
          <w:b/>
          <w:bCs/>
          <w:kern w:val="0"/>
          <w:sz w:val="48"/>
          <w:szCs w:val="48"/>
        </w:rPr>
        <w:t>度部门决算</w:t>
      </w: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rPr>
          <w:rFonts w:ascii="Times New Roman" w:hAnsi="Times New Roman" w:eastAsia="方正小标宋简体" w:cs="Times New Roman"/>
          <w:b/>
          <w:bCs/>
          <w:kern w:val="0"/>
          <w:sz w:val="44"/>
          <w:szCs w:val="44"/>
        </w:rPr>
      </w:pPr>
    </w:p>
    <w:p>
      <w:pPr>
        <w:spacing w:line="560" w:lineRule="exact"/>
        <w:rPr>
          <w:rFonts w:ascii="Times New Roman" w:hAnsi="Times New Roman" w:eastAsia="方正小标宋简体" w:cs="Times New Roman"/>
          <w:b/>
          <w:bCs/>
          <w:kern w:val="0"/>
          <w:sz w:val="44"/>
          <w:szCs w:val="44"/>
        </w:rPr>
      </w:pPr>
      <w:bookmarkStart w:id="5" w:name="_GoBack"/>
      <w:bookmarkEnd w:id="5"/>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p>
    <w:p>
      <w:pPr>
        <w:spacing w:line="560" w:lineRule="exact"/>
        <w:ind w:firstLine="2209" w:firstLineChars="500"/>
        <w:rPr>
          <w:rFonts w:hint="default" w:ascii="Times New Roman" w:hAnsi="Times New Roman" w:eastAsia="方正小标宋简体" w:cs="Times New Roman"/>
          <w:b/>
          <w:bCs/>
          <w:kern w:val="0"/>
          <w:sz w:val="44"/>
          <w:szCs w:val="44"/>
          <w:lang w:val="en-US" w:eastAsia="zh-CN"/>
        </w:rPr>
      </w:pPr>
      <w:r>
        <w:rPr>
          <w:rFonts w:hint="eastAsia" w:ascii="Times New Roman" w:hAnsi="Times New Roman" w:eastAsia="方正小标宋简体" w:cs="Times New Roman"/>
          <w:b/>
          <w:bCs/>
          <w:kern w:val="0"/>
          <w:sz w:val="44"/>
          <w:szCs w:val="44"/>
        </w:rPr>
        <w:t>单位负责人：</w:t>
      </w:r>
      <w:r>
        <w:rPr>
          <w:rFonts w:hint="eastAsia" w:ascii="Times New Roman" w:hAnsi="Times New Roman" w:eastAsia="方正小标宋简体" w:cs="Times New Roman"/>
          <w:b/>
          <w:bCs/>
          <w:kern w:val="0"/>
          <w:sz w:val="44"/>
          <w:szCs w:val="44"/>
          <w:lang w:val="en-US" w:eastAsia="zh-CN"/>
        </w:rPr>
        <w:t>周仕伍</w:t>
      </w:r>
    </w:p>
    <w:p>
      <w:pPr>
        <w:spacing w:line="560" w:lineRule="exact"/>
        <w:jc w:val="center"/>
        <w:rPr>
          <w:rFonts w:ascii="Times New Roman" w:hAnsi="Times New Roman" w:eastAsia="方正小标宋简体" w:cs="Times New Roman"/>
          <w:b/>
          <w:bCs/>
          <w:kern w:val="0"/>
          <w:sz w:val="44"/>
          <w:szCs w:val="44"/>
        </w:rPr>
      </w:pPr>
    </w:p>
    <w:p>
      <w:pPr>
        <w:spacing w:line="560" w:lineRule="exact"/>
        <w:jc w:val="center"/>
        <w:rPr>
          <w:rFonts w:ascii="Times New Roman" w:hAnsi="Times New Roman" w:eastAsia="方正小标宋简体" w:cs="Times New Roman"/>
          <w:b/>
          <w:bCs/>
          <w:kern w:val="0"/>
          <w:sz w:val="44"/>
          <w:szCs w:val="44"/>
        </w:rPr>
      </w:pPr>
      <w:r>
        <w:rPr>
          <w:rFonts w:hint="eastAsia" w:ascii="Times New Roman" w:hAnsi="Times New Roman" w:eastAsia="方正小标宋简体" w:cs="Times New Roman"/>
          <w:b/>
          <w:bCs/>
          <w:kern w:val="0"/>
          <w:sz w:val="44"/>
          <w:szCs w:val="44"/>
        </w:rPr>
        <w:t>202</w:t>
      </w:r>
      <w:r>
        <w:rPr>
          <w:rFonts w:ascii="Times New Roman" w:hAnsi="Times New Roman" w:eastAsia="方正小标宋简体" w:cs="Times New Roman"/>
          <w:b/>
          <w:bCs/>
          <w:kern w:val="0"/>
          <w:sz w:val="44"/>
          <w:szCs w:val="44"/>
        </w:rPr>
        <w:t>3</w:t>
      </w:r>
      <w:r>
        <w:rPr>
          <w:rFonts w:hint="eastAsia" w:ascii="Times New Roman" w:hAnsi="Times New Roman" w:eastAsia="方正小标宋简体" w:cs="Times New Roman"/>
          <w:b/>
          <w:bCs/>
          <w:kern w:val="0"/>
          <w:sz w:val="44"/>
          <w:szCs w:val="44"/>
        </w:rPr>
        <w:t>年</w:t>
      </w:r>
      <w:r>
        <w:rPr>
          <w:rFonts w:hint="eastAsia" w:ascii="Times New Roman" w:hAnsi="Times New Roman" w:eastAsia="方正小标宋简体" w:cs="Times New Roman"/>
          <w:b/>
          <w:bCs/>
          <w:kern w:val="0"/>
          <w:sz w:val="44"/>
          <w:szCs w:val="44"/>
          <w:lang w:val="en-US" w:eastAsia="zh-CN"/>
        </w:rPr>
        <w:t>12</w:t>
      </w:r>
      <w:r>
        <w:rPr>
          <w:rFonts w:hint="eastAsia" w:ascii="Times New Roman" w:hAnsi="Times New Roman" w:eastAsia="方正小标宋简体" w:cs="Times New Roman"/>
          <w:b/>
          <w:bCs/>
          <w:kern w:val="0"/>
          <w:sz w:val="44"/>
          <w:szCs w:val="44"/>
        </w:rPr>
        <w:t>月</w:t>
      </w:r>
      <w:r>
        <w:rPr>
          <w:rFonts w:hint="eastAsia" w:ascii="Times New Roman" w:hAnsi="Times New Roman" w:eastAsia="方正小标宋简体" w:cs="Times New Roman"/>
          <w:b/>
          <w:bCs/>
          <w:kern w:val="0"/>
          <w:sz w:val="44"/>
          <w:szCs w:val="44"/>
          <w:lang w:val="en-US" w:eastAsia="zh-CN"/>
        </w:rPr>
        <w:t>3</w:t>
      </w:r>
      <w:r>
        <w:rPr>
          <w:rFonts w:hint="eastAsia" w:ascii="Times New Roman" w:hAnsi="Times New Roman" w:eastAsia="方正小标宋简体" w:cs="Times New Roman"/>
          <w:b/>
          <w:bCs/>
          <w:kern w:val="0"/>
          <w:sz w:val="44"/>
          <w:szCs w:val="44"/>
        </w:rPr>
        <w:t>日</w:t>
      </w:r>
    </w:p>
    <w:p>
      <w:pPr>
        <w:spacing w:line="560" w:lineRule="exact"/>
        <w:jc w:val="center"/>
        <w:rPr>
          <w:rFonts w:ascii="Times New Roman" w:hAnsi="Times New Roman" w:eastAsia="方正小标宋简体" w:cs="Times New Roman"/>
          <w:kern w:val="0"/>
          <w:sz w:val="44"/>
          <w:szCs w:val="44"/>
        </w:rPr>
      </w:pPr>
    </w:p>
    <w:p>
      <w:pPr>
        <w:spacing w:line="560" w:lineRule="exact"/>
        <w:jc w:val="center"/>
        <w:rPr>
          <w:rFonts w:ascii="Times New Roman" w:hAnsi="Times New Roman" w:eastAsia="方正小标宋简体" w:cs="Times New Roman"/>
          <w:kern w:val="0"/>
          <w:sz w:val="44"/>
          <w:szCs w:val="44"/>
        </w:rPr>
      </w:pP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w:t>
      </w:r>
      <w:r>
        <w:rPr>
          <w:rFonts w:hint="eastAsia" w:ascii="黑体" w:hAnsi="黑体" w:eastAsia="黑体" w:cs="黑体"/>
          <w:sz w:val="32"/>
          <w:u w:color="auto"/>
          <w:lang w:eastAsia="zh-CN"/>
        </w:rPr>
        <w:t>明伦</w:t>
      </w:r>
      <w:r>
        <w:rPr>
          <w:rFonts w:ascii="黑体" w:hAnsi="黑体" w:eastAsia="黑体" w:cs="黑体"/>
          <w:sz w:val="32"/>
          <w:u w:color="auto"/>
        </w:rPr>
        <w:t>镇初级中学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明伦</w:t>
      </w:r>
      <w:r>
        <w:rPr>
          <w:rFonts w:ascii="黑体" w:hAnsi="黑体" w:eastAsia="黑体" w:cs="黑体"/>
          <w:sz w:val="32"/>
          <w:u w:color="auto"/>
        </w:rPr>
        <w:t>镇初级中学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表一：收入支出决算总表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表二：收入决算表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表三：支出决算表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表四：财政拨款收入支出决算总表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表五：一般公共预算财政拨款支出决算表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表六：一般公共预算财政拨款基本支出决算明细表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表七：政府性基金预算财政拨款收入支出决算表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表八：国有资本经营预算财政拨款支出决算表</w:t>
      </w:r>
    </w:p>
    <w:p>
      <w:pPr>
        <w:rPr>
          <w:rFonts w:hint="eastAsia" w:ascii="仿宋" w:hAnsi="仿宋" w:eastAsia="仿宋" w:cs="仿宋"/>
          <w:sz w:val="32"/>
          <w:szCs w:val="32"/>
          <w:highlight w:val="none"/>
        </w:rPr>
      </w:pPr>
      <w:r>
        <w:rPr>
          <w:rFonts w:hint="eastAsia" w:ascii="仿宋" w:hAnsi="仿宋" w:eastAsia="仿宋" w:cs="仿宋"/>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明伦</w:t>
      </w:r>
      <w:r>
        <w:rPr>
          <w:rFonts w:ascii="黑体" w:hAnsi="黑体" w:eastAsia="黑体" w:cs="黑体"/>
          <w:sz w:val="32"/>
          <w:u w:color="auto"/>
        </w:rPr>
        <w:t>镇初级中学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度收入支出决算总体情况。</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w:t>
      </w:r>
      <w:r>
        <w:rPr>
          <w:rFonts w:hint="eastAsia" w:ascii="仿宋" w:hAnsi="仿宋" w:eastAsia="仿宋" w:cs="仿宋"/>
          <w:sz w:val="32"/>
          <w:szCs w:val="32"/>
          <w:highlight w:val="none"/>
        </w:rPr>
        <w:t>一般</w:t>
      </w:r>
      <w:r>
        <w:rPr>
          <w:rFonts w:hint="eastAsia" w:ascii="仿宋" w:hAnsi="仿宋" w:eastAsia="仿宋" w:cs="仿宋"/>
          <w:kern w:val="0"/>
          <w:sz w:val="32"/>
          <w:szCs w:val="32"/>
          <w:highlight w:val="none"/>
        </w:rPr>
        <w:t>公共预算财政拨款支出决算情况。</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度一般公共预算财政拨款基本支出决算情况说明。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度政府性基金支出决算情况。</w:t>
      </w:r>
    </w:p>
    <w:p>
      <w:pPr>
        <w:autoSpaceDE w:val="0"/>
        <w:autoSpaceDN w:val="0"/>
        <w:adjustRightInd w:val="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五、</w:t>
      </w:r>
      <w:r>
        <w:rPr>
          <w:rFonts w:hint="eastAsia" w:ascii="仿宋" w:hAnsi="仿宋" w:eastAsia="仿宋" w:cs="仿宋"/>
          <w:kern w:val="0"/>
          <w:sz w:val="32"/>
          <w:szCs w:val="32"/>
          <w:highlight w:val="none"/>
          <w:lang w:eastAsia="zh-CN"/>
        </w:rPr>
        <w:t>2023年</w:t>
      </w:r>
      <w:r>
        <w:rPr>
          <w:rFonts w:hint="eastAsia" w:ascii="仿宋" w:hAnsi="仿宋" w:eastAsia="仿宋" w:cs="仿宋"/>
          <w:kern w:val="0"/>
          <w:sz w:val="32"/>
          <w:szCs w:val="32"/>
          <w:highlight w:val="none"/>
        </w:rPr>
        <w:t>度国有资本经营预算支出决算情况</w:t>
      </w:r>
      <w:r>
        <w:rPr>
          <w:rFonts w:hint="eastAsia" w:ascii="仿宋" w:hAnsi="仿宋" w:eastAsia="仿宋" w:cs="仿宋"/>
          <w:kern w:val="0"/>
          <w:sz w:val="32"/>
          <w:szCs w:val="32"/>
          <w:highlight w:val="none"/>
          <w:lang w:eastAsia="zh-CN"/>
        </w:rPr>
        <w:t>。</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六、财政拨款“三公”经费支出决算情况说明。</w:t>
      </w:r>
    </w:p>
    <w:p>
      <w:pPr>
        <w:autoSpaceDE w:val="0"/>
        <w:autoSpaceDN w:val="0"/>
        <w:adjustRightInd w:val="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七、其他重要事项情况说明。</w:t>
      </w:r>
    </w:p>
    <w:p>
      <w:pPr>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八、预算绩效管理工作开展情况</w:t>
      </w:r>
      <w:r>
        <w:rPr>
          <w:rFonts w:hint="eastAsia" w:ascii="仿宋" w:hAnsi="仿宋" w:eastAsia="仿宋" w:cs="仿宋"/>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w:t>
      </w:r>
      <w:r>
        <w:rPr>
          <w:rFonts w:hint="eastAsia" w:ascii="黑体" w:hAnsi="黑体" w:eastAsia="黑体" w:cs="黑体"/>
          <w:b/>
          <w:sz w:val="32"/>
          <w:u w:color="auto"/>
          <w:lang w:eastAsia="zh-CN"/>
        </w:rPr>
        <w:t>明伦</w:t>
      </w:r>
      <w:r>
        <w:rPr>
          <w:rFonts w:ascii="黑体" w:hAnsi="黑体" w:eastAsia="黑体" w:cs="黑体"/>
          <w:b/>
          <w:sz w:val="32"/>
          <w:u w:color="auto"/>
        </w:rPr>
        <w:t>镇初级中学</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（三）督促检查</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贯彻执行教育方针、政策、法令、法规和上级的各项规定；评估指导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（四）负责推进义务教育均衡发展和促进教育公平，负责义务教育的宏观指导与协</w:t>
      </w:r>
      <w:r>
        <w:rPr>
          <w:rFonts w:hint="eastAsia" w:ascii="仿宋_GB2312" w:eastAsia="仿宋_GB2312" w:cs="仿宋_GB2312"/>
          <w:kern w:val="0"/>
          <w:sz w:val="32"/>
          <w:szCs w:val="32"/>
          <w:lang w:val="en-US" w:eastAsia="zh-CN"/>
        </w:rPr>
        <w:t>调。</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（五）负责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教育系统人才队伍和教师队伍建设，包括</w:t>
      </w:r>
      <w:r>
        <w:rPr>
          <w:rFonts w:hint="eastAsia" w:ascii="仿宋_GB2312" w:eastAsia="仿宋_GB2312" w:cs="仿宋_GB2312"/>
          <w:kern w:val="0"/>
          <w:sz w:val="32"/>
          <w:szCs w:val="32"/>
          <w:lang w:eastAsia="zh-CN"/>
        </w:rPr>
        <w:t>教师</w:t>
      </w:r>
      <w:r>
        <w:rPr>
          <w:rFonts w:hint="eastAsia" w:ascii="仿宋_GB2312" w:eastAsia="仿宋_GB2312" w:cs="仿宋_GB2312"/>
          <w:kern w:val="0"/>
          <w:sz w:val="32"/>
          <w:szCs w:val="32"/>
        </w:rPr>
        <w:t>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（六）负责组织</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做好</w:t>
      </w:r>
      <w:r>
        <w:rPr>
          <w:rFonts w:hint="eastAsia" w:ascii="仿宋_GB2312" w:eastAsia="仿宋_GB2312" w:cs="仿宋_GB2312"/>
          <w:kern w:val="0"/>
          <w:sz w:val="32"/>
          <w:szCs w:val="32"/>
          <w:lang w:val="en-US" w:eastAsia="zh-CN"/>
        </w:rPr>
        <w:t>中学期中、期末测试、中学毕业班测试等</w:t>
      </w:r>
      <w:r>
        <w:rPr>
          <w:rFonts w:hint="eastAsia" w:ascii="仿宋_GB2312" w:eastAsia="仿宋_GB2312" w:cs="仿宋_GB2312"/>
          <w:kern w:val="0"/>
          <w:sz w:val="32"/>
          <w:szCs w:val="32"/>
        </w:rPr>
        <w:t>考务工作、招生录取工作和中学学籍管理工作。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（七）按照中央关于全面推进素质教育要求，负责教育教学管理、教育教学改革及教育教学科学研究工作，检查指导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（九）检查指导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（十一） 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教学教育常规管理评估工作，指导学校德育、体育、卫生、艺术、安全工作以及团组织和</w:t>
      </w:r>
      <w:r>
        <w:rPr>
          <w:rFonts w:hint="eastAsia" w:ascii="仿宋_GB2312" w:eastAsia="仿宋_GB2312" w:cs="仿宋_GB2312"/>
          <w:kern w:val="0"/>
          <w:sz w:val="32"/>
          <w:szCs w:val="32"/>
          <w:lang w:val="en-US" w:eastAsia="zh-CN"/>
        </w:rPr>
        <w:t>共青团</w:t>
      </w:r>
      <w:r>
        <w:rPr>
          <w:rFonts w:hint="eastAsia" w:ascii="仿宋_GB2312" w:eastAsia="仿宋_GB2312" w:cs="仿宋_GB2312"/>
          <w:kern w:val="0"/>
          <w:sz w:val="32"/>
          <w:szCs w:val="32"/>
        </w:rPr>
        <w:t>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的教育督导工作，指导基础教育发展水平。</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）负责全</w:t>
      </w:r>
      <w:r>
        <w:rPr>
          <w:rFonts w:hint="eastAsia" w:ascii="仿宋_GB2312" w:eastAsia="仿宋_GB2312" w:cs="仿宋_GB2312"/>
          <w:kern w:val="0"/>
          <w:sz w:val="32"/>
          <w:szCs w:val="32"/>
          <w:lang w:eastAsia="zh-CN"/>
        </w:rPr>
        <w:t>校</w:t>
      </w:r>
      <w:r>
        <w:rPr>
          <w:rFonts w:hint="eastAsia" w:ascii="仿宋_GB2312" w:eastAsia="仿宋_GB2312" w:cs="仿宋_GB2312"/>
          <w:kern w:val="0"/>
          <w:sz w:val="32"/>
          <w:szCs w:val="32"/>
        </w:rPr>
        <w:t>学生资助管理工作。</w:t>
      </w:r>
    </w:p>
    <w:p>
      <w:pPr>
        <w:numPr>
          <w:ilvl w:val="0"/>
          <w:numId w:val="0"/>
        </w:numPr>
        <w:jc w:val="left"/>
        <w:rPr>
          <w:rFonts w:hint="eastAsia" w:ascii="黑体" w:hAnsi="黑体" w:eastAsia="黑体" w:cs="黑体"/>
          <w:sz w:val="32"/>
          <w:szCs w:val="32"/>
          <w:highlight w:val="none"/>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）负责语言文字和指导推广普通话工作。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w:t>
      </w:r>
      <w:r>
        <w:rPr>
          <w:rFonts w:hint="eastAsia" w:ascii="仿宋" w:hAnsi="仿宋" w:eastAsia="仿宋" w:cs="仿宋"/>
          <w:color w:val="auto"/>
          <w:sz w:val="32"/>
          <w:szCs w:val="32"/>
          <w:lang w:val="en-US" w:eastAsia="zh-CN"/>
        </w:rPr>
        <w:t>明伦中学</w:t>
      </w:r>
      <w:r>
        <w:rPr>
          <w:rFonts w:hint="eastAsia" w:ascii="仿宋" w:hAnsi="仿宋" w:eastAsia="仿宋" w:cs="仿宋"/>
          <w:color w:val="auto"/>
          <w:sz w:val="32"/>
          <w:szCs w:val="32"/>
          <w:lang w:eastAsia="zh-CN"/>
        </w:rPr>
        <w:t>是一所</w:t>
      </w:r>
      <w:r>
        <w:rPr>
          <w:rFonts w:hint="eastAsia" w:ascii="仿宋" w:hAnsi="仿宋" w:eastAsia="仿宋" w:cs="仿宋"/>
          <w:color w:val="auto"/>
          <w:sz w:val="32"/>
          <w:szCs w:val="32"/>
          <w:lang w:val="en-US" w:eastAsia="zh-CN"/>
        </w:rPr>
        <w:t>义务</w:t>
      </w:r>
      <w:r>
        <w:rPr>
          <w:rFonts w:hint="eastAsia" w:ascii="仿宋" w:hAnsi="仿宋" w:eastAsia="仿宋" w:cs="仿宋"/>
          <w:color w:val="auto"/>
          <w:sz w:val="32"/>
          <w:szCs w:val="32"/>
        </w:rPr>
        <w:t>教育学校，202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年部门决算单位1个，</w:t>
      </w:r>
      <w:r>
        <w:rPr>
          <w:rFonts w:hint="eastAsia" w:ascii="仿宋" w:hAnsi="仿宋" w:eastAsia="仿宋" w:cs="仿宋"/>
          <w:color w:val="auto"/>
          <w:sz w:val="32"/>
          <w:szCs w:val="32"/>
          <w:lang w:val="en-US" w:eastAsia="zh-CN"/>
        </w:rPr>
        <w:t>是县</w:t>
      </w:r>
      <w:r>
        <w:rPr>
          <w:rFonts w:hint="eastAsia" w:ascii="仿宋" w:hAnsi="仿宋" w:eastAsia="仿宋" w:cs="仿宋"/>
          <w:color w:val="auto"/>
          <w:sz w:val="32"/>
          <w:szCs w:val="32"/>
        </w:rPr>
        <w:t>直属全额拨款事业单位。环江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w:t>
      </w:r>
      <w:r>
        <w:rPr>
          <w:rFonts w:hint="eastAsia" w:ascii="仿宋" w:hAnsi="仿宋" w:eastAsia="仿宋" w:cs="仿宋"/>
          <w:color w:val="auto"/>
          <w:sz w:val="32"/>
          <w:szCs w:val="32"/>
          <w:lang w:val="en-US" w:eastAsia="zh-CN"/>
        </w:rPr>
        <w:t>明伦中学</w:t>
      </w:r>
      <w:r>
        <w:rPr>
          <w:rFonts w:hint="eastAsia" w:ascii="仿宋" w:hAnsi="仿宋" w:eastAsia="仿宋" w:cs="仿宋"/>
          <w:color w:val="auto"/>
          <w:sz w:val="32"/>
          <w:szCs w:val="32"/>
        </w:rPr>
        <w:t>内设机构:校长室，副校长室，政教</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，教导处，总务处，</w:t>
      </w:r>
      <w:r>
        <w:rPr>
          <w:rFonts w:hint="eastAsia" w:ascii="仿宋" w:hAnsi="仿宋" w:eastAsia="仿宋" w:cs="仿宋"/>
          <w:color w:val="auto"/>
          <w:sz w:val="32"/>
          <w:szCs w:val="32"/>
          <w:lang w:val="en-US" w:eastAsia="zh-CN"/>
        </w:rPr>
        <w:t>工会</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办</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个职能室。</w:t>
      </w:r>
      <w:r>
        <w:rPr>
          <w:rFonts w:hint="eastAsia" w:ascii="仿宋" w:hAnsi="仿宋" w:eastAsia="仿宋" w:cs="仿宋"/>
          <w:color w:val="auto"/>
          <w:sz w:val="32"/>
          <w:szCs w:val="32"/>
          <w:lang w:val="en-US" w:eastAsia="zh-CN"/>
        </w:rPr>
        <w:t>2023年年初在职在</w:t>
      </w:r>
      <w:r>
        <w:rPr>
          <w:rFonts w:hint="eastAsia" w:ascii="仿宋" w:hAnsi="仿宋" w:eastAsia="仿宋" w:cs="仿宋"/>
          <w:color w:val="auto"/>
          <w:sz w:val="32"/>
          <w:szCs w:val="32"/>
          <w:highlight w:val="none"/>
          <w:lang w:val="en-US" w:eastAsia="zh-CN"/>
        </w:rPr>
        <w:t>编70人，4月份调出19人调进1人，2023年年底在职在编52人。</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w:t>
      </w:r>
      <w:r>
        <w:rPr>
          <w:rFonts w:hint="eastAsia" w:ascii="黑体" w:hAnsi="黑体" w:eastAsia="黑体" w:cs="黑体"/>
          <w:sz w:val="32"/>
          <w:u w:color="auto"/>
          <w:lang w:eastAsia="zh-CN"/>
        </w:rPr>
        <w:t>明伦</w:t>
      </w:r>
      <w:r>
        <w:rPr>
          <w:rFonts w:ascii="黑体" w:hAnsi="黑体" w:eastAsia="黑体" w:cs="黑体"/>
          <w:sz w:val="32"/>
          <w:u w:color="auto"/>
        </w:rPr>
        <w:t>镇初级中学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度部门决算报表</w:t>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：收入支出决算总表</w:t>
      </w:r>
    </w:p>
    <w:tbl>
      <w:tblPr>
        <w:tblStyle w:val="6"/>
        <w:tblW w:w="129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3"/>
        <w:gridCol w:w="770"/>
        <w:gridCol w:w="1286"/>
        <w:gridCol w:w="4125"/>
        <w:gridCol w:w="770"/>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00"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8"/>
                <w:szCs w:val="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8"/>
                <w:szCs w:val="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8"/>
                <w:szCs w:val="8"/>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gridSpan w:val="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部门：广西河池市环江毛南族自治县明伦中学</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8"/>
                <w:szCs w:val="8"/>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hint="eastAsia"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w:t>
      </w:r>
      <w:r>
        <w:rPr>
          <w:rFonts w:hint="eastAsia" w:ascii="仿宋" w:hAnsi="仿宋" w:eastAsia="仿宋" w:cs="仿宋"/>
          <w:sz w:val="24"/>
          <w:highlight w:val="none"/>
        </w:rPr>
        <w:t>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222"/>
        <w:gridCol w:w="222"/>
        <w:gridCol w:w="3736"/>
        <w:gridCol w:w="1196"/>
        <w:gridCol w:w="1322"/>
        <w:gridCol w:w="636"/>
        <w:gridCol w:w="636"/>
        <w:gridCol w:w="636"/>
        <w:gridCol w:w="636"/>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07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7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5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1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8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157"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57"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8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9"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385"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1,304.93</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1,304.93</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1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1,009.52</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1,009.52</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1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5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left"/>
        <w:rPr>
          <w:rFonts w:hint="eastAsia" w:ascii="仿宋" w:hAnsi="仿宋" w:eastAsia="仿宋" w:cs="仿宋"/>
          <w:sz w:val="24"/>
          <w:highlight w:val="none"/>
        </w:rPr>
      </w:pPr>
    </w:p>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44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222"/>
        <w:gridCol w:w="222"/>
        <w:gridCol w:w="3736"/>
        <w:gridCol w:w="1366"/>
        <w:gridCol w:w="1366"/>
        <w:gridCol w:w="1124"/>
        <w:gridCol w:w="635"/>
        <w:gridCol w:w="635"/>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412"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1,304.93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486"/>
        <w:gridCol w:w="1398"/>
        <w:gridCol w:w="3280"/>
        <w:gridCol w:w="483"/>
        <w:gridCol w:w="1259"/>
        <w:gridCol w:w="1398"/>
        <w:gridCol w:w="140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6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243" w:type="pct"/>
            <w:gridSpan w:val="4"/>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3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062"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3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3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231"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3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4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3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27"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72"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6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532"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06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32"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1,012.83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1,012.83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62"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1133"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1,304.93</w:t>
            </w:r>
          </w:p>
        </w:tc>
        <w:tc>
          <w:tcPr>
            <w:tcW w:w="49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67" w:type="pct"/>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32" w:type="pct"/>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hint="eastAsia" w:ascii="仿宋" w:hAnsi="仿宋" w:eastAsia="仿宋" w:cs="仿宋"/>
          <w:sz w:val="24"/>
          <w:highlight w:val="none"/>
        </w:rPr>
      </w:pPr>
    </w:p>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5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222"/>
        <w:gridCol w:w="222"/>
        <w:gridCol w:w="3736"/>
        <w:gridCol w:w="1775"/>
        <w:gridCol w:w="1755"/>
        <w:gridCol w:w="2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532"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2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1,304.93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初中教育</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3113"/>
        <w:gridCol w:w="1023"/>
        <w:gridCol w:w="815"/>
        <w:gridCol w:w="2142"/>
        <w:gridCol w:w="720"/>
        <w:gridCol w:w="788"/>
        <w:gridCol w:w="3991"/>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0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09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36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5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663"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0"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36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8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55"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53"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663"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60" w:type="pct"/>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39" w:type="pct"/>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98"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55"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07"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5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8"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5"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07"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987.86</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282.24</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82.91</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289.64</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136.58</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89.81</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35.01</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67.14</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29.97</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29.94</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098"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55"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407"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0" w:type="pct"/>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1,017.83</w:t>
            </w:r>
          </w:p>
        </w:tc>
        <w:tc>
          <w:tcPr>
            <w:tcW w:w="2982" w:type="pct"/>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75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222"/>
        <w:gridCol w:w="222"/>
        <w:gridCol w:w="1096"/>
        <w:gridCol w:w="1444"/>
        <w:gridCol w:w="1444"/>
        <w:gridCol w:w="1444"/>
        <w:gridCol w:w="1444"/>
        <w:gridCol w:w="1444"/>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752"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62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pageBreakBefore w:val="0"/>
        <w:kinsoku/>
        <w:wordWrap/>
        <w:overflowPunct/>
        <w:topLinePunct w:val="0"/>
        <w:bidi w:val="0"/>
        <w:snapToGrid/>
        <w:spacing w:line="240" w:lineRule="auto"/>
        <w:jc w:val="both"/>
        <w:textAlignment w:val="auto"/>
        <w:rPr>
          <w:rFonts w:hint="eastAsia" w:ascii="Times New Roman" w:hAnsi="Times New Roman" w:eastAsia="仿宋_GB2312" w:cs="Times New Roman"/>
          <w:bCs/>
          <w:color w:val="auto"/>
          <w:sz w:val="22"/>
          <w:szCs w:val="22"/>
          <w:u w:val="none"/>
          <w:lang w:eastAsia="zh-CN"/>
        </w:rPr>
      </w:pPr>
      <w:r>
        <w:rPr>
          <w:rFonts w:hint="default" w:ascii="Times New Roman" w:hAnsi="Times New Roman" w:eastAsia="仿宋_GB2312" w:cs="Times New Roman"/>
          <w:color w:val="auto"/>
          <w:sz w:val="22"/>
          <w:szCs w:val="22"/>
          <w:u w:val="none"/>
        </w:rPr>
        <w:t>本部门</w:t>
      </w:r>
      <w:r>
        <w:rPr>
          <w:rFonts w:hint="eastAsia" w:ascii="Times New Roman" w:hAnsi="Times New Roman" w:eastAsia="仿宋_GB2312" w:cs="Times New Roman"/>
          <w:color w:val="auto"/>
          <w:sz w:val="22"/>
          <w:szCs w:val="22"/>
          <w:u w:val="none"/>
          <w:lang w:eastAsia="zh-CN"/>
        </w:rPr>
        <w:t>2023</w:t>
      </w:r>
      <w:r>
        <w:rPr>
          <w:rFonts w:hint="default" w:ascii="Times New Roman" w:hAnsi="Times New Roman" w:eastAsia="仿宋_GB2312" w:cs="Times New Roman"/>
          <w:color w:val="auto"/>
          <w:sz w:val="22"/>
          <w:szCs w:val="22"/>
          <w:u w:val="none"/>
        </w:rPr>
        <w:t>年度没有</w:t>
      </w:r>
      <w:r>
        <w:rPr>
          <w:rFonts w:hint="eastAsia" w:ascii="宋体" w:hAnsi="宋体" w:eastAsia="宋体" w:cs="宋体"/>
          <w:i w:val="0"/>
          <w:iCs w:val="0"/>
          <w:color w:val="000000"/>
          <w:kern w:val="0"/>
          <w:sz w:val="22"/>
          <w:szCs w:val="22"/>
          <w:u w:val="none"/>
          <w:lang w:val="en-US" w:eastAsia="zh-CN" w:bidi="ar"/>
        </w:rPr>
        <w:t>政府性基金</w:t>
      </w:r>
      <w:r>
        <w:rPr>
          <w:rFonts w:hint="default" w:ascii="Times New Roman" w:hAnsi="Times New Roman" w:eastAsia="仿宋_GB2312" w:cs="Times New Roman"/>
          <w:color w:val="auto"/>
          <w:sz w:val="22"/>
          <w:szCs w:val="22"/>
          <w:u w:val="none"/>
        </w:rPr>
        <w:t>收入，也没有</w:t>
      </w:r>
      <w:r>
        <w:rPr>
          <w:rFonts w:hint="eastAsia" w:ascii="宋体" w:hAnsi="宋体" w:eastAsia="宋体" w:cs="宋体"/>
          <w:i w:val="0"/>
          <w:iCs w:val="0"/>
          <w:color w:val="000000"/>
          <w:kern w:val="0"/>
          <w:sz w:val="22"/>
          <w:szCs w:val="22"/>
          <w:u w:val="none"/>
          <w:lang w:val="en-US" w:eastAsia="zh-CN" w:bidi="ar"/>
        </w:rPr>
        <w:t>政府性基金</w:t>
      </w:r>
      <w:r>
        <w:rPr>
          <w:rFonts w:hint="default" w:ascii="Times New Roman" w:hAnsi="Times New Roman" w:eastAsia="仿宋_GB2312" w:cs="Times New Roman"/>
          <w:color w:val="auto"/>
          <w:sz w:val="22"/>
          <w:szCs w:val="22"/>
          <w:u w:val="none"/>
        </w:rPr>
        <w:t>支出，故本表无数据</w:t>
      </w:r>
      <w:r>
        <w:rPr>
          <w:rFonts w:hint="eastAsia" w:ascii="Times New Roman" w:hAnsi="Times New Roman" w:eastAsia="仿宋_GB2312" w:cs="Times New Roman"/>
          <w:color w:val="auto"/>
          <w:sz w:val="22"/>
          <w:szCs w:val="22"/>
          <w:u w:val="none"/>
          <w:lang w:eastAsia="zh-CN"/>
        </w:rPr>
        <w:t>。</w:t>
      </w: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8"/>
        <w:gridCol w:w="281"/>
        <w:gridCol w:w="283"/>
        <w:gridCol w:w="1392"/>
        <w:gridCol w:w="2455"/>
        <w:gridCol w:w="2239"/>
        <w:gridCol w:w="3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4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86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9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0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54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9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4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866"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79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110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7" w:type="pct"/>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91" w:type="pct"/>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6"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04" w:type="pct"/>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4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47" w:type="pct"/>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1" w:type="pct"/>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66"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4" w:type="pct"/>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6"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0"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38" w:type="pct"/>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47"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eastAsia" w:ascii="仿宋" w:hAnsi="仿宋" w:eastAsia="仿宋" w:cs="仿宋"/>
          <w:sz w:val="22"/>
          <w:szCs w:val="22"/>
          <w:highlight w:val="none"/>
          <w:lang w:val="en-US" w:eastAsia="zh-CN"/>
        </w:rPr>
      </w:pPr>
      <w:r>
        <w:rPr>
          <w:rFonts w:hint="default" w:ascii="Times New Roman" w:hAnsi="Times New Roman" w:eastAsia="仿宋_GB2312" w:cs="Times New Roman"/>
          <w:color w:val="auto"/>
          <w:sz w:val="22"/>
          <w:szCs w:val="22"/>
          <w:u w:val="none"/>
        </w:rPr>
        <w:t>本部门</w:t>
      </w:r>
      <w:r>
        <w:rPr>
          <w:rFonts w:hint="eastAsia" w:ascii="Times New Roman" w:hAnsi="Times New Roman" w:eastAsia="仿宋_GB2312" w:cs="Times New Roman"/>
          <w:color w:val="auto"/>
          <w:sz w:val="22"/>
          <w:szCs w:val="22"/>
          <w:u w:val="none"/>
          <w:lang w:eastAsia="zh-CN"/>
        </w:rPr>
        <w:t>2023</w:t>
      </w:r>
      <w:r>
        <w:rPr>
          <w:rFonts w:hint="default" w:ascii="Times New Roman" w:hAnsi="Times New Roman" w:eastAsia="仿宋_GB2312" w:cs="Times New Roman"/>
          <w:color w:val="auto"/>
          <w:sz w:val="22"/>
          <w:szCs w:val="22"/>
          <w:u w:val="none"/>
        </w:rPr>
        <w:t>年度没有</w:t>
      </w:r>
      <w:r>
        <w:rPr>
          <w:rFonts w:hint="eastAsia" w:ascii="宋体" w:hAnsi="宋体" w:eastAsia="宋体" w:cs="宋体"/>
          <w:i w:val="0"/>
          <w:iCs w:val="0"/>
          <w:color w:val="000000"/>
          <w:kern w:val="0"/>
          <w:sz w:val="22"/>
          <w:szCs w:val="22"/>
          <w:u w:val="none"/>
          <w:lang w:val="en-US" w:eastAsia="zh-CN" w:bidi="ar"/>
        </w:rPr>
        <w:t>国有资本经营</w:t>
      </w:r>
      <w:r>
        <w:rPr>
          <w:rFonts w:hint="default" w:ascii="Times New Roman" w:hAnsi="Times New Roman" w:eastAsia="仿宋_GB2312" w:cs="Times New Roman"/>
          <w:color w:val="auto"/>
          <w:sz w:val="22"/>
          <w:szCs w:val="22"/>
          <w:u w:val="none"/>
        </w:rPr>
        <w:t>资金收入，也没有</w:t>
      </w:r>
      <w:r>
        <w:rPr>
          <w:rFonts w:hint="eastAsia" w:ascii="宋体" w:hAnsi="宋体" w:eastAsia="宋体" w:cs="宋体"/>
          <w:i w:val="0"/>
          <w:iCs w:val="0"/>
          <w:color w:val="000000"/>
          <w:kern w:val="0"/>
          <w:sz w:val="22"/>
          <w:szCs w:val="22"/>
          <w:u w:val="none"/>
          <w:lang w:val="en-US" w:eastAsia="zh-CN" w:bidi="ar"/>
        </w:rPr>
        <w:t>国有资本经营</w:t>
      </w:r>
      <w:r>
        <w:rPr>
          <w:rFonts w:hint="default" w:ascii="Times New Roman" w:hAnsi="Times New Roman" w:eastAsia="仿宋_GB2312" w:cs="Times New Roman"/>
          <w:color w:val="auto"/>
          <w:sz w:val="22"/>
          <w:szCs w:val="22"/>
          <w:u w:val="none"/>
        </w:rPr>
        <w:t>资金安排的支出，故本表无数据</w:t>
      </w:r>
      <w:r>
        <w:rPr>
          <w:rFonts w:hint="eastAsia" w:ascii="Times New Roman" w:hAnsi="Times New Roman" w:eastAsia="仿宋_GB2312" w:cs="Times New Roman"/>
          <w:color w:val="auto"/>
          <w:sz w:val="22"/>
          <w:szCs w:val="22"/>
          <w:u w:val="none"/>
          <w:lang w:eastAsia="zh-CN"/>
        </w:rPr>
        <w:t>。</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tbl>
      <w:tblPr>
        <w:tblStyle w:val="6"/>
        <w:tblW w:w="155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6"/>
        <w:gridCol w:w="1293"/>
        <w:gridCol w:w="1000"/>
        <w:gridCol w:w="1000"/>
        <w:gridCol w:w="1000"/>
        <w:gridCol w:w="1000"/>
        <w:gridCol w:w="1000"/>
        <w:gridCol w:w="1293"/>
        <w:gridCol w:w="1000"/>
        <w:gridCol w:w="1000"/>
        <w:gridCol w:w="1000"/>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15516"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部门：环江毛南族自治县明伦镇初级中学</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5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75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5516"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516"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ind w:firstLine="420" w:firstLineChars="0"/>
        <w:jc w:val="left"/>
        <w:rPr>
          <w:rFonts w:ascii="仿宋" w:hAnsi="仿宋" w:eastAsia="仿宋" w:cs="仿宋"/>
          <w:sz w:val="22"/>
          <w:szCs w:val="22"/>
          <w:highlight w:val="none"/>
        </w:rPr>
        <w:sectPr>
          <w:pgSz w:w="16838" w:h="11906" w:orient="landscape"/>
          <w:pgMar w:top="1800" w:right="1440" w:bottom="1800" w:left="1440" w:header="851" w:footer="992" w:gutter="0"/>
          <w:cols w:space="425" w:num="1"/>
          <w:docGrid w:type="lines" w:linePitch="312" w:charSpace="0"/>
        </w:sectPr>
      </w:pPr>
      <w:r>
        <w:rPr>
          <w:rFonts w:hint="default" w:ascii="Times New Roman" w:hAnsi="Times New Roman" w:eastAsia="仿宋_GB2312" w:cs="Times New Roman"/>
          <w:color w:val="auto"/>
          <w:sz w:val="22"/>
          <w:szCs w:val="22"/>
          <w:u w:val="none"/>
        </w:rPr>
        <w:t>本部门</w:t>
      </w:r>
      <w:r>
        <w:rPr>
          <w:rFonts w:hint="eastAsia" w:ascii="Times New Roman" w:hAnsi="Times New Roman" w:eastAsia="仿宋_GB2312" w:cs="Times New Roman"/>
          <w:color w:val="auto"/>
          <w:sz w:val="22"/>
          <w:szCs w:val="22"/>
          <w:u w:val="none"/>
          <w:lang w:eastAsia="zh-CN"/>
        </w:rPr>
        <w:t>2023</w:t>
      </w:r>
      <w:r>
        <w:rPr>
          <w:rFonts w:hint="default" w:ascii="Times New Roman" w:hAnsi="Times New Roman" w:eastAsia="仿宋_GB2312" w:cs="Times New Roman"/>
          <w:color w:val="auto"/>
          <w:sz w:val="22"/>
          <w:szCs w:val="22"/>
          <w:u w:val="none"/>
        </w:rPr>
        <w:t>年度没有</w:t>
      </w:r>
      <w:r>
        <w:rPr>
          <w:rFonts w:hint="eastAsia" w:ascii="Times New Roman" w:hAnsi="Times New Roman" w:eastAsia="仿宋_GB2312" w:cs="Times New Roman"/>
          <w:color w:val="auto"/>
          <w:sz w:val="22"/>
          <w:szCs w:val="22"/>
          <w:u w:val="none"/>
          <w:lang w:eastAsia="zh-CN"/>
        </w:rPr>
        <w:t>“</w:t>
      </w:r>
      <w:r>
        <w:rPr>
          <w:rFonts w:hint="eastAsia" w:ascii="Times New Roman" w:hAnsi="Times New Roman" w:eastAsia="仿宋_GB2312" w:cs="Times New Roman"/>
          <w:color w:val="auto"/>
          <w:sz w:val="22"/>
          <w:szCs w:val="22"/>
          <w:u w:val="none"/>
          <w:lang w:val="en-US" w:eastAsia="zh-CN"/>
        </w:rPr>
        <w:t>三公</w:t>
      </w:r>
      <w:r>
        <w:rPr>
          <w:rFonts w:hint="eastAsia" w:ascii="Times New Roman" w:hAnsi="Times New Roman" w:eastAsia="仿宋_GB2312" w:cs="Times New Roman"/>
          <w:color w:val="auto"/>
          <w:sz w:val="22"/>
          <w:szCs w:val="22"/>
          <w:u w:val="none"/>
          <w:lang w:eastAsia="zh-CN"/>
        </w:rPr>
        <w:t>”</w:t>
      </w:r>
      <w:r>
        <w:rPr>
          <w:rFonts w:hint="default" w:ascii="Times New Roman" w:hAnsi="Times New Roman" w:eastAsia="仿宋_GB2312" w:cs="Times New Roman"/>
          <w:color w:val="auto"/>
          <w:sz w:val="22"/>
          <w:szCs w:val="22"/>
          <w:u w:val="none"/>
        </w:rPr>
        <w:t>资金收入，也没有</w:t>
      </w:r>
      <w:r>
        <w:rPr>
          <w:rFonts w:hint="eastAsia" w:ascii="Times New Roman" w:hAnsi="Times New Roman" w:eastAsia="仿宋_GB2312" w:cs="Times New Roman"/>
          <w:color w:val="auto"/>
          <w:sz w:val="22"/>
          <w:szCs w:val="22"/>
          <w:u w:val="none"/>
          <w:lang w:eastAsia="zh-CN"/>
        </w:rPr>
        <w:t>“</w:t>
      </w:r>
      <w:r>
        <w:rPr>
          <w:rFonts w:hint="eastAsia" w:ascii="Times New Roman" w:hAnsi="Times New Roman" w:eastAsia="仿宋_GB2312" w:cs="Times New Roman"/>
          <w:color w:val="auto"/>
          <w:sz w:val="22"/>
          <w:szCs w:val="22"/>
          <w:u w:val="none"/>
          <w:lang w:val="en-US" w:eastAsia="zh-CN"/>
        </w:rPr>
        <w:t>三公</w:t>
      </w:r>
      <w:r>
        <w:rPr>
          <w:rFonts w:hint="eastAsia" w:ascii="Times New Roman" w:hAnsi="Times New Roman" w:eastAsia="仿宋_GB2312" w:cs="Times New Roman"/>
          <w:color w:val="auto"/>
          <w:sz w:val="22"/>
          <w:szCs w:val="22"/>
          <w:u w:val="none"/>
          <w:lang w:eastAsia="zh-CN"/>
        </w:rPr>
        <w:t>”</w:t>
      </w:r>
      <w:r>
        <w:rPr>
          <w:rFonts w:hint="default" w:ascii="Times New Roman" w:hAnsi="Times New Roman" w:eastAsia="仿宋_GB2312" w:cs="Times New Roman"/>
          <w:color w:val="auto"/>
          <w:sz w:val="22"/>
          <w:szCs w:val="22"/>
          <w:u w:val="none"/>
        </w:rPr>
        <w:t>资金安排的支出，故本表无数据</w:t>
      </w:r>
      <w:r>
        <w:rPr>
          <w:rFonts w:hint="eastAsia" w:ascii="Times New Roman" w:hAnsi="Times New Roman" w:eastAsia="仿宋_GB2312" w:cs="Times New Roman"/>
          <w:color w:val="auto"/>
          <w:sz w:val="22"/>
          <w:szCs w:val="22"/>
          <w:u w:val="none"/>
          <w:lang w:eastAsia="zh-CN"/>
        </w:rPr>
        <w:t>。</w:t>
      </w: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w:t>
      </w:r>
      <w:r>
        <w:rPr>
          <w:rFonts w:hint="eastAsia" w:ascii="黑体" w:hAnsi="黑体" w:eastAsia="黑体" w:cs="黑体"/>
          <w:sz w:val="32"/>
          <w:u w:color="auto"/>
          <w:lang w:eastAsia="zh-CN"/>
        </w:rPr>
        <w:t>明伦</w:t>
      </w:r>
      <w:r>
        <w:rPr>
          <w:rFonts w:ascii="黑体" w:hAnsi="黑体" w:eastAsia="黑体" w:cs="黑体"/>
          <w:sz w:val="32"/>
          <w:u w:color="auto"/>
        </w:rPr>
        <w:t>镇初级中学</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度收入支出决算总体情况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（一）本部门</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年度总收入</w:t>
      </w:r>
      <w:r>
        <w:rPr>
          <w:rFonts w:hint="eastAsia" w:ascii="Times New Roman" w:hAnsi="Times New Roman" w:eastAsia="仿宋_GB2312" w:cs="Times New Roman"/>
          <w:kern w:val="0"/>
          <w:sz w:val="32"/>
          <w:szCs w:val="32"/>
          <w:lang w:eastAsia="zh-CN"/>
        </w:rPr>
        <w:t>1304.93</w:t>
      </w:r>
      <w:r>
        <w:rPr>
          <w:rFonts w:hint="default" w:ascii="Times New Roman" w:hAnsi="Times New Roman" w:eastAsia="仿宋_GB2312" w:cs="Times New Roman"/>
          <w:kern w:val="0"/>
          <w:sz w:val="32"/>
          <w:szCs w:val="32"/>
        </w:rPr>
        <w:t>万元， 较</w:t>
      </w:r>
      <w:r>
        <w:rPr>
          <w:rFonts w:hint="eastAsia" w:ascii="Times New Roman" w:hAnsi="Times New Roman"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年度决算数增加</w:t>
      </w:r>
      <w:r>
        <w:rPr>
          <w:rFonts w:hint="eastAsia" w:ascii="Times New Roman" w:hAnsi="Times New Roman" w:eastAsia="仿宋_GB2312" w:cs="Times New Roman"/>
          <w:kern w:val="0"/>
          <w:sz w:val="32"/>
          <w:szCs w:val="32"/>
          <w:lang w:val="en-US" w:eastAsia="zh-CN"/>
        </w:rPr>
        <w:t>69.31</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5.6</w:t>
      </w:r>
      <w:r>
        <w:rPr>
          <w:rFonts w:hint="default" w:ascii="Times New Roman" w:hAnsi="Times New Roman" w:eastAsia="仿宋_GB2312" w:cs="Times New Roman"/>
          <w:kern w:val="0"/>
          <w:sz w:val="32"/>
          <w:szCs w:val="32"/>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仿宋" w:hAnsi="仿宋" w:eastAsia="仿宋" w:cs="仿宋"/>
          <w:color w:val="000000" w:themeColor="text1"/>
          <w:sz w:val="32"/>
          <w:szCs w:val="32"/>
          <w:lang w:val="en-US" w:eastAsia="zh-CN" w:bidi="ar"/>
          <w14:textFill>
            <w14:solidFill>
              <w14:schemeClr w14:val="tx1"/>
            </w14:solidFill>
          </w14:textFill>
        </w:rPr>
      </w:pPr>
      <w:r>
        <w:rPr>
          <w:rFonts w:hint="default" w:ascii="Times New Roman" w:hAnsi="Times New Roman" w:eastAsia="仿宋_GB2312" w:cs="Times New Roman"/>
          <w:kern w:val="0"/>
          <w:sz w:val="32"/>
          <w:szCs w:val="32"/>
        </w:rPr>
        <w:t>1.一般公共预算财政拨款收入</w:t>
      </w:r>
      <w:r>
        <w:rPr>
          <w:rFonts w:hint="eastAsia" w:ascii="Times New Roman" w:hAnsi="Times New Roman" w:eastAsia="仿宋_GB2312" w:cs="Times New Roman"/>
          <w:kern w:val="0"/>
          <w:sz w:val="32"/>
          <w:szCs w:val="32"/>
          <w:lang w:eastAsia="zh-CN"/>
        </w:rPr>
        <w:t>1304.93</w:t>
      </w:r>
      <w:r>
        <w:rPr>
          <w:rFonts w:hint="default" w:ascii="Times New Roman" w:hAnsi="Times New Roman" w:eastAsia="仿宋_GB2312" w:cs="Times New Roman"/>
          <w:kern w:val="0"/>
          <w:sz w:val="32"/>
          <w:szCs w:val="32"/>
        </w:rPr>
        <w:t>万元，为自治区本级财政当年拨付的资金。较</w:t>
      </w:r>
      <w:r>
        <w:rPr>
          <w:rFonts w:hint="eastAsia" w:ascii="Times New Roman" w:hAnsi="Times New Roman" w:eastAsia="仿宋_GB2312" w:cs="Times New Roman"/>
          <w:kern w:val="0"/>
          <w:sz w:val="32"/>
          <w:szCs w:val="32"/>
          <w:lang w:eastAsia="zh-CN"/>
        </w:rPr>
        <w:t>2022</w:t>
      </w:r>
      <w:r>
        <w:rPr>
          <w:rFonts w:hint="default" w:ascii="Times New Roman" w:hAnsi="Times New Roman" w:eastAsia="仿宋_GB2312" w:cs="Times New Roman"/>
          <w:kern w:val="0"/>
          <w:sz w:val="32"/>
          <w:szCs w:val="32"/>
        </w:rPr>
        <w:t>年度决算数增加</w:t>
      </w:r>
      <w:r>
        <w:rPr>
          <w:rFonts w:hint="eastAsia" w:ascii="Times New Roman" w:hAnsi="Times New Roman" w:eastAsia="仿宋_GB2312" w:cs="Times New Roman"/>
          <w:kern w:val="0"/>
          <w:sz w:val="32"/>
          <w:szCs w:val="32"/>
          <w:lang w:val="en-US" w:eastAsia="zh-CN"/>
        </w:rPr>
        <w:t>69.31</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5.6</w:t>
      </w:r>
      <w:r>
        <w:rPr>
          <w:rFonts w:hint="default" w:ascii="Times New Roman" w:hAnsi="Times New Roman" w:eastAsia="仿宋_GB2312" w:cs="Times New Roman"/>
          <w:kern w:val="0"/>
          <w:sz w:val="32"/>
          <w:szCs w:val="32"/>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000000" w:themeColor="text1"/>
          <w:sz w:val="32"/>
          <w:szCs w:val="32"/>
          <w:lang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bidi="ar"/>
          <w14:textFill>
            <w14:solidFill>
              <w14:schemeClr w14:val="tx1"/>
            </w14:solidFill>
          </w14:textFill>
        </w:rPr>
        <w:t>教师社保、公积金基数调整提升、教师晋岗、进薪级工资提高。</w:t>
      </w:r>
    </w:p>
    <w:p>
      <w:pPr>
        <w:ind w:firstLine="640" w:firstLineChars="200"/>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sz w:val="32"/>
          <w:szCs w:val="32"/>
          <w:lang w:bidi="ar"/>
          <w14:textFill>
            <w14:solidFill>
              <w14:schemeClr w14:val="tx1"/>
            </w14:solidFill>
          </w14:textFill>
        </w:rPr>
        <w:t>主要原因：本单位没有政府性基金预算财政拨款收入。</w:t>
      </w:r>
      <w:r>
        <w:rPr>
          <w:rFonts w:ascii="仿宋" w:hAnsi="仿宋" w:eastAsia="仿宋" w:cs="Times New Roman"/>
          <w:color w:val="000000" w:themeColor="text1"/>
          <w:sz w:val="32"/>
          <w:szCs w:val="32"/>
          <w14:textFill>
            <w14:solidFill>
              <w14:schemeClr w14:val="tx1"/>
            </w14:solidFill>
          </w14:textFill>
        </w:rPr>
        <w:t xml:space="preserve"> </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color w:val="auto"/>
          <w:kern w:val="2"/>
          <w:sz w:val="32"/>
          <w:szCs w:val="32"/>
          <w:highlight w:val="none"/>
          <w:lang w:val="en-US" w:eastAsia="zh-CN" w:bidi="ar"/>
        </w:rPr>
        <w:t>结转和结余。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度总支出</w:t>
      </w:r>
      <w:r>
        <w:rPr>
          <w:rFonts w:hint="eastAsia" w:ascii="仿宋" w:hAnsi="仿宋" w:eastAsia="仿宋" w:cs="仿宋"/>
          <w:sz w:val="32"/>
          <w:u w:color="auto"/>
          <w:lang w:eastAsia="zh-CN"/>
        </w:rPr>
        <w:t>1304.93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eastAsia="zh-CN"/>
        </w:rPr>
        <w:t>1304.93</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u w:color="auto"/>
          <w:lang w:val="en-US" w:eastAsia="zh-CN"/>
        </w:rPr>
        <w:t>增加</w:t>
      </w:r>
      <w:r>
        <w:rPr>
          <w:rFonts w:hint="eastAsia" w:ascii="Times New Roman" w:hAnsi="Times New Roman" w:eastAsia="仿宋_GB2312" w:cs="Times New Roman"/>
          <w:kern w:val="0"/>
          <w:sz w:val="32"/>
          <w:szCs w:val="32"/>
          <w:lang w:val="en-US" w:eastAsia="zh-CN"/>
        </w:rPr>
        <w:t>69.31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eastAsia" w:ascii="Times New Roman" w:hAnsi="Times New Roman" w:eastAsia="仿宋_GB2312" w:cs="Times New Roman"/>
          <w:kern w:val="0"/>
          <w:sz w:val="32"/>
          <w:szCs w:val="32"/>
          <w:lang w:val="en-US" w:eastAsia="zh-CN"/>
        </w:rPr>
        <w:t>5.6</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教师工会经费活动支出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0.88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7.09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val="en-US" w:eastAsia="zh-CN"/>
          <w14:textFill>
            <w14:solidFill>
              <w14:schemeClr w14:val="tx1"/>
            </w14:solidFill>
          </w14:textFill>
        </w:rPr>
        <w:t>教师工会经费指标提升。</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1012.82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人员基本工资，商品服务支出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增加</w:t>
      </w:r>
      <w:r>
        <w:rPr>
          <w:rFonts w:hint="eastAsia" w:ascii="仿宋" w:hAnsi="仿宋" w:eastAsia="仿宋" w:cs="仿宋"/>
          <w:sz w:val="32"/>
          <w:szCs w:val="32"/>
          <w:highlight w:val="none"/>
          <w:lang w:val="en-US" w:eastAsia="zh-CN" w:bidi="ar"/>
        </w:rPr>
        <w:t>94.33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上升</w:t>
      </w:r>
      <w:r>
        <w:rPr>
          <w:rFonts w:hint="eastAsia" w:ascii="仿宋" w:hAnsi="仿宋" w:eastAsia="仿宋" w:cs="仿宋"/>
          <w:sz w:val="32"/>
          <w:szCs w:val="32"/>
          <w:highlight w:val="none"/>
          <w:lang w:val="en-US" w:eastAsia="zh-CN" w:bidi="ar"/>
        </w:rPr>
        <w:t>10.27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主要原因是：教师晋岗、晋薪级，工资提高。</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89.81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单位基本养老缴费和社保费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rPr>
        <w:t>减少</w:t>
      </w:r>
      <w:r>
        <w:rPr>
          <w:rFonts w:hint="eastAsia" w:ascii="仿宋" w:hAnsi="仿宋" w:eastAsia="仿宋" w:cs="仿宋"/>
          <w:sz w:val="32"/>
          <w:szCs w:val="32"/>
          <w:highlight w:val="none"/>
          <w:lang w:val="en-US" w:eastAsia="zh-CN" w:bidi="ar"/>
        </w:rPr>
        <w:t>0.89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w:t>
      </w:r>
      <w:r>
        <w:rPr>
          <w:rFonts w:hint="eastAsia" w:ascii="仿宋" w:hAnsi="仿宋" w:eastAsia="仿宋" w:cs="仿宋"/>
          <w:sz w:val="32"/>
          <w:szCs w:val="32"/>
          <w:highlight w:val="none"/>
          <w:lang w:val="en-US" w:eastAsia="zh-CN" w:bidi="ar"/>
        </w:rPr>
        <w:t>0.98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bookmarkStart w:id="0" w:name="_Hlk151050303"/>
      <w:r>
        <w:rPr>
          <w:rFonts w:hint="eastAsia" w:ascii="仿宋" w:hAnsi="仿宋" w:eastAsia="仿宋" w:cs="仿宋"/>
          <w:color w:val="000000" w:themeColor="text1"/>
          <w:sz w:val="32"/>
          <w:szCs w:val="32"/>
          <w:lang w:bidi="ar"/>
          <w14:textFill>
            <w14:solidFill>
              <w14:schemeClr w14:val="tx1"/>
            </w14:solidFill>
          </w14:textFill>
        </w:rPr>
        <w:t>教师</w:t>
      </w:r>
      <w:bookmarkEnd w:id="0"/>
      <w:r>
        <w:rPr>
          <w:rFonts w:hint="eastAsia" w:ascii="仿宋" w:hAnsi="仿宋" w:eastAsia="仿宋" w:cs="仿宋"/>
          <w:color w:val="000000" w:themeColor="text1"/>
          <w:sz w:val="32"/>
          <w:szCs w:val="32"/>
          <w:lang w:val="en-US" w:eastAsia="zh-CN" w:bidi="ar"/>
          <w14:textFill>
            <w14:solidFill>
              <w14:schemeClr w14:val="tx1"/>
            </w14:solidFill>
          </w14:textFill>
        </w:rPr>
        <w:t>人员调动，本单位整体基数下变少。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lang w:val="en-US"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67.14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rPr>
        <w:t>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val="en-US" w:eastAsia="zh-CN" w:bidi="ar"/>
        </w:rPr>
        <w:t>下降1.03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下降1.51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教师</w:t>
      </w:r>
      <w:r>
        <w:rPr>
          <w:rFonts w:hint="eastAsia" w:ascii="仿宋" w:hAnsi="仿宋" w:eastAsia="仿宋" w:cs="仿宋"/>
          <w:color w:val="000000" w:themeColor="text1"/>
          <w:sz w:val="32"/>
          <w:szCs w:val="32"/>
          <w:lang w:val="en-US" w:eastAsia="zh-CN" w:bidi="ar"/>
          <w14:textFill>
            <w14:solidFill>
              <w14:schemeClr w14:val="tx1"/>
            </w14:solidFill>
          </w14:textFill>
        </w:rPr>
        <w:t>人员调动，本单位整体基数下变少。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121.84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lang w:bidi="ar"/>
          <w14:textFill>
            <w14:solidFill>
              <w14:schemeClr w14:val="tx1"/>
            </w14:solidFill>
          </w14:textFill>
        </w:rPr>
        <w:t>主要用于</w:t>
      </w:r>
      <w:r>
        <w:rPr>
          <w:rFonts w:hint="eastAsia" w:ascii="仿宋" w:hAnsi="仿宋" w:eastAsia="仿宋" w:cs="仿宋"/>
          <w:color w:val="000000" w:themeColor="text1"/>
          <w:sz w:val="32"/>
          <w:szCs w:val="32"/>
          <w:lang w:val="en-US" w:eastAsia="zh-CN" w:bidi="ar"/>
          <w14:textFill>
            <w14:solidFill>
              <w14:schemeClr w14:val="tx1"/>
            </w14:solidFill>
          </w14:textFill>
        </w:rPr>
        <w:t>部分</w:t>
      </w:r>
      <w:r>
        <w:rPr>
          <w:rFonts w:hint="eastAsia" w:ascii="仿宋" w:hAnsi="仿宋" w:eastAsia="仿宋" w:cs="仿宋"/>
          <w:color w:val="000000" w:themeColor="text1"/>
          <w:sz w:val="32"/>
          <w:szCs w:val="32"/>
          <w:lang w:bidi="ar"/>
          <w14:textFill>
            <w14:solidFill>
              <w14:schemeClr w14:val="tx1"/>
            </w14:solidFill>
          </w14:textFill>
        </w:rPr>
        <w:t>人员工资福利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24.00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16.46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教师</w:t>
      </w:r>
      <w:r>
        <w:rPr>
          <w:rFonts w:hint="eastAsia" w:ascii="仿宋" w:hAnsi="仿宋" w:eastAsia="仿宋" w:cs="仿宋"/>
          <w:color w:val="000000" w:themeColor="text1"/>
          <w:sz w:val="32"/>
          <w:szCs w:val="32"/>
          <w:lang w:val="en-US" w:eastAsia="zh-CN" w:bidi="ar"/>
          <w14:textFill>
            <w14:solidFill>
              <w14:schemeClr w14:val="tx1"/>
            </w14:solidFill>
          </w14:textFill>
        </w:rPr>
        <w:t>人员调动，本单位整体基数下变少，新增退休人员。</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结余分配0.00万元，为事业单位按规定提取的专用结余、缴纳所得税和转入非财政拨款结余等。较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决算0.00万元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增加0.00万元，增长0%，</w:t>
      </w:r>
      <w:r>
        <w:rPr>
          <w:rFonts w:hint="eastAsia" w:ascii="仿宋" w:hAnsi="仿宋" w:eastAsia="仿宋" w:cs="仿宋"/>
          <w:color w:val="000000" w:themeColor="text1"/>
          <w:sz w:val="31"/>
          <w:szCs w:val="31"/>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：部分项目</w:t>
      </w:r>
      <w:bookmarkStart w:id="1" w:name="_Hlk151050670"/>
      <w:r>
        <w:rPr>
          <w:rFonts w:hint="eastAsia" w:ascii="仿宋" w:hAnsi="仿宋" w:eastAsia="仿宋" w:cs="仿宋"/>
          <w:color w:val="000000" w:themeColor="text1"/>
          <w:sz w:val="32"/>
          <w:szCs w:val="32"/>
          <w:lang w:bidi="ar"/>
          <w14:textFill>
            <w14:solidFill>
              <w14:schemeClr w14:val="tx1"/>
            </w14:solidFill>
          </w14:textFill>
        </w:rPr>
        <w:t>已在本年执行完毕，不需要结转至下年继续执行。</w:t>
      </w:r>
      <w:bookmarkEnd w:id="1"/>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主要原因是：本单位无结转结余。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val="en-US" w:eastAsia="zh-CN"/>
        </w:rPr>
        <w:t>2023</w:t>
      </w:r>
      <w:r>
        <w:rPr>
          <w:rFonts w:hint="eastAsia" w:ascii="黑体" w:hAnsi="黑体" w:eastAsia="黑体" w:cs="黑体"/>
          <w:sz w:val="32"/>
          <w:szCs w:val="32"/>
          <w:highlight w:val="none"/>
        </w:rPr>
        <w:t>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度一般公共预算财政拨款支出</w:t>
      </w:r>
      <w:r>
        <w:rPr>
          <w:rFonts w:hint="eastAsia" w:ascii="仿宋" w:hAnsi="仿宋" w:eastAsia="仿宋" w:cs="仿宋"/>
          <w:sz w:val="32"/>
          <w:u w:color="auto"/>
          <w:lang w:eastAsia="zh-CN"/>
        </w:rPr>
        <w:t>1304.93</w:t>
      </w:r>
      <w:r>
        <w:rPr>
          <w:rFonts w:hint="eastAsia" w:ascii="仿宋" w:hAnsi="仿宋" w:eastAsia="仿宋" w:cs="仿宋"/>
          <w:sz w:val="32"/>
          <w:szCs w:val="32"/>
          <w:highlight w:val="none"/>
        </w:rPr>
        <w:t>万元，较2022年度决算数增加</w:t>
      </w:r>
      <w:r>
        <w:rPr>
          <w:rFonts w:hint="eastAsia" w:ascii="仿宋" w:hAnsi="仿宋" w:eastAsia="仿宋" w:cs="仿宋"/>
          <w:sz w:val="32"/>
          <w:szCs w:val="32"/>
          <w:highlight w:val="none"/>
          <w:lang w:val="en-US" w:eastAsia="zh-CN"/>
        </w:rPr>
        <w:t>69.31</w:t>
      </w:r>
      <w:r>
        <w:rPr>
          <w:rFonts w:hint="eastAsia" w:ascii="仿宋" w:hAnsi="仿宋" w:eastAsia="仿宋" w:cs="仿宋"/>
          <w:sz w:val="32"/>
          <w:szCs w:val="32"/>
          <w:highlight w:val="none"/>
        </w:rPr>
        <w:t>万元，上升</w:t>
      </w:r>
      <w:r>
        <w:rPr>
          <w:rFonts w:hint="eastAsia" w:ascii="仿宋" w:hAnsi="仿宋" w:eastAsia="仿宋" w:cs="仿宋"/>
          <w:sz w:val="32"/>
          <w:szCs w:val="32"/>
          <w:highlight w:val="none"/>
          <w:lang w:val="en-US" w:eastAsia="zh-CN"/>
        </w:rPr>
        <w:t>5.61</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1031.13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273.79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年度一般公共预算财政拨款支出年初预算为</w:t>
      </w:r>
      <w:r>
        <w:rPr>
          <w:rFonts w:hint="eastAsia" w:ascii="Times New Roman" w:hAnsi="Times New Roman" w:eastAsia="仿宋_GB2312" w:cs="Times New Roman"/>
          <w:bCs/>
          <w:kern w:val="0"/>
          <w:sz w:val="32"/>
          <w:szCs w:val="32"/>
          <w:lang w:val="en-US" w:eastAsia="zh-CN"/>
        </w:rPr>
        <w:t>904.35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eastAsia="zh-CN"/>
        </w:rPr>
        <w:t>1304.93</w:t>
      </w:r>
      <w:r>
        <w:rPr>
          <w:rFonts w:hint="eastAsia" w:ascii="仿宋" w:hAnsi="仿宋" w:eastAsia="仿宋" w:cs="仿宋"/>
          <w:sz w:val="32"/>
          <w:szCs w:val="32"/>
          <w:highlight w:val="none"/>
        </w:rPr>
        <w:t>万元，完成年初预算的</w:t>
      </w:r>
      <w:r>
        <w:rPr>
          <w:rFonts w:hint="eastAsia" w:ascii="Times New Roman" w:hAnsi="Times New Roman" w:eastAsia="仿宋_GB2312" w:cs="Times New Roman"/>
          <w:bCs/>
          <w:kern w:val="0"/>
          <w:sz w:val="32"/>
          <w:szCs w:val="32"/>
          <w:highlight w:val="none"/>
          <w:lang w:val="en-US" w:eastAsia="zh-CN"/>
        </w:rPr>
        <w:t>144.29</w:t>
      </w:r>
      <w:r>
        <w:rPr>
          <w:rFonts w:ascii="仿宋" w:hAnsi="仿宋" w:eastAsia="仿宋" w:cs="仿宋"/>
          <w:sz w:val="32"/>
          <w:u w:color="auto"/>
        </w:rPr>
        <w:t>%</w:t>
      </w:r>
      <w:r>
        <w:rPr>
          <w:rFonts w:hint="eastAsia" w:ascii="仿宋" w:hAnsi="仿宋" w:eastAsia="仿宋" w:cs="仿宋"/>
          <w:sz w:val="32"/>
          <w:szCs w:val="32"/>
          <w:highlight w:val="none"/>
        </w:rPr>
        <w:t>。</w:t>
      </w:r>
    </w:p>
    <w:p>
      <w:pPr>
        <w:jc w:val="left"/>
        <w:rPr>
          <w:rFonts w:hint="eastAsia" w:ascii="仿宋" w:hAnsi="仿宋" w:eastAsia="仿宋"/>
          <w:sz w:val="32"/>
          <w:szCs w:val="32"/>
          <w:highlight w:val="none"/>
        </w:rPr>
      </w:pPr>
      <w:bookmarkStart w:id="3" w:name="OLE_LINK2"/>
      <w:bookmarkEnd w:id="3"/>
      <w:r>
        <w:rPr>
          <w:rFonts w:hint="eastAsia" w:ascii="仿宋" w:hAnsi="仿宋" w:eastAsia="仿宋"/>
          <w:sz w:val="32"/>
          <w:szCs w:val="32"/>
          <w:highlight w:val="none"/>
        </w:rPr>
        <w:t xml:space="preserve"> </w:t>
      </w:r>
    </w:p>
    <w:p>
      <w:pPr>
        <w:rPr>
          <w:rFonts w:hint="eastAsia" w:ascii="仿宋" w:hAnsi="仿宋" w:eastAsia="仿宋"/>
          <w:sz w:val="32"/>
          <w:szCs w:val="32"/>
          <w:highlight w:val="none"/>
        </w:rPr>
      </w:pPr>
      <w:r>
        <w:rPr>
          <w:rFonts w:hint="eastAsia" w:ascii="仿宋" w:hAnsi="仿宋" w:eastAsia="仿宋"/>
          <w:sz w:val="32"/>
          <w:szCs w:val="32"/>
          <w:highlight w:val="none"/>
        </w:rPr>
        <w:br w:type="page"/>
      </w:r>
    </w:p>
    <w:p>
      <w:pPr>
        <w:jc w:val="left"/>
        <w:rPr>
          <w:rFonts w:hint="eastAsia" w:ascii="仿宋" w:hAnsi="仿宋" w:eastAsia="仿宋"/>
          <w:sz w:val="32"/>
          <w:szCs w:val="32"/>
          <w:highlight w:val="none"/>
        </w:rPr>
      </w:pPr>
    </w:p>
    <w:p>
      <w:pPr>
        <w:keepNext w:val="0"/>
        <w:keepLines w:val="0"/>
        <w:widowControl w:val="0"/>
        <w:numPr>
          <w:ilvl w:val="0"/>
          <w:numId w:val="2"/>
        </w:numPr>
        <w:suppressLineNumbers w:val="0"/>
        <w:spacing w:before="0" w:beforeAutospacing="0" w:after="0" w:afterAutospacing="0"/>
        <w:ind w:left="21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13.30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rPr>
        <w:t>预决算没有差异</w:t>
      </w:r>
      <w:r>
        <w:rPr>
          <w:rFonts w:hint="eastAsia" w:ascii="仿宋" w:hAnsi="仿宋" w:eastAsia="仿宋" w:cs="仿宋"/>
          <w:sz w:val="32"/>
          <w:szCs w:val="32"/>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numPr>
          <w:ilvl w:val="0"/>
          <w:numId w:val="2"/>
        </w:numPr>
        <w:ind w:left="210" w:leftChars="0" w:firstLineChars="0"/>
        <w:jc w:val="left"/>
        <w:rPr>
          <w:rFonts w:hint="eastAsia" w:ascii="仿宋" w:hAnsi="仿宋" w:eastAsia="仿宋"/>
          <w:sz w:val="32"/>
          <w:szCs w:val="32"/>
          <w:highlight w:val="none"/>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_GB2312"/>
          <w:sz w:val="32"/>
          <w:szCs w:val="32"/>
          <w:lang w:val="en-US" w:eastAsia="zh-CN"/>
        </w:rPr>
        <w:t>697.28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1012.82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145.25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原因是：一是该类支出部分资金上级部门每年都有预算，直接下达，本部门无需做预算，</w:t>
      </w:r>
      <w:r>
        <w:rPr>
          <w:rFonts w:hint="eastAsia" w:ascii="仿宋" w:hAnsi="仿宋" w:eastAsia="仿宋" w:cs="仿宋"/>
          <w:color w:val="000000" w:themeColor="text1"/>
          <w:sz w:val="32"/>
          <w:szCs w:val="32"/>
          <w:lang w:eastAsia="zh-CN" w:bidi="ar"/>
          <w14:textFill>
            <w14:solidFill>
              <w14:schemeClr w14:val="tx1"/>
            </w14:solidFill>
          </w14:textFill>
        </w:rPr>
        <w:t>2023年</w:t>
      </w:r>
      <w:r>
        <w:rPr>
          <w:rFonts w:hint="eastAsia" w:ascii="仿宋" w:hAnsi="仿宋" w:eastAsia="仿宋" w:cs="仿宋"/>
          <w:color w:val="000000" w:themeColor="text1"/>
          <w:sz w:val="32"/>
          <w:szCs w:val="32"/>
          <w:lang w:val="en-US" w:eastAsia="zh-CN" w:bidi="ar"/>
          <w14:textFill>
            <w14:solidFill>
              <w14:schemeClr w14:val="tx1"/>
            </w14:solidFill>
          </w14:textFill>
        </w:rPr>
        <w:t>教师岗位、薪级晋升，工资提高，</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74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14"/>
        <w:gridCol w:w="1114"/>
        <w:gridCol w:w="1145"/>
        <w:gridCol w:w="1110"/>
        <w:gridCol w:w="1105"/>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1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2050203</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初中教育</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697.28</w:t>
            </w:r>
          </w:p>
        </w:tc>
        <w:tc>
          <w:tcPr>
            <w:tcW w:w="1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1,009.52</w:t>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144.78%</w:t>
            </w:r>
          </w:p>
        </w:tc>
        <w:tc>
          <w:tcPr>
            <w:tcW w:w="11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工资等发放</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olor w:val="000000" w:themeColor="text1"/>
                <w:sz w:val="18"/>
                <w:szCs w:val="18"/>
                <w:highlight w:val="none"/>
                <w:lang w:val="en-US" w:eastAsia="zh-CN"/>
                <w14:textFill>
                  <w14:solidFill>
                    <w14:schemeClr w14:val="tx1"/>
                  </w14:solidFill>
                </w14:textFill>
              </w:rPr>
              <w:t>一是该类支出部分资金上级部门每年都有预算，直接下达，本部门无需做预算，二是</w:t>
            </w:r>
            <w:r>
              <w:rPr>
                <w:rFonts w:hint="eastAsia" w:ascii="仿宋" w:hAnsi="仿宋" w:eastAsia="仿宋" w:cs="仿宋"/>
                <w:color w:val="000000" w:themeColor="text1"/>
                <w:szCs w:val="21"/>
                <w:lang w:val="en-US" w:eastAsia="zh-CN"/>
                <w14:textFill>
                  <w14:solidFill>
                    <w14:schemeClr w14:val="tx1"/>
                  </w14:solidFill>
                </w14:textFill>
              </w:rPr>
              <w:t>教师晋岗、晋薪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2050299</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其他普通教育支出</w:t>
            </w: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0.00</w:t>
            </w:r>
          </w:p>
        </w:tc>
        <w:tc>
          <w:tcPr>
            <w:tcW w:w="1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3.30</w:t>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1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用于学校</w:t>
            </w:r>
            <w:r>
              <w:rPr>
                <w:rFonts w:hint="eastAsia" w:ascii="仿宋" w:hAnsi="仿宋" w:eastAsia="仿宋" w:cs="仿宋"/>
                <w:color w:val="000000" w:themeColor="text1"/>
                <w:szCs w:val="21"/>
                <w:lang w:val="en-US" w:eastAsia="zh-CN"/>
                <w14:textFill>
                  <w14:solidFill>
                    <w14:schemeClr w14:val="tx1"/>
                  </w14:solidFill>
                </w14:textFill>
              </w:rPr>
              <w:t>水费、电费、津贴补贴</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年中</w:t>
            </w:r>
            <w:r>
              <w:rPr>
                <w:rFonts w:hint="eastAsia" w:ascii="仿宋" w:hAnsi="仿宋" w:eastAsia="仿宋" w:cs="仿宋"/>
                <w:color w:val="000000" w:themeColor="text1"/>
                <w:szCs w:val="21"/>
                <w:lang w:val="en-US" w:eastAsia="zh-CN"/>
                <w14:textFill>
                  <w14:solidFill>
                    <w14:schemeClr w14:val="tx1"/>
                  </w14:solidFill>
                </w14:textFill>
              </w:rPr>
              <w:t>预算</w:t>
            </w:r>
            <w:r>
              <w:rPr>
                <w:rFonts w:hint="eastAsia" w:ascii="仿宋" w:hAnsi="仿宋" w:eastAsia="仿宋" w:cs="仿宋"/>
                <w:color w:val="000000" w:themeColor="text1"/>
                <w:szCs w:val="21"/>
                <w14:textFill>
                  <w14:solidFill>
                    <w14:schemeClr w14:val="tx1"/>
                  </w14:solidFill>
                </w14:textFill>
              </w:rPr>
              <w:t>调整</w:t>
            </w:r>
            <w:r>
              <w:rPr>
                <w:rFonts w:hint="eastAsia" w:ascii="仿宋" w:hAnsi="仿宋" w:eastAsia="仿宋" w:cs="仿宋"/>
                <w:color w:val="000000" w:themeColor="text1"/>
                <w:szCs w:val="21"/>
                <w:lang w:eastAsia="zh-CN"/>
                <w14:textFill>
                  <w14:solidFill>
                    <w14:schemeClr w14:val="tx1"/>
                  </w14:solidFill>
                </w14:textFill>
              </w:rPr>
              <w:t>，</w:t>
            </w:r>
            <w:r>
              <w:rPr>
                <w:rFonts w:hint="eastAsia" w:ascii="仿宋" w:hAnsi="仿宋" w:eastAsia="仿宋"/>
                <w:color w:val="000000" w:themeColor="text1"/>
                <w:sz w:val="18"/>
                <w:szCs w:val="18"/>
                <w:highlight w:val="none"/>
                <w:lang w:val="en-US" w:eastAsia="zh-CN"/>
                <w14:textFill>
                  <w14:solidFill>
                    <w14:schemeClr w14:val="tx1"/>
                  </w14:solidFill>
                </w14:textFill>
              </w:rPr>
              <w:t>上级部门有预算直接下达。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合计数</w:t>
            </w:r>
          </w:p>
        </w:tc>
        <w:tc>
          <w:tcPr>
            <w:tcW w:w="15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1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default" w:ascii="仿宋" w:hAnsi="仿宋" w:eastAsia="仿宋" w:cs="仿宋"/>
                <w:color w:val="000000" w:themeColor="text1"/>
                <w:szCs w:val="21"/>
                <w:lang w:val="en-US" w:eastAsia="zh-CN"/>
                <w14:textFill>
                  <w14:solidFill>
                    <w14:schemeClr w14:val="tx1"/>
                  </w14:solidFill>
                </w14:textFill>
              </w:rPr>
              <w:fldChar w:fldCharType="begin"/>
            </w:r>
            <w:r>
              <w:rPr>
                <w:rFonts w:hint="default" w:ascii="仿宋" w:hAnsi="仿宋" w:eastAsia="仿宋" w:cs="仿宋"/>
                <w:color w:val="000000" w:themeColor="text1"/>
                <w:szCs w:val="21"/>
                <w:lang w:val="en-US" w:eastAsia="zh-CN"/>
                <w14:textFill>
                  <w14:solidFill>
                    <w14:schemeClr w14:val="tx1"/>
                  </w14:solidFill>
                </w14:textFill>
              </w:rPr>
              <w:instrText xml:space="preserve"> = sum(C2:C3) \* MERGEFORMAT </w:instrText>
            </w:r>
            <w:r>
              <w:rPr>
                <w:rFonts w:hint="default" w:ascii="仿宋" w:hAnsi="仿宋" w:eastAsia="仿宋" w:cs="仿宋"/>
                <w:color w:val="000000" w:themeColor="text1"/>
                <w:szCs w:val="21"/>
                <w:lang w:val="en-US" w:eastAsia="zh-CN"/>
                <w14:textFill>
                  <w14:solidFill>
                    <w14:schemeClr w14:val="tx1"/>
                  </w14:solidFill>
                </w14:textFill>
              </w:rPr>
              <w:fldChar w:fldCharType="separate"/>
            </w:r>
            <w:r>
              <w:rPr>
                <w:rFonts w:hint="default" w:ascii="仿宋" w:hAnsi="仿宋" w:eastAsia="仿宋" w:cs="仿宋"/>
                <w:color w:val="000000" w:themeColor="text1"/>
                <w:szCs w:val="21"/>
                <w:lang w:val="en-US" w:eastAsia="zh-CN"/>
                <w14:textFill>
                  <w14:solidFill>
                    <w14:schemeClr w14:val="tx1"/>
                  </w14:solidFill>
                </w14:textFill>
              </w:rPr>
              <w:t>697.28</w:t>
            </w:r>
            <w:r>
              <w:rPr>
                <w:rFonts w:hint="default" w:ascii="仿宋" w:hAnsi="仿宋" w:eastAsia="仿宋" w:cs="仿宋"/>
                <w:color w:val="000000" w:themeColor="text1"/>
                <w:szCs w:val="21"/>
                <w:lang w:val="en-US" w:eastAsia="zh-CN"/>
                <w14:textFill>
                  <w14:solidFill>
                    <w14:schemeClr w14:val="tx1"/>
                  </w14:solidFill>
                </w14:textFill>
              </w:rPr>
              <w:fldChar w:fldCharType="end"/>
            </w:r>
          </w:p>
        </w:tc>
        <w:tc>
          <w:tcPr>
            <w:tcW w:w="114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default" w:ascii="仿宋" w:hAnsi="仿宋" w:eastAsia="仿宋" w:cs="仿宋"/>
                <w:color w:val="000000" w:themeColor="text1"/>
                <w:szCs w:val="21"/>
                <w:lang w:val="en-US" w:eastAsia="zh-CN"/>
                <w14:textFill>
                  <w14:solidFill>
                    <w14:schemeClr w14:val="tx1"/>
                  </w14:solidFill>
                </w14:textFill>
              </w:rPr>
              <w:fldChar w:fldCharType="begin"/>
            </w:r>
            <w:r>
              <w:rPr>
                <w:rFonts w:hint="default" w:ascii="仿宋" w:hAnsi="仿宋" w:eastAsia="仿宋" w:cs="仿宋"/>
                <w:color w:val="000000" w:themeColor="text1"/>
                <w:szCs w:val="21"/>
                <w:lang w:val="en-US" w:eastAsia="zh-CN"/>
                <w14:textFill>
                  <w14:solidFill>
                    <w14:schemeClr w14:val="tx1"/>
                  </w14:solidFill>
                </w14:textFill>
              </w:rPr>
              <w:instrText xml:space="preserve"> = sum(D2:D3) \* MERGEFORMAT </w:instrText>
            </w:r>
            <w:r>
              <w:rPr>
                <w:rFonts w:hint="default" w:ascii="仿宋" w:hAnsi="仿宋" w:eastAsia="仿宋" w:cs="仿宋"/>
                <w:color w:val="000000" w:themeColor="text1"/>
                <w:szCs w:val="21"/>
                <w:lang w:val="en-US" w:eastAsia="zh-CN"/>
                <w14:textFill>
                  <w14:solidFill>
                    <w14:schemeClr w14:val="tx1"/>
                  </w14:solidFill>
                </w14:textFill>
              </w:rPr>
              <w:fldChar w:fldCharType="separate"/>
            </w:r>
            <w:r>
              <w:rPr>
                <w:rFonts w:hint="default" w:ascii="仿宋" w:hAnsi="仿宋" w:eastAsia="仿宋" w:cs="仿宋"/>
                <w:color w:val="000000" w:themeColor="text1"/>
                <w:szCs w:val="21"/>
                <w:lang w:val="en-US" w:eastAsia="zh-CN"/>
                <w14:textFill>
                  <w14:solidFill>
                    <w14:schemeClr w14:val="tx1"/>
                  </w14:solidFill>
                </w14:textFill>
              </w:rPr>
              <w:t>1012.82</w:t>
            </w:r>
            <w:r>
              <w:rPr>
                <w:rFonts w:hint="default" w:ascii="仿宋" w:hAnsi="仿宋" w:eastAsia="仿宋" w:cs="仿宋"/>
                <w:color w:val="000000" w:themeColor="text1"/>
                <w:szCs w:val="21"/>
                <w:lang w:val="en-US" w:eastAsia="zh-CN"/>
                <w14:textFill>
                  <w14:solidFill>
                    <w14:schemeClr w14:val="tx1"/>
                  </w14:solidFill>
                </w14:textFill>
              </w:rPr>
              <w:fldChar w:fldCharType="end"/>
            </w:r>
          </w:p>
        </w:tc>
        <w:tc>
          <w:tcPr>
            <w:tcW w:w="111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145.25%</w:t>
            </w:r>
          </w:p>
        </w:tc>
        <w:tc>
          <w:tcPr>
            <w:tcW w:w="110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color w:val="000000" w:themeColor="text1"/>
                <w:szCs w:val="21"/>
                <w:lang w:val="en-US" w:eastAsia="zh-CN"/>
                <w14:textFill>
                  <w14:solidFill>
                    <w14:schemeClr w14:val="tx1"/>
                  </w14:solidFill>
                </w14:textFill>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themeColor="text1"/>
                <w:szCs w:val="21"/>
                <w:lang w:val="en-US" w:eastAsia="zh-CN"/>
                <w14:textFill>
                  <w14:solidFill>
                    <w14:schemeClr w14:val="tx1"/>
                  </w14:solidFill>
                </w14:textFill>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690745" cy="3563620"/>
            <wp:effectExtent l="4445" t="5080" r="13970" b="1270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2"/>
        </w:numPr>
        <w:ind w:left="210" w:lef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eastAsia="zh-CN"/>
        </w:rPr>
        <w:t>110.72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89.81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81.11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w:t>
      </w:r>
      <w:r>
        <w:rPr>
          <w:rFonts w:hint="eastAsia" w:ascii="仿宋" w:hAnsi="仿宋" w:eastAsia="仿宋" w:cs="仿宋"/>
          <w:color w:val="000000" w:themeColor="text1"/>
          <w:sz w:val="32"/>
          <w:szCs w:val="32"/>
          <w:lang w:val="en-US" w:eastAsia="zh-CN" w:bidi="ar"/>
          <w14:textFill>
            <w14:solidFill>
              <w14:schemeClr w14:val="tx1"/>
            </w14:solidFill>
          </w14:textFill>
        </w:rPr>
        <w:t>人员调动，本单位整体基数下变少</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lang w:val="en-US" w:eastAsia="zh-CN" w:bidi="ar"/>
          <w14:textFill>
            <w14:solidFill>
              <w14:schemeClr w14:val="tx1"/>
            </w14:solidFill>
          </w14:textFill>
        </w:rPr>
        <w:t>有退休教师，</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6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110.72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81.11%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教职工</w:t>
            </w:r>
            <w:r>
              <w:rPr>
                <w:rFonts w:hint="eastAsia" w:ascii="仿宋" w:hAnsi="仿宋" w:eastAsia="仿宋" w:cs="仿宋"/>
                <w:color w:val="000000" w:themeColor="text1"/>
                <w:szCs w:val="21"/>
                <w14:textFill>
                  <w14:solidFill>
                    <w14:schemeClr w14:val="tx1"/>
                  </w14:solidFill>
                </w14:textFill>
              </w:rPr>
              <w:t>养老保险</w:t>
            </w:r>
          </w:p>
        </w:tc>
        <w:tc>
          <w:tcPr>
            <w:tcW w:w="1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numPr>
                <w:ilvl w:val="0"/>
                <w:numId w:val="0"/>
              </w:numPr>
              <w:suppressLineNumbers w:val="0"/>
              <w:spacing w:before="0" w:beforeAutospacing="0" w:after="0" w:afterAutospacing="0"/>
              <w:ind w:left="0" w:right="0"/>
              <w:jc w:val="left"/>
              <w:rPr>
                <w:rFonts w:hint="default"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bidi="ar"/>
                <w14:textFill>
                  <w14:solidFill>
                    <w14:schemeClr w14:val="tx1"/>
                  </w14:solidFill>
                </w14:textFill>
              </w:rPr>
              <w:t>教师</w:t>
            </w:r>
            <w:r>
              <w:rPr>
                <w:rFonts w:hint="eastAsia" w:ascii="仿宋" w:hAnsi="仿宋" w:eastAsia="仿宋" w:cs="仿宋"/>
                <w:color w:val="000000" w:themeColor="text1"/>
                <w:sz w:val="22"/>
                <w:szCs w:val="22"/>
                <w:lang w:val="en-US" w:eastAsia="zh-CN" w:bidi="ar"/>
                <w14:textFill>
                  <w14:solidFill>
                    <w14:schemeClr w14:val="tx1"/>
                  </w14:solidFill>
                </w14:textFill>
              </w:rPr>
              <w:t>人员调动，本单位整体基数下变少</w:t>
            </w:r>
            <w:r>
              <w:rPr>
                <w:rFonts w:hint="eastAsia" w:ascii="仿宋" w:hAnsi="仿宋" w:eastAsia="仿宋" w:cs="仿宋"/>
                <w:color w:val="000000" w:themeColor="text1"/>
                <w:sz w:val="22"/>
                <w:szCs w:val="22"/>
                <w:lang w:bidi="ar"/>
                <w14:textFill>
                  <w14:solidFill>
                    <w14:schemeClr w14:val="tx1"/>
                  </w14:solidFill>
                </w14:textFill>
              </w:rPr>
              <w:t>，</w:t>
            </w:r>
            <w:r>
              <w:rPr>
                <w:rFonts w:hint="eastAsia" w:ascii="仿宋" w:hAnsi="仿宋" w:eastAsia="仿宋" w:cs="仿宋"/>
                <w:color w:val="000000" w:themeColor="text1"/>
                <w:sz w:val="22"/>
                <w:szCs w:val="22"/>
                <w:lang w:val="en-US" w:eastAsia="zh-CN" w:bidi="ar"/>
                <w14:textFill>
                  <w14:solidFill>
                    <w14:schemeClr w14:val="tx1"/>
                  </w14:solidFill>
                </w14:textFill>
              </w:rPr>
              <w:t>有退休教师</w:t>
            </w:r>
            <w:r>
              <w:rPr>
                <w:rFonts w:hint="eastAsia" w:ascii="仿宋" w:hAnsi="仿宋" w:eastAsia="仿宋" w:cs="仿宋"/>
                <w:color w:val="000000" w:themeColor="text1"/>
                <w:sz w:val="22"/>
                <w:szCs w:val="22"/>
                <w:lang w:bidi="ar"/>
                <w14:textFill>
                  <w14:solidFill>
                    <w14:schemeClr w14:val="tx1"/>
                  </w14:solidFill>
                </w14:textFill>
              </w:rPr>
              <w:t>。</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1"/>
                <w:szCs w:val="1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89.81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81.11%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9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21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83.04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67.14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80.85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lang w:bidi="ar"/>
          <w14:textFill>
            <w14:solidFill>
              <w14:schemeClr w14:val="tx1"/>
            </w14:solidFill>
          </w14:textFill>
        </w:rPr>
        <w:t>教师</w:t>
      </w:r>
      <w:r>
        <w:rPr>
          <w:rFonts w:hint="eastAsia" w:ascii="仿宋" w:hAnsi="仿宋" w:eastAsia="仿宋" w:cs="仿宋"/>
          <w:color w:val="000000" w:themeColor="text1"/>
          <w:sz w:val="32"/>
          <w:szCs w:val="32"/>
          <w:lang w:val="en-US" w:eastAsia="zh-CN" w:bidi="ar"/>
          <w14:textFill>
            <w14:solidFill>
              <w14:schemeClr w14:val="tx1"/>
            </w14:solidFill>
          </w14:textFill>
        </w:rPr>
        <w:t>人员调动，本单位整体基数下变少</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lang w:val="en-US" w:eastAsia="zh-CN" w:bidi="ar"/>
          <w14:textFill>
            <w14:solidFill>
              <w14:schemeClr w14:val="tx1"/>
            </w14:solidFill>
          </w14:textFill>
        </w:rPr>
        <w:t>有退休教师，</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教师人员调动，本单位整体基数下变少，有退休教师。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83.04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教师公积金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cs="仿宋"/>
          <w:sz w:val="32"/>
          <w:szCs w:val="32"/>
          <w:highlight w:val="none"/>
        </w:rPr>
        <w:br w:type="page"/>
      </w:r>
    </w:p>
    <w:p>
      <w:pPr>
        <w:keepNext w:val="0"/>
        <w:keepLines w:val="0"/>
        <w:widowControl w:val="0"/>
        <w:numPr>
          <w:ilvl w:val="0"/>
          <w:numId w:val="2"/>
        </w:numPr>
        <w:suppressLineNumbers w:val="0"/>
        <w:spacing w:before="0" w:beforeAutospacing="0" w:after="0" w:afterAutospacing="0"/>
        <w:ind w:left="210" w:leftChars="0" w:right="0" w:rightChars="0" w:firstLine="420" w:firstLineChars="0"/>
        <w:jc w:val="both"/>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121.84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2023年其他支出没有做预算。</w:t>
      </w:r>
    </w:p>
    <w:p>
      <w:pPr>
        <w:jc w:val="left"/>
        <w:rPr>
          <w:rFonts w:hint="eastAsia" w:ascii="仿宋" w:hAnsi="仿宋" w:eastAsia="仿宋"/>
          <w:sz w:val="32"/>
          <w:szCs w:val="32"/>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支付政府绩效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此部分资金上级部门每年都有预算，直接下达，本部门无需做预算，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121.84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支付政府绩效</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度一般公共预算财政拨款基本支出决算情况说明</w:t>
      </w: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度一般公共预算财政拨款基本支出</w:t>
      </w:r>
      <w:r>
        <w:rPr>
          <w:rFonts w:hint="eastAsia" w:ascii="仿宋" w:hAnsi="仿宋" w:eastAsia="仿宋" w:cs="仿宋"/>
          <w:sz w:val="32"/>
          <w:szCs w:val="32"/>
          <w:highlight w:val="none"/>
          <w:lang w:val="en-US" w:eastAsia="zh-CN"/>
        </w:rPr>
        <w:t>1031.13</w:t>
      </w:r>
      <w:r>
        <w:rPr>
          <w:rFonts w:hint="eastAsia" w:ascii="仿宋" w:hAnsi="仿宋" w:eastAsia="仿宋" w:cs="仿宋"/>
          <w:sz w:val="32"/>
          <w:szCs w:val="32"/>
          <w:highlight w:val="none"/>
        </w:rPr>
        <w:t>万元，其中：人员经费支出</w:t>
      </w:r>
      <w:r>
        <w:rPr>
          <w:rFonts w:hint="eastAsia" w:ascii="仿宋" w:hAnsi="仿宋" w:eastAsia="仿宋" w:cs="仿宋"/>
          <w:sz w:val="32"/>
          <w:szCs w:val="32"/>
          <w:highlight w:val="none"/>
          <w:lang w:val="en-US" w:eastAsia="zh-CN"/>
        </w:rPr>
        <w:t>1017.83</w:t>
      </w:r>
      <w:r>
        <w:rPr>
          <w:rFonts w:hint="eastAsia" w:ascii="仿宋" w:hAnsi="仿宋" w:eastAsia="仿宋" w:cs="仿宋"/>
          <w:sz w:val="32"/>
          <w:szCs w:val="32"/>
          <w:highlight w:val="none"/>
        </w:rPr>
        <w:t>万元，公用经费支出</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万元，支出具体情况如下：</w:t>
      </w:r>
    </w:p>
    <w:p>
      <w:pPr>
        <w:keepNext w:val="0"/>
        <w:keepLines w:val="0"/>
        <w:widowControl w:val="0"/>
        <w:numPr>
          <w:ilvl w:val="0"/>
          <w:numId w:val="3"/>
        </w:numPr>
        <w:suppressLineNumbers w:val="0"/>
        <w:spacing w:before="0" w:beforeAutospacing="0" w:after="0" w:afterAutospacing="0"/>
        <w:ind w:left="420" w:leftChars="0"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工资福利支出987.86万元，完成年初预算的</w:t>
      </w:r>
      <w:r>
        <w:rPr>
          <w:rFonts w:hint="eastAsia" w:ascii="仿宋" w:hAnsi="仿宋" w:eastAsia="仿宋" w:cs="仿宋"/>
          <w:sz w:val="32"/>
          <w:szCs w:val="32"/>
          <w:highlight w:val="none"/>
          <w:lang w:val="en-US" w:eastAsia="zh-CN"/>
        </w:rPr>
        <w:t>114.98</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主要原因是：部分资金由上级部门做预算直接下达，本部门无需做预算。支出具体情况如下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282.24万元，30102津贴补贴82.91万元，30103奖金289.64万元，30107绩效工资136.58万元，30108机关事业单位基本养老保险缴费89.81万元，30110职工基本医疗保险缴费35.01万元，30112其他社会保障缴费4.53万元，30113住房公积金67.14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420" w:leftChars="0"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13.3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预决算无差异。支出具体情况如下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30201办公费0万元，30205水费0万元，30206电费0万元，30207邮电费0万元，30211差旅费0万元，30213维修（护）费0万元，30228工会经费13.3万元，30299其他商品和服务支出0万元。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420" w:leftChars="0"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29.9</w:t>
      </w:r>
      <w:r>
        <w:rPr>
          <w:rFonts w:hint="eastAsia" w:ascii="仿宋" w:hAnsi="仿宋" w:eastAsia="仿宋" w:cs="仿宋"/>
          <w:sz w:val="32"/>
          <w:u w:color="auto"/>
          <w:lang w:val="en-US" w:eastAsia="zh-CN"/>
        </w:rPr>
        <w:t>7</w:t>
      </w:r>
      <w:r>
        <w:rPr>
          <w:rFonts w:hint="eastAsia" w:ascii="仿宋" w:hAnsi="仿宋" w:eastAsia="仿宋" w:cs="仿宋"/>
          <w:sz w:val="32"/>
          <w:szCs w:val="32"/>
          <w:highlight w:val="none"/>
        </w:rPr>
        <w:t>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 w:hAnsi="仿宋" w:eastAsia="仿宋" w:cs="仿宋"/>
          <w:sz w:val="32"/>
          <w:szCs w:val="32"/>
          <w:highlight w:val="none"/>
        </w:rPr>
        <w:t>，</w:t>
      </w:r>
      <w:r>
        <w:rPr>
          <w:rFonts w:hint="eastAsia" w:ascii="仿宋" w:hAnsi="仿宋" w:eastAsia="仿宋" w:cs="仿宋"/>
          <w:sz w:val="32"/>
          <w:szCs w:val="32"/>
          <w:highlight w:val="none"/>
          <w:lang w:val="en-US" w:eastAsia="zh-CN"/>
        </w:rPr>
        <w:t>主要原因是：遗属补助没有年初预算，支出具体情况如下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w:t>
      </w:r>
      <w:r>
        <w:rPr>
          <w:rFonts w:hint="eastAsia" w:ascii="仿宋" w:hAnsi="仿宋" w:eastAsia="仿宋" w:cs="仿宋"/>
          <w:sz w:val="32"/>
          <w:u w:color="auto"/>
        </w:rPr>
        <w:t>29.9</w:t>
      </w:r>
      <w:r>
        <w:rPr>
          <w:rFonts w:hint="eastAsia" w:ascii="仿宋" w:hAnsi="仿宋" w:eastAsia="仿宋" w:cs="仿宋"/>
          <w:sz w:val="32"/>
          <w:u w:color="auto"/>
          <w:lang w:val="en-US" w:eastAsia="zh-CN"/>
        </w:rPr>
        <w:t>4</w:t>
      </w:r>
      <w:r>
        <w:rPr>
          <w:rFonts w:hint="eastAsia" w:ascii="仿宋" w:hAnsi="仿宋" w:eastAsia="仿宋" w:cs="仿宋"/>
          <w:sz w:val="32"/>
          <w:szCs w:val="32"/>
          <w:highlight w:val="none"/>
          <w:lang w:val="en-US" w:eastAsia="zh-CN"/>
        </w:rPr>
        <w:t>万元，30399其他对个人和家庭的补助0.03万元。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4"/>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因是：</w:t>
      </w:r>
      <w:r>
        <w:rPr>
          <w:rFonts w:hint="eastAsia" w:ascii="仿宋" w:hAnsi="仿宋" w:eastAsia="仿宋" w:cs="仿宋"/>
          <w:color w:val="000000" w:themeColor="text1"/>
          <w:sz w:val="32"/>
          <w:szCs w:val="32"/>
          <w:lang w:bidi="ar"/>
          <w14:textFill>
            <w14:solidFill>
              <w14:schemeClr w14:val="tx1"/>
            </w14:solidFill>
          </w14:textFill>
        </w:rPr>
        <w:t>本单位无债务利息及费用支出</w:t>
      </w:r>
      <w:r>
        <w:rPr>
          <w:rFonts w:hint="eastAsia" w:ascii="仿宋" w:hAnsi="仿宋" w:eastAsia="仿宋" w:cs="仿宋"/>
          <w:color w:val="000000" w:themeColor="text1"/>
          <w:sz w:val="32"/>
          <w:szCs w:val="32"/>
          <w:lang w:eastAsia="zh-CN" w:bidi="ar"/>
          <w14:textFill>
            <w14:solidFill>
              <w14:schemeClr w14:val="tx1"/>
            </w14:solidFill>
          </w14:textFill>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76420" cy="2595880"/>
            <wp:effectExtent l="4445" t="4445" r="8255" b="57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numPr>
          <w:ilvl w:val="0"/>
          <w:numId w:val="4"/>
        </w:numPr>
        <w:ind w:left="0" w:leftChars="0" w:firstLine="42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w:t>
      </w:r>
      <w:r>
        <w:rPr>
          <w:rFonts w:ascii="仿宋" w:hAnsi="仿宋" w:eastAsia="仿宋" w:cs="仿宋"/>
          <w:sz w:val="32"/>
          <w:u w:color="auto"/>
        </w:rPr>
        <w:t>万元</w:t>
      </w:r>
      <w:r>
        <w:rPr>
          <w:rFonts w:hint="eastAsia" w:ascii="仿宋" w:hAnsi="仿宋" w:eastAsia="仿宋" w:cs="仿宋"/>
          <w:sz w:val="32"/>
          <w:szCs w:val="32"/>
          <w:highlight w:val="none"/>
        </w:rPr>
        <w:t>，</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default" w:ascii="仿宋" w:hAnsi="仿宋" w:eastAsia="仿宋" w:cs="仿宋"/>
          <w:sz w:val="32"/>
          <w:szCs w:val="32"/>
          <w:highlight w:val="none"/>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w:t>
      </w:r>
      <w:r>
        <w:rPr>
          <w:rFonts w:hint="default" w:ascii="仿宋" w:hAnsi="仿宋" w:eastAsia="仿宋" w:cs="仿宋"/>
          <w:sz w:val="32"/>
          <w:szCs w:val="32"/>
          <w:highlight w:val="none"/>
          <w:lang w:val="en-US" w:eastAsia="zh-CN"/>
        </w:rPr>
        <w:t>本单位无</w:t>
      </w:r>
      <w:r>
        <w:rPr>
          <w:rFonts w:hint="eastAsia" w:ascii="仿宋" w:hAnsi="仿宋" w:eastAsia="仿宋" w:cs="仿宋"/>
          <w:sz w:val="32"/>
          <w:szCs w:val="32"/>
          <w:highlight w:val="none"/>
          <w:lang w:val="en-US" w:eastAsia="zh-CN"/>
        </w:rPr>
        <w:t>资本性</w:t>
      </w:r>
      <w:r>
        <w:rPr>
          <w:rFonts w:hint="default" w:ascii="仿宋" w:hAnsi="仿宋" w:eastAsia="仿宋" w:cs="仿宋"/>
          <w:sz w:val="32"/>
          <w:szCs w:val="32"/>
          <w:highlight w:val="none"/>
          <w:lang w:val="en-US" w:eastAsia="zh-CN"/>
        </w:rPr>
        <w:t>支出。</w:t>
      </w: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numPr>
          <w:ilvl w:val="0"/>
          <w:numId w:val="4"/>
        </w:numPr>
        <w:jc w:val="left"/>
        <w:rPr>
          <w:rFonts w:ascii="仿宋" w:hAnsi="仿宋" w:eastAsia="仿宋" w:cs="仿宋"/>
          <w:color w:val="FF0000"/>
          <w:sz w:val="32"/>
          <w:szCs w:val="32"/>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eastAsia" w:ascii="仿宋" w:hAnsi="仿宋" w:eastAsia="仿宋" w:cs="仿宋"/>
          <w:sz w:val="32"/>
          <w:szCs w:val="32"/>
          <w:highlight w:val="none"/>
        </w:rPr>
        <w:t>，</w:t>
      </w:r>
      <w:r>
        <w:rPr>
          <w:rFonts w:hint="default" w:ascii="仿宋" w:hAnsi="仿宋" w:eastAsia="仿宋" w:cs="仿宋"/>
          <w:sz w:val="32"/>
          <w:szCs w:val="32"/>
          <w:highlight w:val="none"/>
        </w:rPr>
        <w:t>完成年初预算的</w:t>
      </w:r>
      <w:r>
        <w:rPr>
          <w:rFonts w:hint="eastAsia" w:ascii="仿宋" w:hAnsi="仿宋" w:eastAsia="仿宋" w:cs="仿宋"/>
          <w:sz w:val="32"/>
          <w:szCs w:val="32"/>
          <w:highlight w:val="none"/>
        </w:rPr>
        <w:t>0%</w:t>
      </w:r>
      <w:r>
        <w:rPr>
          <w:rFonts w:hint="default" w:ascii="仿宋" w:hAnsi="仿宋" w:eastAsia="仿宋" w:cs="仿宋"/>
          <w:sz w:val="32"/>
          <w:szCs w:val="32"/>
          <w:highlight w:val="none"/>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w:t>
      </w:r>
      <w:r>
        <w:rPr>
          <w:rFonts w:hint="eastAsia" w:ascii="仿宋" w:hAnsi="仿宋" w:eastAsia="仿宋" w:cs="仿宋"/>
          <w:sz w:val="32"/>
          <w:szCs w:val="32"/>
          <w:highlight w:val="none"/>
        </w:rPr>
        <w:t>本单位无其他支出。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28820" cy="2934970"/>
            <wp:effectExtent l="4445" t="4445" r="8255" b="1714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2022年</w:t>
      </w:r>
      <w:r>
        <w:rPr>
          <w:rFonts w:hint="eastAsia" w:ascii="仿宋" w:hAnsi="仿宋" w:eastAsia="仿宋" w:cs="仿宋"/>
          <w:sz w:val="32"/>
          <w:szCs w:val="32"/>
          <w:highlight w:val="none"/>
        </w:rPr>
        <w:t>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镇初级中学没有政府性基金收入，也没有政府性基金收入安排的支出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2023年</w:t>
      </w:r>
      <w:r>
        <w:rPr>
          <w:rFonts w:hint="eastAsia" w:ascii="黑体" w:hAnsi="黑体" w:eastAsia="黑体" w:cs="黑体"/>
          <w:sz w:val="32"/>
          <w:szCs w:val="32"/>
          <w:highlight w:val="none"/>
        </w:rPr>
        <w:t>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eastAsia="zh-CN"/>
        </w:rPr>
        <w:t>明伦</w:t>
      </w:r>
      <w:r>
        <w:rPr>
          <w:rFonts w:hint="eastAsia" w:ascii="仿宋" w:hAnsi="仿宋" w:eastAsia="仿宋" w:cs="仿宋"/>
          <w:sz w:val="32"/>
          <w:szCs w:val="32"/>
          <w:highlight w:val="none"/>
        </w:rPr>
        <w:t>镇初级中学没有国有资本经营预算收入，也没有国有资本经营预算收入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lang w:bidi="ar"/>
          <w14:textFill>
            <w14:solidFill>
              <w14:schemeClr w14:val="tx1"/>
            </w14:solidFill>
          </w14:textFill>
        </w:rPr>
        <w:t>本单位无“三公”经费支出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原因是：本单位无出国（境）费支出。</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14:textFill>
            <w14:solidFill>
              <w14:schemeClr w14:val="tx1"/>
            </w14:solidFill>
          </w14:textFill>
        </w:rPr>
        <w:t>本单位无公务用车购置及运行维护费。</w:t>
      </w:r>
    </w:p>
    <w:p>
      <w:pPr>
        <w:ind w:firstLine="640" w:firstLineChars="200"/>
        <w:jc w:val="left"/>
        <w:rPr>
          <w:rFonts w:ascii="仿宋" w:hAnsi="仿宋" w:eastAsia="仿宋" w:cs="仿宋"/>
          <w:sz w:val="32"/>
          <w:szCs w:val="32"/>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14:textFill>
            <w14:solidFill>
              <w14:schemeClr w14:val="tx1"/>
            </w14:solidFill>
          </w14:textFill>
        </w:rPr>
        <w:t>本单位无公务车运行维护支出。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auto"/>
          <w:sz w:val="32"/>
          <w:szCs w:val="32"/>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rPr>
        <w:t>本单位无机关运行经费支出。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2023年</w:t>
      </w:r>
      <w:r>
        <w:rPr>
          <w:rFonts w:hint="eastAsia" w:ascii="仿宋" w:hAnsi="仿宋" w:eastAsia="仿宋" w:cs="仿宋"/>
          <w:sz w:val="32"/>
          <w:szCs w:val="32"/>
          <w:highlight w:val="none"/>
        </w:rPr>
        <w:t>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度一般公共预算项目支出全面开展绩效自评。其中，一等项目</w:t>
      </w:r>
      <w:r>
        <w:rPr>
          <w:rFonts w:hint="eastAsia" w:ascii="仿宋" w:hAnsi="仿宋" w:eastAsia="仿宋" w:cs="仿宋"/>
          <w:color w:val="000000" w:themeColor="text1"/>
          <w:sz w:val="32"/>
          <w:szCs w:val="32"/>
          <w:lang w:val="en-US" w:eastAsia="zh-CN"/>
          <w14:textFill>
            <w14:solidFill>
              <w14:schemeClr w14:val="tx1"/>
            </w14:solidFill>
          </w14:textFill>
        </w:rPr>
        <w:t>21</w:t>
      </w:r>
      <w:r>
        <w:rPr>
          <w:rFonts w:hint="eastAsia" w:ascii="仿宋" w:hAnsi="仿宋" w:eastAsia="仿宋" w:cs="仿宋"/>
          <w:color w:val="000000" w:themeColor="text1"/>
          <w:sz w:val="32"/>
          <w:szCs w:val="32"/>
          <w14:textFill>
            <w14:solidFill>
              <w14:schemeClr w14:val="tx1"/>
            </w14:solidFill>
          </w14:textFill>
        </w:rPr>
        <w:t>个，二等项目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604.37</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33.99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604.37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万元。从评价情况来看，一般公共预算支出基本达到了绩效目标要求，只有自治区公用经费出现执行率偏低，但前提用中央公用经费支出。本单位无政府性基金预算支出和国有资本经营预算支出。</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万元。从评价情况来看，本单位为二级单位，只有本级没有下级单位预算。</w:t>
      </w:r>
    </w:p>
    <w:p>
      <w:pPr>
        <w:ind w:firstLine="640" w:firstLineChars="200"/>
        <w:jc w:val="left"/>
        <w:rPr>
          <w:rFonts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FF0000"/>
          <w:sz w:val="32"/>
          <w:szCs w:val="32"/>
        </w:rPr>
        <w:t>。</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99.02</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分。发现的主要问题及原因：一是执行率低；二是没有协调好年初预算。下一步改进措施：一是做好年初预算；二是充分实施项目，提高执行率和效率。公用经费(特教)自治区补助项目自评得分为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党建工作经费项目自评得分为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分。发现的主要问题及原因：一是执行率低；二是没有协调好年初预算。下一步改进措施：一是做好年初预算；二是充分实施项目，提高执行率和效率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特岗教师工资项目自评得分为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没发现问题</w:t>
      </w:r>
      <w:r>
        <w:rPr>
          <w:rFonts w:hint="eastAsia" w:ascii="仿宋" w:hAnsi="仿宋" w:eastAsia="仿宋" w:cs="仿宋"/>
          <w:color w:val="000000" w:themeColor="text1"/>
          <w:sz w:val="32"/>
          <w:szCs w:val="32"/>
          <w14:textFill>
            <w14:solidFill>
              <w14:schemeClr w14:val="tx1"/>
            </w14:solidFill>
          </w14:textFill>
        </w:rPr>
        <w:t>。基础性绩效工资增量事业项目自评得分为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没发现问题。</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没发现问题。</w:t>
      </w:r>
      <w:r>
        <w:rPr>
          <w:rFonts w:hint="eastAsia" w:ascii="仿宋" w:hAnsi="仿宋" w:eastAsia="仿宋" w:cs="仿宋"/>
          <w:color w:val="000000" w:themeColor="text1"/>
          <w:sz w:val="32"/>
          <w:szCs w:val="32"/>
          <w14:textFill>
            <w14:solidFill>
              <w14:schemeClr w14:val="tx1"/>
            </w14:solidFill>
          </w14:textFill>
        </w:rPr>
        <w:t>奖励性补贴(非三保)项目自评得分为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没发现问题。</w:t>
      </w:r>
      <w:r>
        <w:rPr>
          <w:rFonts w:hint="eastAsia" w:ascii="仿宋" w:hAnsi="仿宋" w:eastAsia="仿宋" w:cs="仿宋"/>
          <w:color w:val="000000" w:themeColor="text1"/>
          <w:sz w:val="32"/>
          <w:szCs w:val="32"/>
          <w14:textFill>
            <w14:solidFill>
              <w14:schemeClr w14:val="tx1"/>
            </w14:solidFill>
          </w14:textFill>
        </w:rPr>
        <w:t>顶岗教师工资项目自评得分为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没发现问题。</w:t>
      </w:r>
      <w:r>
        <w:rPr>
          <w:rFonts w:hint="eastAsia" w:ascii="仿宋" w:hAnsi="仿宋" w:eastAsia="仿宋" w:cs="仿宋"/>
          <w:color w:val="000000" w:themeColor="text1"/>
          <w:sz w:val="32"/>
          <w:szCs w:val="32"/>
          <w14:textFill>
            <w14:solidFill>
              <w14:schemeClr w14:val="tx1"/>
            </w14:solidFill>
          </w14:textFill>
        </w:rPr>
        <w:t>义务教育阶段家庭经济困难学生生活自治区补助资金项目自评得分为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98.94</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分。发现的主要问题及原因：一是学生人数不定；二是入学率低。下一步改进措施：一是做好年中调整；二是保障就读资源。义务教育阶段家庭经济困难学生生活县级补助资金项目自评得分为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分。发现的主要问题及原因：一是学生人数不定；二是入学率低。下一步改进措施：一是做好年中调整；二是保障就读资源。自治区乡村教师生活补助项目自评得分为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99.26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教师有调入县城的情况</w:t>
      </w:r>
      <w:r>
        <w:rPr>
          <w:rFonts w:hint="eastAsia" w:ascii="仿宋" w:hAnsi="仿宋" w:eastAsia="仿宋" w:cs="仿宋"/>
          <w:color w:val="000000" w:themeColor="text1"/>
          <w:sz w:val="32"/>
          <w:szCs w:val="32"/>
          <w14:textFill>
            <w14:solidFill>
              <w14:schemeClr w14:val="tx1"/>
            </w14:solidFill>
          </w14:textFill>
        </w:rPr>
        <w:t>。下一步改进措施：一是做好年初预算；二是充分实施项目，提高执行率和效率。乡村教师生活补助县级补助资金项目自评得分为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71.79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教师有调入县城的情况</w:t>
      </w:r>
      <w:r>
        <w:rPr>
          <w:rFonts w:hint="eastAsia" w:ascii="仿宋" w:hAnsi="仿宋" w:eastAsia="仿宋" w:cs="仿宋"/>
          <w:color w:val="000000" w:themeColor="text1"/>
          <w:sz w:val="32"/>
          <w:szCs w:val="32"/>
          <w14:textFill>
            <w14:solidFill>
              <w14:schemeClr w14:val="tx1"/>
            </w14:solidFill>
          </w14:textFill>
        </w:rPr>
        <w:t>。下一步改进措施：一是做好年初预算；二是充分实施项目，提高执行率和效率。营养改善计划膳食补助资金项目自评得分为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80.34</w:t>
      </w:r>
      <w:r>
        <w:rPr>
          <w:rFonts w:hint="eastAsia" w:ascii="仿宋" w:hAnsi="仿宋" w:eastAsia="仿宋" w:cs="仿宋"/>
          <w:color w:val="000000" w:themeColor="text1"/>
          <w:sz w:val="32"/>
          <w:szCs w:val="32"/>
          <w14:textFill>
            <w14:solidFill>
              <w14:schemeClr w14:val="tx1"/>
            </w14:solidFill>
          </w14:textFill>
        </w:rPr>
        <w:t>分。发现的主要问题及原因：一是学生人数不稳定；二是学生人数减少。下一步改进措施：一是做好年中调整；二是把握学生人数。义务教育中央公用经费项目自评得分为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95.98</w:t>
      </w:r>
      <w:r>
        <w:rPr>
          <w:rFonts w:hint="eastAsia" w:ascii="仿宋" w:hAnsi="仿宋" w:eastAsia="仿宋" w:cs="仿宋"/>
          <w:color w:val="000000" w:themeColor="text1"/>
          <w:sz w:val="32"/>
          <w:szCs w:val="32"/>
          <w14:textFill>
            <w14:solidFill>
              <w14:schemeClr w14:val="tx1"/>
            </w14:solidFill>
          </w14:textFill>
        </w:rPr>
        <w:t>分。发现的主要问题及原因：一是执行率偏低；二是疫情提前放假。下一步改进措施：一是利用好项目资金规划；二是发展需要的办公活动。教师节</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分，没有问题。全县校长绩效工资项目自评得分为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分。奖励性补贴项目自评得分为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问题。年初预算</w:t>
      </w:r>
      <w:r>
        <w:rPr>
          <w:rFonts w:hint="eastAsia" w:ascii="仿宋" w:hAnsi="仿宋" w:eastAsia="仿宋" w:cs="仿宋"/>
          <w:color w:val="000000" w:themeColor="text1"/>
          <w:sz w:val="32"/>
          <w:szCs w:val="32"/>
          <w:lang w:val="en-US" w:eastAsia="zh-CN"/>
          <w14:textFill>
            <w14:solidFill>
              <w14:schemeClr w14:val="tx1"/>
            </w14:solidFill>
          </w14:textFill>
        </w:rPr>
        <w:t>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非三保</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问题发现</w:t>
      </w:r>
      <w:r>
        <w:rPr>
          <w:rFonts w:hint="eastAsia" w:ascii="仿宋" w:hAnsi="仿宋" w:eastAsia="仿宋" w:cs="仿宋"/>
          <w:color w:val="000000" w:themeColor="text1"/>
          <w:sz w:val="32"/>
          <w:szCs w:val="32"/>
          <w:lang w:eastAsia="zh-CN"/>
          <w14:textFill>
            <w14:solidFill>
              <w14:schemeClr w14:val="tx1"/>
            </w14:solidFill>
          </w14:textFill>
        </w:rPr>
        <w:t>。明伦镇初级中学年初预算经费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83</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核算项目资金有点误差</w:t>
      </w:r>
      <w:r>
        <w:rPr>
          <w:rFonts w:hint="eastAsia" w:ascii="仿宋" w:hAnsi="仿宋" w:eastAsia="仿宋" w:cs="仿宋"/>
          <w:color w:val="000000" w:themeColor="text1"/>
          <w:sz w:val="32"/>
          <w:szCs w:val="32"/>
          <w14:textFill>
            <w14:solidFill>
              <w14:schemeClr w14:val="tx1"/>
            </w14:solidFill>
          </w14:textFill>
        </w:rPr>
        <w:t>。下一步改进措施：一是及时上缴非税；二是做好项目调整。班主任津贴项目自评得分为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问题发现</w:t>
      </w:r>
      <w:r>
        <w:rPr>
          <w:rFonts w:hint="eastAsia" w:ascii="仿宋" w:hAnsi="仿宋" w:eastAsia="仿宋" w:cs="仿宋"/>
          <w:color w:val="000000" w:themeColor="text1"/>
          <w:sz w:val="32"/>
          <w:szCs w:val="32"/>
          <w:lang w:eastAsia="zh-CN"/>
          <w14:textFill>
            <w14:solidFill>
              <w14:schemeClr w14:val="tx1"/>
            </w14:solidFill>
          </w14:textFill>
        </w:rPr>
        <w:t>。全县校园安全保卫经费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发现的主要问题及原因：一是执行率小；二是因为疫情提前放假没有及时支付。下一步改进措施：一是按时支付，不跨年；二是把握财务制度流程，规范执行。</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szCs w:val="32"/>
        </w:rPr>
      </w:pPr>
    </w:p>
    <w:p>
      <w:pPr>
        <w:ind w:firstLine="640" w:firstLineChars="20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210" w:firstLine="420"/>
      </w:pPr>
      <w:rPr>
        <w:rFonts w:hint="eastAsia"/>
        <w:color w:val="auto"/>
        <w:sz w:val="32"/>
        <w:szCs w:val="32"/>
      </w:rPr>
    </w:lvl>
  </w:abstractNum>
  <w:abstractNum w:abstractNumId="1">
    <w:nsid w:val="A7675174"/>
    <w:multiLevelType w:val="singleLevel"/>
    <w:tmpl w:val="A7675174"/>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345E3D3F"/>
    <w:multiLevelType w:val="singleLevel"/>
    <w:tmpl w:val="345E3D3F"/>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hNWU1MWZhYzU5Y2ExZDNiZTA3ZGQ0OGIzZjg5Zj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0E072B6"/>
    <w:rsid w:val="11E56B5B"/>
    <w:rsid w:val="125C77AB"/>
    <w:rsid w:val="14CB726E"/>
    <w:rsid w:val="160A772E"/>
    <w:rsid w:val="16E61155"/>
    <w:rsid w:val="17E92249"/>
    <w:rsid w:val="181B5F72"/>
    <w:rsid w:val="18D304F1"/>
    <w:rsid w:val="193E320A"/>
    <w:rsid w:val="19F32577"/>
    <w:rsid w:val="19F45B80"/>
    <w:rsid w:val="1B0C078D"/>
    <w:rsid w:val="1B2B31E2"/>
    <w:rsid w:val="1B4C295A"/>
    <w:rsid w:val="1B973C63"/>
    <w:rsid w:val="1BA1001E"/>
    <w:rsid w:val="1D317259"/>
    <w:rsid w:val="1E664F5B"/>
    <w:rsid w:val="1EB34BE1"/>
    <w:rsid w:val="1F5B4021"/>
    <w:rsid w:val="215E639F"/>
    <w:rsid w:val="21EC3183"/>
    <w:rsid w:val="225E72CD"/>
    <w:rsid w:val="246E2F77"/>
    <w:rsid w:val="24FE0E84"/>
    <w:rsid w:val="254B4E2B"/>
    <w:rsid w:val="283D7C94"/>
    <w:rsid w:val="28932C21"/>
    <w:rsid w:val="29480E03"/>
    <w:rsid w:val="2983634D"/>
    <w:rsid w:val="2AC718BC"/>
    <w:rsid w:val="2BB02055"/>
    <w:rsid w:val="2C575A56"/>
    <w:rsid w:val="2DC816E7"/>
    <w:rsid w:val="2F257714"/>
    <w:rsid w:val="2F3275E5"/>
    <w:rsid w:val="30684B5E"/>
    <w:rsid w:val="30AA08EF"/>
    <w:rsid w:val="30D23D1C"/>
    <w:rsid w:val="31221CF5"/>
    <w:rsid w:val="31354469"/>
    <w:rsid w:val="31400178"/>
    <w:rsid w:val="314F06DE"/>
    <w:rsid w:val="321E3342"/>
    <w:rsid w:val="327759C8"/>
    <w:rsid w:val="33185FE3"/>
    <w:rsid w:val="34B17DD6"/>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5D725ED"/>
    <w:rsid w:val="46951B6B"/>
    <w:rsid w:val="488B6018"/>
    <w:rsid w:val="49322F1E"/>
    <w:rsid w:val="49A34401"/>
    <w:rsid w:val="4A3E30AB"/>
    <w:rsid w:val="4AC14DAC"/>
    <w:rsid w:val="4D154C85"/>
    <w:rsid w:val="4D3A6AEB"/>
    <w:rsid w:val="4EB35ECE"/>
    <w:rsid w:val="508F4E24"/>
    <w:rsid w:val="51461E90"/>
    <w:rsid w:val="51463753"/>
    <w:rsid w:val="52553A93"/>
    <w:rsid w:val="53521F8B"/>
    <w:rsid w:val="53E22F47"/>
    <w:rsid w:val="54522FF8"/>
    <w:rsid w:val="552642C1"/>
    <w:rsid w:val="55450629"/>
    <w:rsid w:val="56692963"/>
    <w:rsid w:val="568B0F48"/>
    <w:rsid w:val="5786217B"/>
    <w:rsid w:val="59337A15"/>
    <w:rsid w:val="59810274"/>
    <w:rsid w:val="5CA96A00"/>
    <w:rsid w:val="5CF730BC"/>
    <w:rsid w:val="5DDA13D8"/>
    <w:rsid w:val="5E5F0DCE"/>
    <w:rsid w:val="5FA40A7B"/>
    <w:rsid w:val="5FD56D29"/>
    <w:rsid w:val="5FEC7F3F"/>
    <w:rsid w:val="60F74BC3"/>
    <w:rsid w:val="617D3BF8"/>
    <w:rsid w:val="61841F6A"/>
    <w:rsid w:val="623007A9"/>
    <w:rsid w:val="637D7558"/>
    <w:rsid w:val="644F19AC"/>
    <w:rsid w:val="65AA4920"/>
    <w:rsid w:val="65E31D0B"/>
    <w:rsid w:val="67694F1E"/>
    <w:rsid w:val="69597934"/>
    <w:rsid w:val="6A366774"/>
    <w:rsid w:val="6B710041"/>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ABD0638"/>
    <w:rsid w:val="7B0A3A31"/>
    <w:rsid w:val="7B1B63C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1304.93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29.94</c:v>
                </c:pt>
                <c:pt idx="5">
                  <c:v>0</c:v>
                </c:pt>
                <c:pt idx="6">
                  <c:v>0</c:v>
                </c:pt>
                <c:pt idx="7">
                  <c:v>0</c:v>
                </c:pt>
                <c:pt idx="8">
                  <c:v>0</c:v>
                </c:pt>
                <c:pt idx="9">
                  <c:v>0</c:v>
                </c:pt>
                <c:pt idx="10">
                  <c:v>0</c:v>
                </c:pt>
                <c:pt idx="11">
                  <c:v>0.03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13.3</c:v>
                </c:pt>
                <c:pt idx="1">
                  <c:v>1012.82</c:v>
                </c:pt>
                <c:pt idx="2">
                  <c:v>89.81</c:v>
                </c:pt>
                <c:pt idx="3">
                  <c:v>67.14</c:v>
                </c:pt>
                <c:pt idx="4">
                  <c:v>121.84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12.42</c:v>
                </c:pt>
                <c:pt idx="1">
                  <c:v>918.49</c:v>
                </c:pt>
                <c:pt idx="2">
                  <c:v>90.7</c:v>
                </c:pt>
                <c:pt idx="3">
                  <c:v>68.17</c:v>
                </c:pt>
                <c:pt idx="4">
                  <c:v>145.84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13.3</c:v>
                </c:pt>
                <c:pt idx="1">
                  <c:v>13.3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numRef>
              <c:f>Sheet1!$A$2:$A$6</c:f>
              <c:numCache>
                <c:formatCode>General</c:formatCode>
                <c:ptCount val="5"/>
                <c:pt idx="0">
                  <c:v>2050202</c:v>
                </c:pt>
                <c:pt idx="1">
                  <c:v>2050203</c:v>
                </c:pt>
                <c:pt idx="2">
                  <c:v>2050299</c:v>
                </c:pt>
                <c:pt idx="3">
                  <c:v>2050701</c:v>
                </c:pt>
                <c:pt idx="4">
                  <c:v>2050999</c:v>
                </c:pt>
              </c:numCache>
            </c:numRef>
          </c:cat>
          <c:val>
            <c:numRef>
              <c:f>Sheet1!$B$2:$B$6</c:f>
              <c:numCache>
                <c:formatCode>General</c:formatCode>
                <c:ptCount val="5"/>
                <c:pt idx="0">
                  <c:v>0</c:v>
                </c:pt>
                <c:pt idx="1">
                  <c:v>1009.52</c:v>
                </c:pt>
                <c:pt idx="2">
                  <c:v>3.3</c:v>
                </c:pt>
                <c:pt idx="3">
                  <c:v>0</c:v>
                </c:pt>
                <c:pt idx="4">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max val="15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majorUnit val="5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89.81</c:v>
                </c:pt>
                <c:pt idx="1">
                  <c:v>89.81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67.14</c:v>
                </c:pt>
                <c:pt idx="1">
                  <c:v>67.14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121.84</c:v>
                </c:pt>
                <c:pt idx="1">
                  <c:v>121.84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282.24</c:v>
                </c:pt>
                <c:pt idx="1">
                  <c:v>82.91</c:v>
                </c:pt>
                <c:pt idx="2">
                  <c:v>289.64</c:v>
                </c:pt>
                <c:pt idx="4">
                  <c:v>136.58</c:v>
                </c:pt>
                <c:pt idx="5">
                  <c:v>89.81</c:v>
                </c:pt>
                <c:pt idx="7">
                  <c:v>35.01</c:v>
                </c:pt>
                <c:pt idx="9">
                  <c:v>4.53</c:v>
                </c:pt>
                <c:pt idx="10">
                  <c:v>67.14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13.3</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550</Words>
  <Characters>578</Characters>
  <Lines>90</Lines>
  <Paragraphs>25</Paragraphs>
  <TotalTime>22</TotalTime>
  <ScaleCrop>false</ScaleCrop>
  <LinksUpToDate>false</LinksUpToDate>
  <CharactersWithSpaces>587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2025-01-07T02:07:21Z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BC609CD17C3548ABB91845F5618E76B6_13</vt:lpwstr>
  </property>
  <property fmtid="{D5CDD505-2E9C-101B-9397-08002B2CF9AE}" pid="4" name="KSOTemplateDocerSaveRecord">
    <vt:lpwstr>eyJoZGlkIjoiZDc4NTAwYzFlZGEyYWFjNWQyZmMwODNkMDlmMDQwMGIiLCJ1c2VySWQiOiIyMTQwMDU3OTMifQ==</vt:lpwstr>
  </property>
</Properties>
</file>