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eastAsia="zh-CN"/>
        </w:rPr>
        <w:t>环江毛南族自治县</w:t>
      </w:r>
      <w:r>
        <w:rPr>
          <w:rFonts w:hint="eastAsia" w:ascii="黑体" w:hAnsi="黑体" w:eastAsia="黑体" w:cs="黑体"/>
          <w:b/>
          <w:bCs/>
          <w:sz w:val="52"/>
          <w:szCs w:val="52"/>
          <w:highlight w:val="none"/>
          <w:lang w:val="en-US" w:eastAsia="zh-CN"/>
        </w:rPr>
        <w:t>水源镇中心小学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both"/>
        <w:rPr>
          <w:rFonts w:hint="default" w:ascii="黑体" w:eastAsia="黑体" w:cs="黑体"/>
          <w:kern w:val="0"/>
          <w:sz w:val="44"/>
          <w:szCs w:val="44"/>
          <w:lang w:val="en-US" w:eastAsia="zh-CN"/>
        </w:rPr>
      </w:pPr>
      <w:r>
        <w:rPr>
          <w:rFonts w:hint="eastAsia" w:ascii="黑体" w:eastAsia="黑体" w:cs="黑体"/>
          <w:kern w:val="0"/>
          <w:sz w:val="44"/>
          <w:szCs w:val="44"/>
          <w:lang w:eastAsia="zh-CN"/>
        </w:rPr>
        <w:t>单位负责人：</w:t>
      </w:r>
      <w:r>
        <w:rPr>
          <w:rFonts w:hint="eastAsia" w:ascii="黑体" w:eastAsia="黑体" w:cs="黑体"/>
          <w:kern w:val="0"/>
          <w:sz w:val="44"/>
          <w:szCs w:val="44"/>
          <w:lang w:val="en-US" w:eastAsia="zh-CN"/>
        </w:rPr>
        <w:t>覃娇媚</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_GB2312" w:eastAsia="仿宋_GB2312"/>
          <w:sz w:val="32"/>
          <w:szCs w:val="32"/>
          <w:lang w:eastAsia="zh-CN"/>
        </w:rPr>
        <w:t>本</w:t>
      </w:r>
      <w:r>
        <w:rPr>
          <w:rFonts w:hint="eastAsia" w:ascii="仿宋_GB2312" w:eastAsia="仿宋_GB2312"/>
          <w:sz w:val="32"/>
          <w:szCs w:val="32"/>
          <w:lang w:val="en-US" w:eastAsia="zh-CN"/>
        </w:rPr>
        <w:t>单位</w:t>
      </w:r>
      <w:r>
        <w:rPr>
          <w:rFonts w:hint="eastAsia" w:ascii="仿宋_GB2312" w:eastAsia="仿宋_GB2312"/>
          <w:sz w:val="32"/>
          <w:szCs w:val="32"/>
          <w:lang w:eastAsia="zh-CN"/>
        </w:rPr>
        <w:t>职责</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w:t>
      </w:r>
      <w:r>
        <w:rPr>
          <w:rFonts w:hint="eastAsia" w:ascii="黑体" w:hAnsi="黑体" w:eastAsia="黑体" w:cs="黑体"/>
          <w:b/>
          <w:bCs/>
          <w:sz w:val="32"/>
          <w:szCs w:val="32"/>
          <w:highlight w:val="none"/>
          <w:lang w:val="en-US" w:eastAsia="zh-CN"/>
        </w:rPr>
        <w:t>水源镇中心小学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w:t>
      </w:r>
      <w:r>
        <w:rPr>
          <w:rFonts w:hint="eastAsia" w:ascii="黑体" w:hAnsi="黑体" w:eastAsia="黑体"/>
          <w:sz w:val="32"/>
          <w:szCs w:val="32"/>
          <w:lang w:eastAsia="zh-CN"/>
        </w:rPr>
        <w:t>本</w:t>
      </w:r>
      <w:r>
        <w:rPr>
          <w:rFonts w:hint="eastAsia" w:ascii="黑体" w:hAnsi="黑体" w:eastAsia="黑体"/>
          <w:sz w:val="32"/>
          <w:szCs w:val="32"/>
          <w:lang w:val="en-US" w:eastAsia="zh-CN"/>
        </w:rPr>
        <w:t>单位</w:t>
      </w:r>
      <w:r>
        <w:rPr>
          <w:rFonts w:hint="eastAsia" w:ascii="黑体" w:hAnsi="黑体" w:eastAsia="黑体"/>
          <w:sz w:val="32"/>
          <w:szCs w:val="32"/>
          <w:lang w:eastAsia="zh-CN"/>
        </w:rPr>
        <w:t>职责</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（一）贯彻执行党和国家的教育方针、政策和法律法规；拟订全县教育改革与发展规划并组织实施。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（二）编制本</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教育事业发展规划并检查实施情况，向自治县人民政府和上级教育部门作出报告。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（三）督促检查全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贯彻执行教育方针、政策、法令、法规和上级的各项规定；评估指导全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（四）负责推进义务教育均衡发展和促进教育公平，负责义务教育的宏观指导与协调和教育工作。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）负责组织全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做好</w:t>
      </w:r>
      <w:r>
        <w:rPr>
          <w:rFonts w:hint="eastAsia" w:ascii="仿宋_GB2312" w:hAnsi="宋体" w:eastAsia="仿宋_GB2312" w:cs="宋体"/>
          <w:sz w:val="32"/>
          <w:szCs w:val="32"/>
          <w:lang w:val="en-US" w:eastAsia="zh-CN"/>
        </w:rPr>
        <w:t>期考</w:t>
      </w:r>
      <w:r>
        <w:rPr>
          <w:rFonts w:hint="eastAsia" w:ascii="仿宋_GB2312" w:hAnsi="宋体" w:eastAsia="仿宋_GB2312" w:cs="宋体"/>
          <w:sz w:val="32"/>
          <w:szCs w:val="32"/>
          <w:lang w:eastAsia="zh-CN"/>
        </w:rPr>
        <w:t>的考务工作、招生录取</w:t>
      </w:r>
      <w:r>
        <w:rPr>
          <w:rFonts w:hint="eastAsia" w:ascii="仿宋_GB2312" w:hAnsi="宋体" w:eastAsia="仿宋_GB2312" w:cs="宋体"/>
          <w:sz w:val="32"/>
          <w:szCs w:val="32"/>
          <w:lang w:val="en-US" w:eastAsia="zh-CN"/>
        </w:rPr>
        <w:t>一年级新生</w:t>
      </w:r>
      <w:r>
        <w:rPr>
          <w:rFonts w:hint="eastAsia" w:ascii="仿宋_GB2312" w:hAnsi="宋体" w:eastAsia="仿宋_GB2312" w:cs="宋体"/>
          <w:sz w:val="32"/>
          <w:szCs w:val="32"/>
          <w:lang w:eastAsia="zh-CN"/>
        </w:rPr>
        <w:t>和小学学籍管理工作。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）按照中央关于全面推进素质教育要求，负责教育教学管理、教育教学改革及教育教学科学研究工作，检查指导全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实施素质教育工作，并组织推广先进的教育教学经验。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）检查指导学校教育教学设备的装备、管理和使用工作。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八</w:t>
      </w:r>
      <w:r>
        <w:rPr>
          <w:rFonts w:hint="eastAsia" w:ascii="仿宋_GB2312" w:hAnsi="宋体" w:eastAsia="仿宋_GB2312" w:cs="宋体"/>
          <w:sz w:val="32"/>
          <w:szCs w:val="32"/>
          <w:lang w:eastAsia="zh-CN"/>
        </w:rPr>
        <w:t>）检查指导全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开展电化教育和信息化教学工作。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九</w:t>
      </w:r>
      <w:r>
        <w:rPr>
          <w:rFonts w:hint="eastAsia" w:ascii="仿宋_GB2312" w:hAnsi="宋体" w:eastAsia="仿宋_GB2312" w:cs="宋体"/>
          <w:sz w:val="32"/>
          <w:szCs w:val="32"/>
          <w:lang w:eastAsia="zh-CN"/>
        </w:rPr>
        <w:t>）负责全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lang w:eastAsia="zh-CN"/>
        </w:rPr>
        <w:t>教师初级专业技术职务资格的评审，中、高级专业技术职务资格的申报工作。按照管理权限对教师进行考核、聘任、奖惩、晋升等工作。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（十）负责全</w:t>
      </w:r>
      <w:r>
        <w:rPr>
          <w:rFonts w:hint="eastAsia" w:ascii="仿宋_GB2312" w:hAnsi="宋体" w:eastAsia="仿宋_GB2312" w:cs="宋体"/>
          <w:sz w:val="32"/>
          <w:szCs w:val="32"/>
          <w:lang w:val="en-US" w:eastAsia="zh-CN"/>
        </w:rPr>
        <w:t>镇</w:t>
      </w:r>
      <w:r>
        <w:rPr>
          <w:rFonts w:hint="eastAsia" w:ascii="仿宋_GB2312" w:hAnsi="宋体" w:eastAsia="仿宋_GB2312" w:cs="宋体"/>
          <w:sz w:val="32"/>
          <w:szCs w:val="32"/>
          <w:lang w:eastAsia="zh-CN"/>
        </w:rPr>
        <w:t>小学校教学教育常规管理评估工作，指导全</w:t>
      </w:r>
      <w:r>
        <w:rPr>
          <w:rFonts w:hint="eastAsia" w:ascii="仿宋_GB2312" w:hAnsi="宋体" w:eastAsia="仿宋_GB2312" w:cs="宋体"/>
          <w:sz w:val="32"/>
          <w:szCs w:val="32"/>
          <w:lang w:val="en-US" w:eastAsia="zh-CN"/>
        </w:rPr>
        <w:t>镇</w:t>
      </w:r>
      <w:r>
        <w:rPr>
          <w:rFonts w:hint="eastAsia" w:ascii="仿宋_GB2312" w:hAnsi="宋体" w:eastAsia="仿宋_GB2312" w:cs="宋体"/>
          <w:sz w:val="32"/>
          <w:szCs w:val="32"/>
          <w:lang w:eastAsia="zh-CN"/>
        </w:rPr>
        <w:t>小学德育、体育、卫生、艺术、安全工作以及团组织和少先队工作。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）负责指导全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学生资助管理工作。</w:t>
      </w:r>
      <w:bookmarkStart w:id="5" w:name="_GoBack"/>
      <w:bookmarkEnd w:id="5"/>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（十</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）负责语言文字和指导推广普通话工作。</w:t>
      </w:r>
    </w:p>
    <w:p>
      <w:pPr>
        <w:ind w:firstLine="640"/>
        <w:jc w:val="lef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）完成自治县人民政府交办的其他工作。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w:t>
      </w:r>
      <w:r>
        <w:rPr>
          <w:rFonts w:hint="eastAsia" w:ascii="黑体" w:hAnsi="黑体" w:eastAsia="黑体"/>
          <w:sz w:val="32"/>
          <w:szCs w:val="32"/>
          <w:lang w:eastAsia="zh-CN"/>
        </w:rPr>
        <w:t>机构设置情况</w:t>
      </w:r>
    </w:p>
    <w:p>
      <w:pPr>
        <w:spacing w:line="460" w:lineRule="exact"/>
        <w:ind w:firstLine="640" w:firstLineChars="200"/>
        <w:rPr>
          <w:rFonts w:hint="eastAsia" w:ascii="仿宋" w:hAnsi="仿宋" w:eastAsia="仿宋" w:cs="仿宋"/>
          <w:color w:val="auto"/>
          <w:sz w:val="32"/>
          <w:szCs w:val="32"/>
        </w:rPr>
      </w:pPr>
      <w:r>
        <w:rPr>
          <w:rFonts w:hint="eastAsia" w:ascii="仿宋_GB2312" w:eastAsia="仿宋_GB2312" w:cs="仿宋_GB2312"/>
          <w:kern w:val="0"/>
          <w:sz w:val="32"/>
          <w:szCs w:val="32"/>
          <w:lang w:eastAsia="zh-CN"/>
        </w:rPr>
        <w:t>水源镇</w:t>
      </w:r>
      <w:r>
        <w:rPr>
          <w:rFonts w:hint="eastAsia" w:ascii="仿宋_GB2312" w:eastAsia="仿宋_GB2312" w:cs="仿宋_GB2312"/>
          <w:kern w:val="0"/>
          <w:sz w:val="32"/>
          <w:szCs w:val="32"/>
          <w:lang w:val="en-US" w:eastAsia="zh-CN"/>
        </w:rPr>
        <w:t>中心</w:t>
      </w:r>
      <w:r>
        <w:rPr>
          <w:rFonts w:hint="eastAsia" w:ascii="仿宋_GB2312" w:eastAsia="仿宋_GB2312" w:cs="仿宋_GB2312"/>
          <w:kern w:val="0"/>
          <w:sz w:val="32"/>
          <w:szCs w:val="32"/>
          <w:lang w:eastAsia="zh-CN"/>
        </w:rPr>
        <w:t>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个内设机构，分别为：</w:t>
      </w:r>
      <w:r>
        <w:rPr>
          <w:rFonts w:hint="eastAsia" w:ascii="仿宋_GB2312" w:eastAsia="仿宋_GB2312" w:cs="仿宋_GB2312"/>
          <w:kern w:val="0"/>
          <w:sz w:val="32"/>
          <w:szCs w:val="32"/>
          <w:lang w:eastAsia="zh-CN"/>
        </w:rPr>
        <w:t>书记</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、校长</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、行政办公室、财务</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教</w:t>
      </w:r>
      <w:r>
        <w:rPr>
          <w:rFonts w:hint="eastAsia" w:ascii="仿宋_GB2312" w:eastAsia="仿宋_GB2312" w:cs="仿宋_GB2312"/>
          <w:kern w:val="0"/>
          <w:sz w:val="32"/>
          <w:szCs w:val="32"/>
          <w:lang w:val="en-US" w:eastAsia="zh-CN"/>
        </w:rPr>
        <w:t>务处办公</w:t>
      </w:r>
      <w:r>
        <w:rPr>
          <w:rFonts w:hint="eastAsia" w:ascii="仿宋_GB2312" w:eastAsia="仿宋_GB2312" w:cs="仿宋_GB2312"/>
          <w:kern w:val="0"/>
          <w:sz w:val="32"/>
          <w:szCs w:val="32"/>
        </w:rPr>
        <w:t>室、</w:t>
      </w:r>
      <w:r>
        <w:rPr>
          <w:rFonts w:hint="eastAsia" w:ascii="仿宋_GB2312" w:eastAsia="仿宋_GB2312" w:cs="仿宋_GB2312"/>
          <w:kern w:val="0"/>
          <w:sz w:val="32"/>
          <w:szCs w:val="32"/>
          <w:lang w:val="en-US" w:eastAsia="zh-CN"/>
        </w:rPr>
        <w:t>政教处办公室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eastAsia="zh-CN"/>
        </w:rPr>
        <w:t>中心校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村校</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lang w:eastAsia="zh-CN"/>
        </w:rPr>
        <w:t>年全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事业编制数</w:t>
      </w:r>
      <w:r>
        <w:rPr>
          <w:rFonts w:hint="eastAsia" w:ascii="仿宋_GB2312" w:hAnsi="宋体" w:eastAsia="仿宋_GB2312" w:cs="宋体"/>
          <w:sz w:val="32"/>
          <w:szCs w:val="32"/>
          <w:lang w:val="en-US" w:eastAsia="zh-CN"/>
        </w:rPr>
        <w:t>120</w:t>
      </w:r>
      <w:r>
        <w:rPr>
          <w:rFonts w:hint="eastAsia" w:ascii="仿宋_GB2312" w:hAnsi="宋体" w:eastAsia="仿宋_GB2312" w:cs="宋体"/>
          <w:sz w:val="32"/>
          <w:szCs w:val="32"/>
          <w:lang w:eastAsia="zh-CN"/>
        </w:rPr>
        <w:t>人。实有在职人数</w:t>
      </w:r>
      <w:r>
        <w:rPr>
          <w:rFonts w:hint="eastAsia" w:ascii="仿宋_GB2312" w:hAnsi="宋体" w:eastAsia="仿宋_GB2312" w:cs="宋体"/>
          <w:sz w:val="32"/>
          <w:szCs w:val="32"/>
          <w:lang w:val="en-US" w:eastAsia="zh-CN"/>
        </w:rPr>
        <w:t>123</w:t>
      </w:r>
      <w:r>
        <w:rPr>
          <w:rFonts w:hint="eastAsia" w:ascii="仿宋_GB2312" w:hAnsi="宋体" w:eastAsia="仿宋_GB2312" w:cs="宋体"/>
          <w:sz w:val="32"/>
          <w:szCs w:val="32"/>
          <w:lang w:eastAsia="zh-CN"/>
        </w:rPr>
        <w:t>人，其中行政在职</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lang w:eastAsia="zh-CN"/>
        </w:rPr>
        <w:t>人，事业在职</w:t>
      </w:r>
      <w:r>
        <w:rPr>
          <w:rFonts w:hint="eastAsia" w:ascii="仿宋_GB2312" w:hAnsi="宋体" w:eastAsia="仿宋_GB2312" w:cs="宋体"/>
          <w:sz w:val="32"/>
          <w:szCs w:val="32"/>
          <w:lang w:val="en-US" w:eastAsia="zh-CN"/>
        </w:rPr>
        <w:t>123</w:t>
      </w:r>
      <w:r>
        <w:rPr>
          <w:rFonts w:hint="eastAsia" w:ascii="仿宋_GB2312" w:hAnsi="宋体" w:eastAsia="仿宋_GB2312" w:cs="宋体"/>
          <w:sz w:val="32"/>
          <w:szCs w:val="32"/>
          <w:lang w:eastAsia="zh-CN"/>
        </w:rPr>
        <w:t>人，退休人员</w:t>
      </w:r>
      <w:r>
        <w:rPr>
          <w:rFonts w:hint="eastAsia" w:ascii="仿宋_GB2312" w:hAnsi="宋体" w:eastAsia="仿宋_GB2312" w:cs="宋体"/>
          <w:sz w:val="32"/>
          <w:szCs w:val="32"/>
          <w:lang w:val="en-US" w:eastAsia="zh-CN"/>
        </w:rPr>
        <w:t>119</w:t>
      </w:r>
      <w:r>
        <w:rPr>
          <w:rFonts w:hint="eastAsia" w:ascii="仿宋_GB2312" w:hAnsi="宋体" w:eastAsia="仿宋_GB2312" w:cs="宋体"/>
          <w:sz w:val="32"/>
          <w:szCs w:val="32"/>
          <w:lang w:eastAsia="zh-CN"/>
        </w:rPr>
        <w:t>人,学校专职保安人员</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lang w:eastAsia="zh-CN"/>
        </w:rPr>
        <w:t>人，食堂钟点工</w:t>
      </w:r>
      <w:r>
        <w:rPr>
          <w:rFonts w:hint="eastAsia" w:ascii="仿宋_GB2312" w:hAnsi="宋体" w:eastAsia="仿宋_GB2312" w:cs="宋体"/>
          <w:sz w:val="32"/>
          <w:szCs w:val="32"/>
          <w:lang w:val="en-US" w:eastAsia="zh-CN"/>
        </w:rPr>
        <w:t>18</w:t>
      </w:r>
      <w:r>
        <w:rPr>
          <w:rFonts w:hint="eastAsia" w:ascii="仿宋_GB2312" w:hAnsi="宋体" w:eastAsia="仿宋_GB2312" w:cs="宋体"/>
          <w:sz w:val="32"/>
          <w:szCs w:val="32"/>
          <w:lang w:eastAsia="zh-CN"/>
        </w:rPr>
        <w:t>人。</w:t>
      </w:r>
      <w:r>
        <w:rPr>
          <w:rFonts w:hint="eastAsia" w:ascii="仿宋" w:hAnsi="仿宋" w:eastAsia="仿宋" w:cs="仿宋"/>
          <w:color w:val="auto"/>
          <w:sz w:val="32"/>
          <w:szCs w:val="32"/>
        </w:rPr>
        <w:t>按照部门决算编报要求，单独编制本部门决算。</w:t>
      </w:r>
    </w:p>
    <w:p>
      <w:pPr>
        <w:spacing w:line="460" w:lineRule="exact"/>
        <w:ind w:firstLine="640" w:firstLineChars="200"/>
        <w:rPr>
          <w:rFonts w:hint="eastAsia" w:ascii="仿宋" w:hAnsi="仿宋" w:eastAsia="仿宋" w:cs="仿宋"/>
          <w:color w:val="auto"/>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633" w:bottom="1440" w:left="1633" w:header="851" w:footer="992" w:gutter="0"/>
          <w:cols w:space="0" w:num="1"/>
          <w:rtlGutter w:val="0"/>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62" w:type="dxa"/>
        <w:tblInd w:w="93" w:type="dxa"/>
        <w:tblLayout w:type="fixed"/>
        <w:tblCellMar>
          <w:top w:w="0" w:type="dxa"/>
          <w:left w:w="108" w:type="dxa"/>
          <w:bottom w:w="0" w:type="dxa"/>
          <w:right w:w="108" w:type="dxa"/>
        </w:tblCellMar>
      </w:tblPr>
      <w:tblGrid>
        <w:gridCol w:w="3"/>
        <w:gridCol w:w="3624"/>
        <w:gridCol w:w="975"/>
        <w:gridCol w:w="1758"/>
        <w:gridCol w:w="3267"/>
        <w:gridCol w:w="1095"/>
        <w:gridCol w:w="2714"/>
        <w:gridCol w:w="526"/>
      </w:tblGrid>
      <w:tr>
        <w:tblPrEx>
          <w:tblCellMar>
            <w:top w:w="0" w:type="dxa"/>
            <w:left w:w="108" w:type="dxa"/>
            <w:bottom w:w="0" w:type="dxa"/>
            <w:right w:w="108" w:type="dxa"/>
          </w:tblCellMar>
        </w:tblPrEx>
        <w:trPr>
          <w:gridBefore w:val="1"/>
          <w:gridAfter w:val="1"/>
          <w:wBefore w:w="3" w:type="dxa"/>
          <w:wAfter w:w="526" w:type="dxa"/>
          <w:trHeight w:val="902" w:hRule="atLeast"/>
        </w:trPr>
        <w:tc>
          <w:tcPr>
            <w:tcW w:w="13433"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b/>
                <w:bCs/>
                <w:sz w:val="24"/>
                <w:highlight w:val="none"/>
              </w:rPr>
            </w:pPr>
            <w:r>
              <w:rPr>
                <w:rFonts w:hint="eastAsia" w:ascii="仿宋" w:hAnsi="仿宋" w:eastAsia="仿宋" w:cs="仿宋"/>
                <w:b/>
                <w:bCs/>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526" w:type="dxa"/>
          <w:trHeight w:val="301" w:hRule="atLeast"/>
        </w:trPr>
        <w:tc>
          <w:tcPr>
            <w:tcW w:w="362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5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6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1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gridBefore w:val="1"/>
          <w:gridAfter w:val="1"/>
          <w:wBefore w:w="3" w:type="dxa"/>
          <w:wAfter w:w="526" w:type="dxa"/>
          <w:trHeight w:val="301" w:hRule="atLeast"/>
        </w:trPr>
        <w:tc>
          <w:tcPr>
            <w:tcW w:w="3624"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部门：环江毛南族自治县水源镇中心小学</w:t>
            </w:r>
          </w:p>
        </w:tc>
        <w:tc>
          <w:tcPr>
            <w:tcW w:w="975"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rPr>
            </w:pPr>
          </w:p>
        </w:tc>
        <w:tc>
          <w:tcPr>
            <w:tcW w:w="1758"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rPr>
            </w:pPr>
          </w:p>
        </w:tc>
        <w:tc>
          <w:tcPr>
            <w:tcW w:w="3267"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14"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Before w:val="1"/>
          <w:gridAfter w:val="1"/>
          <w:wBefore w:w="3" w:type="dxa"/>
          <w:wAfter w:w="526" w:type="dxa"/>
          <w:trHeight w:val="315" w:hRule="atLeast"/>
        </w:trPr>
        <w:tc>
          <w:tcPr>
            <w:tcW w:w="6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7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gridBefore w:val="1"/>
          <w:gridAfter w:val="1"/>
          <w:wBefore w:w="3" w:type="dxa"/>
          <w:wAfter w:w="526" w:type="dxa"/>
          <w:trHeight w:val="315"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gridBefore w:val="1"/>
          <w:gridAfter w:val="1"/>
          <w:wBefore w:w="3" w:type="dxa"/>
          <w:wAfter w:w="526" w:type="dxa"/>
          <w:trHeight w:val="315"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2,951.88</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一、一般公共服务支出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32</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30.64</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二、外交支出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33</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三、国防支出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34</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四、上级补助收入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四、公共安全支出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35</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五、事业收入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五、教育支出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36</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2,297.89</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六、经营收入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六、科学技术支出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37</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七、附属单位上缴收入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38</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八、其他收入</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39</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九、卫生健康支出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40</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十、节能环保支出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41</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11</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十一、城乡社区支出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42</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十二、农林水支出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43</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十三、交通运输支出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44</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45</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46</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十六、金融支出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47</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48</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18</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49</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十九、住房保障支出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50</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51</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52</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23</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二十三、其他支出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54</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230.43</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24</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二十四、债务还本支出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55</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25</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二十五、债务付息支出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56</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26</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57</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i w:val="0"/>
                <w:color w:val="000000"/>
                <w:kern w:val="0"/>
                <w:sz w:val="22"/>
                <w:szCs w:val="22"/>
                <w:u w:val="none"/>
                <w:lang w:val="en-US" w:eastAsia="zh-CN" w:bidi="ar"/>
              </w:rPr>
              <w:t>本年收入合计</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27</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本年支出合计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28</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结余分配</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59</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年初结转和结余</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年末结转和结余</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60</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61</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526" w:type="dxa"/>
          <w:trHeight w:val="334" w:hRule="atLeast"/>
        </w:trPr>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i w:val="0"/>
                <w:color w:val="000000"/>
                <w:kern w:val="0"/>
                <w:sz w:val="22"/>
                <w:szCs w:val="22"/>
                <w:u w:val="none"/>
                <w:lang w:val="en-US" w:eastAsia="zh-CN" w:bidi="ar"/>
              </w:rPr>
              <w:t>总计</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31</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总计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62</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62" w:type="dxa"/>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62" w:type="dxa"/>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21" w:type="dxa"/>
        <w:tblInd w:w="96" w:type="dxa"/>
        <w:tblLayout w:type="fixed"/>
        <w:tblCellMar>
          <w:top w:w="0" w:type="dxa"/>
          <w:left w:w="108" w:type="dxa"/>
          <w:bottom w:w="0" w:type="dxa"/>
          <w:right w:w="108" w:type="dxa"/>
        </w:tblCellMar>
      </w:tblPr>
      <w:tblGrid>
        <w:gridCol w:w="1119"/>
        <w:gridCol w:w="1843"/>
        <w:gridCol w:w="236"/>
        <w:gridCol w:w="236"/>
        <w:gridCol w:w="1558"/>
        <w:gridCol w:w="1759"/>
        <w:gridCol w:w="1800"/>
        <w:gridCol w:w="1050"/>
        <w:gridCol w:w="1020"/>
        <w:gridCol w:w="1095"/>
        <w:gridCol w:w="1185"/>
        <w:gridCol w:w="1020"/>
      </w:tblGrid>
      <w:tr>
        <w:tblPrEx>
          <w:tblCellMar>
            <w:top w:w="0" w:type="dxa"/>
            <w:left w:w="108" w:type="dxa"/>
            <w:bottom w:w="0" w:type="dxa"/>
            <w:right w:w="108" w:type="dxa"/>
          </w:tblCellMar>
        </w:tblPrEx>
        <w:trPr>
          <w:trHeight w:val="951" w:hRule="atLeast"/>
        </w:trPr>
        <w:tc>
          <w:tcPr>
            <w:tcW w:w="13921" w:type="dxa"/>
            <w:gridSpan w:val="1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b/>
                <w:bCs/>
                <w:sz w:val="24"/>
                <w:highlight w:val="none"/>
              </w:rPr>
            </w:pPr>
            <w:r>
              <w:rPr>
                <w:rFonts w:hint="eastAsia" w:ascii="仿宋" w:hAnsi="仿宋" w:eastAsia="仿宋" w:cs="仿宋"/>
                <w:b/>
                <w:bCs/>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5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5"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8551"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05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5"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7" w:hRule="atLeast"/>
        </w:trPr>
        <w:tc>
          <w:tcPr>
            <w:tcW w:w="49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经营收入</w:t>
            </w:r>
          </w:p>
        </w:tc>
        <w:tc>
          <w:tcPr>
            <w:tcW w:w="11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1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87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7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7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9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720" w:hRule="atLeast"/>
        </w:trPr>
        <w:tc>
          <w:tcPr>
            <w:tcW w:w="49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2,953.55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2,953.55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2012999</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其他群众团体事务支出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30.64</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2050202</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小学教育</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2,289.95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2,289.95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2050299</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其他普通教育支出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5.88</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2050701</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特殊学校教育</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2050999</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其他教育费附加安排的支出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2080505</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2210201</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住房公积金</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2296004</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用于教育事业的彩票公益金支出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3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228.77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228.77</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21" w:type="dxa"/>
            <w:gridSpan w:val="12"/>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59"/>
        <w:gridCol w:w="83"/>
        <w:gridCol w:w="237"/>
        <w:gridCol w:w="303"/>
        <w:gridCol w:w="2875"/>
        <w:gridCol w:w="1666"/>
        <w:gridCol w:w="1728"/>
        <w:gridCol w:w="1562"/>
        <w:gridCol w:w="1531"/>
        <w:gridCol w:w="1055"/>
        <w:gridCol w:w="1881"/>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7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6"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6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1"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81"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513" w:type="dxa"/>
            <w:gridSpan w:val="8"/>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531"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5"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81"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2" w:hRule="atLeast"/>
        </w:trPr>
        <w:tc>
          <w:tcPr>
            <w:tcW w:w="45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6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49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6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45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33" w:hRule="atLeast"/>
        </w:trPr>
        <w:tc>
          <w:tcPr>
            <w:tcW w:w="45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2,953.55</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2,582.38</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371.17</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2012999</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其他群众团体事务支出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30.64</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2050202</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小学教育</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2,289.95</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1,927.79</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362.16</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2050299</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其他普通教育支出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5.88</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0.59</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5.29</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2050701</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特殊学校教育</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0.53</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0.53</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2050999</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其他教育费附加安排的支出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1.53</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1.53</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2080505</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2210201</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住房公积金</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2296004</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用于教育事业的彩票公益金支出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34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228.77</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228.77</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表四：财政拨款收入支出决算总表</w:t>
      </w:r>
    </w:p>
    <w:p>
      <w:pPr>
        <w:jc w:val="left"/>
        <w:rPr>
          <w:rFonts w:hint="eastAsia" w:ascii="仿宋" w:hAnsi="仿宋" w:eastAsia="仿宋" w:cs="仿宋"/>
          <w:sz w:val="24"/>
          <w:highlight w:val="none"/>
        </w:rPr>
      </w:pPr>
    </w:p>
    <w:tbl>
      <w:tblPr>
        <w:tblStyle w:val="6"/>
        <w:tblW w:w="17568" w:type="dxa"/>
        <w:tblInd w:w="0" w:type="dxa"/>
        <w:tblLayout w:type="fixed"/>
        <w:tblCellMar>
          <w:top w:w="0" w:type="dxa"/>
          <w:left w:w="108" w:type="dxa"/>
          <w:bottom w:w="0" w:type="dxa"/>
          <w:right w:w="108" w:type="dxa"/>
        </w:tblCellMar>
      </w:tblPr>
      <w:tblGrid>
        <w:gridCol w:w="3187"/>
        <w:gridCol w:w="735"/>
        <w:gridCol w:w="578"/>
        <w:gridCol w:w="577"/>
        <w:gridCol w:w="3435"/>
        <w:gridCol w:w="483"/>
        <w:gridCol w:w="132"/>
        <w:gridCol w:w="1200"/>
        <w:gridCol w:w="379"/>
        <w:gridCol w:w="142"/>
        <w:gridCol w:w="1114"/>
        <w:gridCol w:w="288"/>
        <w:gridCol w:w="483"/>
        <w:gridCol w:w="549"/>
        <w:gridCol w:w="203"/>
        <w:gridCol w:w="1387"/>
        <w:gridCol w:w="2696"/>
      </w:tblGrid>
      <w:tr>
        <w:tblPrEx>
          <w:tblCellMar>
            <w:top w:w="0" w:type="dxa"/>
            <w:left w:w="108" w:type="dxa"/>
            <w:bottom w:w="0" w:type="dxa"/>
            <w:right w:w="108" w:type="dxa"/>
          </w:tblCellMar>
        </w:tblPrEx>
        <w:trPr>
          <w:gridAfter w:val="1"/>
          <w:wAfter w:w="2696" w:type="dxa"/>
          <w:trHeight w:val="527" w:hRule="atLeast"/>
        </w:trPr>
        <w:tc>
          <w:tcPr>
            <w:tcW w:w="14872" w:type="dxa"/>
            <w:gridSpan w:val="1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4" w:hRule="atLeast"/>
        </w:trPr>
        <w:tc>
          <w:tcPr>
            <w:tcW w:w="318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27" w:type="dxa"/>
            <w:gridSpan w:val="5"/>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6"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5" w:type="dxa"/>
            <w:gridSpan w:val="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3"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gridAfter w:val="1"/>
          <w:wAfter w:w="2696" w:type="dxa"/>
          <w:trHeight w:val="264" w:hRule="atLeast"/>
        </w:trPr>
        <w:tc>
          <w:tcPr>
            <w:tcW w:w="8995"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853" w:type="dxa"/>
            <w:gridSpan w:val="4"/>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85" w:type="dxa"/>
            <w:gridSpan w:val="3"/>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39" w:type="dxa"/>
            <w:gridSpan w:val="3"/>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2696" w:type="dxa"/>
          <w:trHeight w:val="272" w:hRule="atLeast"/>
        </w:trPr>
        <w:tc>
          <w:tcPr>
            <w:tcW w:w="50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979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gridAfter w:val="1"/>
          <w:wAfter w:w="2696" w:type="dxa"/>
          <w:trHeight w:val="53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CellMar>
            <w:top w:w="0" w:type="dxa"/>
            <w:left w:w="108" w:type="dxa"/>
            <w:bottom w:w="0" w:type="dxa"/>
            <w:right w:w="108" w:type="dxa"/>
          </w:tblCellMar>
        </w:tblPrEx>
        <w:trPr>
          <w:gridAfter w:val="1"/>
          <w:wAfter w:w="2696" w:type="dxa"/>
          <w:trHeight w:val="461"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gridAfter w:val="1"/>
          <w:wAfter w:w="2696" w:type="dxa"/>
          <w:trHeight w:val="45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2,951.88</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一、一般公共服务支出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30.64</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696" w:type="dxa"/>
          <w:trHeight w:val="43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二、政府性基金预算财政拨款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二、外交支出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9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三、国防支出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四、公共安全支出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五、教育支出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2,297.89</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2,297.89</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六、科学技术支出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39</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225.48</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225.48</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九、卫生健康支出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十、节能环保支出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十一、城乡社区支出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十二、农林水支出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13</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十三、交通运输支出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9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十六、金融支出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7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49</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18</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19</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十九、住房保障支出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169.11</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169.11</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7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23</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二十三、其他支出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230.43</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228.77</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24</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二十四、债务还本支出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二十五、债务付息支出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9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26</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272"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本年收入合计</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27</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本年支出合计</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59</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2,953.55</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2,951.88</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7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年初财政拨款结转和结余</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28</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60</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6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29</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40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405"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rPr>
            </w:pP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696" w:type="dxa"/>
          <w:trHeight w:val="370" w:hRule="atLeast"/>
        </w:trPr>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总计</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32</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2,953.55</w:t>
            </w:r>
          </w:p>
        </w:tc>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总计</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color w:val="000000"/>
                <w:kern w:val="0"/>
                <w:sz w:val="22"/>
                <w:szCs w:val="22"/>
                <w:u w:val="none"/>
                <w:lang w:val="en-US" w:eastAsia="zh-CN" w:bidi="ar"/>
              </w:rPr>
              <w:t>2,953.55</w:t>
            </w:r>
          </w:p>
        </w:tc>
        <w:tc>
          <w:tcPr>
            <w:tcW w:w="1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2,951.88</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1.67</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bl>
    <w:p>
      <w:pPr>
        <w:jc w:val="left"/>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注：本表反映部门本年度一般公共预算财政拨款、政府性基金预算财政拨款和国有资本经营预算财政拨款的总收支和年末结转结余情况。</w:t>
      </w:r>
    </w:p>
    <w:p>
      <w:pPr>
        <w:jc w:val="left"/>
        <w:rPr>
          <w:rFonts w:hint="eastAsia"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49"/>
        <w:gridCol w:w="234"/>
        <w:gridCol w:w="238"/>
        <w:gridCol w:w="238"/>
        <w:gridCol w:w="3970"/>
        <w:gridCol w:w="1255"/>
        <w:gridCol w:w="1100"/>
        <w:gridCol w:w="2007"/>
        <w:gridCol w:w="603"/>
        <w:gridCol w:w="2286"/>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7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3107"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2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20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468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3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26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2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2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8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8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2,951.88</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2,582.38</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369.50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2050202</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小学教育</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2,289.95</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1,927.79</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362.16</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2050299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其他普通教育支出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5.88</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0.59</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5.29</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2050701</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特殊学校教育</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0.53</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0.53</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其他教育费附加安排的支出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1.53</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1.53</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2080505</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225.48</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225.48</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2210201</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住房公积金</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169.11</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169.11</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2299999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228.77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228.77</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jc w:val="left"/>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注：本表反映部门本年度一般公共预算财政拨款支出情况。</w:t>
      </w:r>
    </w:p>
    <w:p>
      <w:pPr>
        <w:jc w:val="left"/>
        <w:rPr>
          <w:rFonts w:hint="eastAsia"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423"/>
        <w:gridCol w:w="1245"/>
        <w:gridCol w:w="1110"/>
        <w:gridCol w:w="1770"/>
        <w:gridCol w:w="185"/>
        <w:gridCol w:w="1060"/>
        <w:gridCol w:w="100"/>
        <w:gridCol w:w="1173"/>
        <w:gridCol w:w="2282"/>
        <w:gridCol w:w="1174"/>
      </w:tblGrid>
      <w:tr>
        <w:tblPrEx>
          <w:tblCellMar>
            <w:top w:w="0" w:type="dxa"/>
            <w:left w:w="108" w:type="dxa"/>
            <w:bottom w:w="0" w:type="dxa"/>
            <w:right w:w="108" w:type="dxa"/>
          </w:tblCellMar>
        </w:tblPrEx>
        <w:trPr>
          <w:trHeight w:val="614" w:hRule="atLeast"/>
        </w:trPr>
        <w:tc>
          <w:tcPr>
            <w:tcW w:w="14000" w:type="dxa"/>
            <w:gridSpan w:val="1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8"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55"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8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160"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51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885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5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552"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工资福利支出</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2,340.99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商品和服务支出</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307</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债务利息及费用支出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99"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30101</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color w:val="000000"/>
                <w:kern w:val="0"/>
                <w:sz w:val="22"/>
                <w:szCs w:val="22"/>
                <w:u w:val="none"/>
                <w:lang w:val="en-US" w:eastAsia="zh-CN" w:bidi="ar"/>
              </w:rPr>
              <w:t xml:space="preserve">  基本工资</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724.33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30201</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办公费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30701</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30102</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164.63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30202</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印刷费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30702</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5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30103</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629.41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30203</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咨询费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40" w:firstLineChars="20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资本性支出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9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30106</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30204</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手续费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31001</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30107</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325.39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30205</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水费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31002</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5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30108</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225.48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30206</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电费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31003</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4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30109</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30207</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邮电费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31005</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4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30110</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91.34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30208</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取暖费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31006</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79"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30111</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30209</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31007</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9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30112</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11.31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30211</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差旅费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31008</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30113</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169.11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30212</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31009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30114</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30213</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31010</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30199</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30214</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租赁费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31011</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210.75</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30215</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会议费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31012</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30301</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离休费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30216</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培训费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31013</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30302</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退休费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30217</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31019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30303</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30218</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31021</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30304</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抚恤金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40.26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30224</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31022</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30305</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170.48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30225</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31099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30306</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救济费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30226</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劳务费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30307</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30227</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39907</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30308</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助学金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30228</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39908</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30309</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奖励金</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30229</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福利费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39909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30310</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30231</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39910</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30311</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30239</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2"/>
                <w:szCs w:val="22"/>
                <w:u w:val="none"/>
                <w:lang w:val="en-US" w:eastAsia="zh-CN" w:bidi="ar"/>
              </w:rPr>
              <w:t>39999</w:t>
            </w: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30399</w:t>
            </w: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30240</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rPr>
            </w:pP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30299</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rPr>
            </w:pPr>
          </w:p>
        </w:tc>
        <w:tc>
          <w:tcPr>
            <w:tcW w:w="2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39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人员经费合计</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2,551.74</w:t>
            </w:r>
          </w:p>
        </w:tc>
        <w:tc>
          <w:tcPr>
            <w:tcW w:w="76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公用经费合计</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30.64</w:t>
            </w:r>
          </w:p>
        </w:tc>
      </w:tr>
      <w:bookmarkEnd w:id="0"/>
      <w:bookmarkEnd w:id="1"/>
      <w:tr>
        <w:tblPrEx>
          <w:tblCellMar>
            <w:top w:w="0" w:type="dxa"/>
            <w:left w:w="108" w:type="dxa"/>
            <w:bottom w:w="0" w:type="dxa"/>
            <w:right w:w="108" w:type="dxa"/>
          </w:tblCellMar>
        </w:tblPrEx>
        <w:trPr>
          <w:trHeight w:val="319" w:hRule="atLeast"/>
        </w:trPr>
        <w:tc>
          <w:tcPr>
            <w:tcW w:w="14000" w:type="dxa"/>
            <w:gridSpan w:val="12"/>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七</w:t>
      </w:r>
      <w:r>
        <w:rPr>
          <w:rFonts w:hint="eastAsia" w:ascii="仿宋" w:hAnsi="仿宋" w:eastAsia="仿宋" w:cs="仿宋"/>
          <w:b/>
          <w:bCs/>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179"/>
        <w:gridCol w:w="118"/>
        <w:gridCol w:w="240"/>
        <w:gridCol w:w="236"/>
        <w:gridCol w:w="1986"/>
        <w:gridCol w:w="1785"/>
        <w:gridCol w:w="1480"/>
        <w:gridCol w:w="1600"/>
        <w:gridCol w:w="69"/>
        <w:gridCol w:w="1611"/>
        <w:gridCol w:w="58"/>
        <w:gridCol w:w="1670"/>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4"/>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8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8"/>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680"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本年收入</w:t>
            </w:r>
          </w:p>
        </w:tc>
        <w:tc>
          <w:tcPr>
            <w:tcW w:w="50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58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1.67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1.67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1.67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2296004</w:t>
            </w: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用于教育事业的彩票公益金支出</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80" w:type="dxa"/>
            <w:gridSpan w:val="4"/>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85"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80" w:type="dxa"/>
            <w:gridSpan w:val="4"/>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85"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80" w:type="dxa"/>
            <w:gridSpan w:val="4"/>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85"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1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80"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8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注：本表反映部门本年度政府性基金预算财政拨款收入、支出及结转和结余情况。</w: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八</w:t>
      </w:r>
      <w:r>
        <w:rPr>
          <w:rFonts w:hint="eastAsia" w:ascii="仿宋" w:hAnsi="仿宋" w:eastAsia="仿宋" w:cs="仿宋"/>
          <w:b/>
          <w:bCs/>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default" w:ascii="仿宋" w:hAnsi="仿宋" w:eastAsia="仿宋" w:cs="仿宋"/>
                <w:b/>
                <w:bCs/>
                <w:sz w:val="24"/>
                <w:highlight w:val="none"/>
              </w:rPr>
            </w:pPr>
            <w:r>
              <w:rPr>
                <w:rFonts w:hint="eastAsia" w:ascii="仿宋" w:hAnsi="仿宋" w:eastAsia="仿宋" w:cs="仿宋"/>
                <w:b/>
                <w:bCs/>
                <w:sz w:val="24"/>
                <w:highlight w:val="none"/>
                <w:lang w:val="en-US" w:eastAsia="zh-CN"/>
              </w:rPr>
              <w:t>表九：</w:t>
            </w:r>
            <w:r>
              <w:rPr>
                <w:rFonts w:hint="eastAsia" w:ascii="仿宋" w:hAnsi="仿宋" w:eastAsia="仿宋" w:cs="仿宋"/>
                <w:b/>
                <w:bCs/>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tcPr>
          <w:p>
            <w:pPr>
              <w:keepNext w:val="0"/>
              <w:keepLines w:val="0"/>
              <w:suppressLineNumbers w:val="0"/>
              <w:spacing w:before="0" w:beforeAutospacing="0" w:after="0" w:afterAutospacing="0"/>
              <w:ind w:left="0" w:right="0"/>
              <w:jc w:val="right"/>
              <w:rPr>
                <w:rFonts w:hint="default"/>
                <w:highlight w:val="none"/>
              </w:rPr>
            </w:pPr>
          </w:p>
        </w:tc>
        <w:tc>
          <w:tcPr>
            <w:tcW w:w="1073" w:type="dxa"/>
            <w:tcBorders>
              <w:top w:val="nil"/>
              <w:left w:val="nil"/>
              <w:bottom w:val="single" w:color="000000" w:sz="4" w:space="0"/>
              <w:right w:val="single" w:color="000000" w:sz="4" w:space="0"/>
            </w:tcBorders>
            <w:shd w:val="clear" w:color="auto" w:fill="auto"/>
          </w:tcPr>
          <w:p>
            <w:pPr>
              <w:keepNext w:val="0"/>
              <w:keepLines w:val="0"/>
              <w:suppressLineNumbers w:val="0"/>
              <w:spacing w:before="0" w:beforeAutospacing="0" w:after="0" w:afterAutospacing="0"/>
              <w:ind w:left="0" w:right="0"/>
              <w:jc w:val="right"/>
              <w:rPr>
                <w:rFonts w:hint="default"/>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环江毛南族自治县水源镇中心小学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keepNext w:val="0"/>
        <w:keepLines w:val="0"/>
        <w:widowControl w:val="0"/>
        <w:numPr>
          <w:ilvl w:val="0"/>
          <w:numId w:val="1"/>
        </w:numPr>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年度总收入2953.55万元，较20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增加251.64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增长9.31</w:t>
      </w:r>
      <w:r>
        <w:rPr>
          <w:rFonts w:hint="eastAsia" w:ascii="仿宋" w:hAnsi="仿宋" w:eastAsia="仿宋" w:cs="仿宋"/>
          <w:sz w:val="32"/>
          <w:szCs w:val="32"/>
          <w:highlight w:val="none"/>
        </w:rPr>
        <w:t>%，其中本年收入2953.55万元。收入具体情况如下。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1.一般公共预算财政拨款收入2951.88万元，为环江毛南族自治县本级财政当年拨付的资金。较2022年度决算数增加250.94万元，增长9.29%，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主要原因:（1）五险一金基数提高，社保及公积金提高；（2）在职人员工资有所提高；（3）上级专款收入增加。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2.政府性基金预算财政拨款收入1.67万元，为环江毛南族自治县本级财政当年拨付的资金。较比2022年度决算数增加0.7万元，增长72.16%，</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主要原因：2023年学校开展少先队活动多，</w:t>
      </w:r>
      <w:r>
        <w:rPr>
          <w:rFonts w:hint="eastAsia" w:ascii="华文仿宋" w:hAnsi="华文仿宋" w:eastAsia="华文仿宋" w:cs="华文仿宋"/>
          <w:kern w:val="0"/>
          <w:sz w:val="32"/>
          <w:szCs w:val="32"/>
          <w:lang w:val="en-US" w:eastAsia="zh-CN"/>
        </w:rPr>
        <w:t>少年宫教师辅导劳务费、少年宫课外辅导费用增加</w:t>
      </w:r>
      <w:r>
        <w:rPr>
          <w:rFonts w:hint="eastAsia" w:ascii="华文仿宋" w:hAnsi="华文仿宋" w:eastAsia="华文仿宋" w:cs="华文仿宋"/>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3.国有资本经营预算财政拨款收入0.00万元。为环江毛南族自治县本级财政当年拨付的资金。较比2022年度决算数增加0.00万元,增长0%，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万元，为上级部门当年拨付的资金。较比2022年度决算数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万元，为事业单位开展业务活动取得的收入。较比2022年度决算数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0.00万,为事业单位在业务活动之外开展非独立核算经营活动取得的收入。较比2022年度决算数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万元。较比2022年度决算数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8.其他收入0.00万元,为预算单位在“财政拨款收入”“事业收入”“经营收入”之外取得的收入。较比2022年度决算数增加0.00万元，增长0%，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万元,主要是所属事业单位在当年的“财政拨款收入”“事业收入”“经营收入”及“其他收入”不能保证其支出的情况下，使用以前年度积累的非财政拨款结余弥补本年度收支缺口的资金。较比2022年度决算数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万元，因为以前年度支出，预算已执行完毕，</w:t>
      </w:r>
      <w:r>
        <w:rPr>
          <w:rFonts w:hint="eastAsia" w:ascii="仿宋" w:hAnsi="仿宋" w:eastAsia="仿宋" w:cs="仿宋"/>
          <w:color w:val="auto"/>
          <w:kern w:val="2"/>
          <w:sz w:val="32"/>
          <w:szCs w:val="32"/>
          <w:highlight w:val="none"/>
          <w:lang w:val="en-US" w:eastAsia="zh-CN" w:bidi="ar"/>
        </w:rPr>
        <w:t>不需要结转至本年继续执行。</w:t>
      </w:r>
      <w:r>
        <w:rPr>
          <w:rFonts w:hint="eastAsia" w:ascii="仿宋" w:hAnsi="仿宋" w:eastAsia="仿宋" w:cs="仿宋"/>
          <w:kern w:val="2"/>
          <w:sz w:val="32"/>
          <w:szCs w:val="32"/>
          <w:highlight w:val="none"/>
          <w:lang w:val="en-US" w:eastAsia="zh-CN" w:bidi="ar"/>
        </w:rPr>
        <w:t>较比2022年度决算数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所有项目已在本年执行完毕，不需要结转至下年继续执行。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rPr>
        <w:t>2953.55</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2953.55</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251.64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9.31</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1、一般公共服务支出（201类）30.64万元，主要用于教职工工会活动费用、慰问特困、重病、退休教师。较比2022年度决算数增加2.17万元，增加7.62%，主要原因是教职工工会活动费用有所提高。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yellow"/>
          <w:lang w:val="en-US"/>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2297.89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主要用于全镇教职工工资</w:t>
      </w:r>
      <w:r>
        <w:rPr>
          <w:rFonts w:hint="eastAsia" w:ascii="仿宋" w:hAnsi="仿宋" w:eastAsia="仿宋" w:cs="仿宋"/>
          <w:color w:val="000000" w:themeColor="text1"/>
          <w:sz w:val="32"/>
          <w:szCs w:val="32"/>
          <w:highlight w:val="none"/>
          <w:lang w:val="en-US" w:eastAsia="zh-CN"/>
          <w14:textFill>
            <w14:solidFill>
              <w14:schemeClr w14:val="tx1"/>
            </w14:solidFill>
          </w14:textFill>
        </w:rPr>
        <w:t>以</w:t>
      </w:r>
      <w:r>
        <w:rPr>
          <w:rFonts w:hint="eastAsia" w:ascii="仿宋" w:hAnsi="仿宋" w:eastAsia="仿宋" w:cs="仿宋"/>
          <w:color w:val="000000" w:themeColor="text1"/>
          <w:sz w:val="32"/>
          <w:szCs w:val="32"/>
          <w:highlight w:val="none"/>
          <w:lang w:eastAsia="zh-CN"/>
          <w14:textFill>
            <w14:solidFill>
              <w14:schemeClr w14:val="tx1"/>
            </w14:solidFill>
          </w14:textFill>
        </w:rPr>
        <w:t>及为开展教育教学活动的支出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增加164.13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增长7.69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主要原因是在职人员工资</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比2022年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有所提高</w:t>
      </w:r>
      <w:r>
        <w:rPr>
          <w:rFonts w:hint="eastAsia" w:ascii="仿宋" w:hAnsi="仿宋" w:eastAsia="仿宋" w:cs="仿宋"/>
          <w:color w:val="auto"/>
          <w:kern w:val="2"/>
          <w:sz w:val="32"/>
          <w:szCs w:val="32"/>
          <w:highlight w:val="none"/>
          <w:lang w:val="en-US" w:eastAsia="zh-CN" w:bidi="ar"/>
        </w:rPr>
        <w:t>，乡村教师生活补助标准较比2022年也有所提高。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类）225.48万元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主要用于缴纳教职工“五险”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22.24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10.94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color w:val="auto"/>
          <w:kern w:val="0"/>
          <w:sz w:val="32"/>
          <w:szCs w:val="32"/>
          <w:lang w:val="en-US" w:eastAsia="zh-CN"/>
        </w:rPr>
        <w:t>是</w:t>
      </w:r>
      <w:r>
        <w:rPr>
          <w:rFonts w:hint="eastAsia" w:ascii="华文仿宋" w:hAnsi="华文仿宋" w:eastAsia="华文仿宋" w:cs="华文仿宋"/>
          <w:kern w:val="0"/>
          <w:sz w:val="32"/>
          <w:szCs w:val="32"/>
          <w:lang w:val="en-US" w:eastAsia="zh-CN"/>
        </w:rPr>
        <w:t>2023年</w:t>
      </w:r>
      <w:r>
        <w:rPr>
          <w:rFonts w:hint="eastAsia" w:ascii="仿宋" w:hAnsi="仿宋" w:eastAsia="仿宋" w:cs="仿宋"/>
          <w:color w:val="000000" w:themeColor="text1"/>
          <w:sz w:val="32"/>
          <w:szCs w:val="32"/>
          <w:highlight w:val="none"/>
          <w:lang w:eastAsia="zh-CN"/>
          <w14:textFill>
            <w14:solidFill>
              <w14:schemeClr w14:val="tx1"/>
            </w14:solidFill>
          </w14:textFill>
        </w:rPr>
        <w:t>“五险”</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基数提高</w:t>
      </w:r>
      <w:r>
        <w:rPr>
          <w:rFonts w:hint="eastAsia" w:ascii="华文仿宋" w:hAnsi="华文仿宋" w:eastAsia="华文仿宋" w:cs="华文仿宋"/>
          <w:kern w:val="0"/>
          <w:sz w:val="32"/>
          <w:szCs w:val="32"/>
          <w:lang w:val="en-US"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缴纳</w:t>
      </w:r>
      <w:r>
        <w:rPr>
          <w:rFonts w:hint="eastAsia" w:ascii="仿宋" w:hAnsi="仿宋" w:eastAsia="仿宋" w:cs="仿宋"/>
          <w:color w:val="000000" w:themeColor="text1"/>
          <w:sz w:val="32"/>
          <w:szCs w:val="32"/>
          <w:highlight w:val="none"/>
          <w:lang w:val="en-US" w:eastAsia="zh-CN"/>
          <w14:textFill>
            <w14:solidFill>
              <w14:schemeClr w14:val="tx1"/>
            </w14:solidFill>
          </w14:textFill>
        </w:rPr>
        <w:t>有所增加</w:t>
      </w:r>
      <w:r>
        <w:rPr>
          <w:rFonts w:hint="eastAsia" w:ascii="华文仿宋" w:hAnsi="华文仿宋" w:eastAsia="华文仿宋" w:cs="华文仿宋"/>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类）169.11万元：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华文仿宋" w:hAnsi="华文仿宋" w:eastAsia="华文仿宋" w:cs="华文仿宋"/>
          <w:kern w:val="0"/>
          <w:sz w:val="32"/>
          <w:szCs w:val="32"/>
        </w:rPr>
        <w:t>教职工</w:t>
      </w:r>
      <w:r>
        <w:rPr>
          <w:rFonts w:hint="eastAsia" w:ascii="仿宋" w:hAnsi="仿宋" w:eastAsia="仿宋" w:cs="仿宋"/>
          <w:color w:val="000000" w:themeColor="text1"/>
          <w:sz w:val="32"/>
          <w:szCs w:val="32"/>
          <w:highlight w:val="none"/>
          <w:lang w:val="en-US" w:eastAsia="zh-CN"/>
          <w14:textFill>
            <w14:solidFill>
              <w14:schemeClr w14:val="tx1"/>
            </w14:solidFill>
          </w14:textFill>
        </w:rPr>
        <w:t>住房保障</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增加16.66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增加10.93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主要原因是教职工的工资比往年有所增加，缴纳的住房公积金也有所增加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其他支出（229类）230.43万元，主要用于教职工奖励性补贴以及少年宫教师辅导劳务费、少年宫课外辅导费用。较比2022年度决算数增加46.44万元增加25.24%，主要原因是教职工奖励性补贴有所提高以及少年宫教师辅导劳务费、少年宫课外辅导费用也有所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因</w:t>
      </w:r>
      <w:r>
        <w:rPr>
          <w:rFonts w:hint="default" w:ascii="仿宋_GB2312" w:hAnsi="微软雅黑" w:eastAsia="仿宋_GB2312" w:cs="仿宋_GB2312"/>
          <w:i w:val="0"/>
          <w:iCs w:val="0"/>
          <w:caps w:val="0"/>
          <w:color w:val="000000"/>
          <w:spacing w:val="0"/>
          <w:sz w:val="31"/>
          <w:szCs w:val="31"/>
          <w:highlight w:val="none"/>
          <w:shd w:val="clear" w:color="auto" w:fill="FFFFFF"/>
        </w:rPr>
        <w:t>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是我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单位按规定提取的职工福利基金、事业基金和缴纳的所得税。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因</w:t>
      </w:r>
      <w:r>
        <w:rPr>
          <w:rFonts w:hint="eastAsia" w:ascii="仿宋" w:hAnsi="仿宋" w:eastAsia="仿宋" w:cs="仿宋"/>
          <w:color w:val="000000" w:themeColor="text1"/>
          <w:sz w:val="32"/>
          <w:szCs w:val="32"/>
          <w:highlight w:val="none"/>
          <w14:textFill>
            <w14:solidFill>
              <w14:schemeClr w14:val="tx1"/>
            </w14:solidFill>
          </w14:textFill>
        </w:rPr>
        <w:t>为本年度预算安排</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按原计划实施，</w:t>
      </w:r>
      <w:r>
        <w:rPr>
          <w:rFonts w:hint="eastAsia" w:ascii="仿宋" w:hAnsi="仿宋" w:eastAsia="仿宋" w:cs="仿宋"/>
          <w:color w:val="000000" w:themeColor="text1"/>
          <w:sz w:val="32"/>
          <w:szCs w:val="32"/>
          <w:highlight w:val="none"/>
          <w:lang w:val="en-US" w:eastAsia="zh-CN"/>
          <w14:textFill>
            <w14:solidFill>
              <w14:schemeClr w14:val="tx1"/>
            </w14:solidFill>
          </w14:textFill>
        </w:rPr>
        <w:t>不</w:t>
      </w:r>
      <w:r>
        <w:rPr>
          <w:rFonts w:hint="eastAsia" w:ascii="仿宋" w:hAnsi="仿宋" w:eastAsia="仿宋" w:cs="仿宋"/>
          <w:color w:val="000000" w:themeColor="text1"/>
          <w:sz w:val="32"/>
          <w:szCs w:val="32"/>
          <w:highlight w:val="none"/>
          <w14:textFill>
            <w14:solidFill>
              <w14:schemeClr w14:val="tx1"/>
            </w14:solidFill>
          </w14:textFill>
        </w:rPr>
        <w:t>需要延迟到以后年度继续使用的资金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减少0</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减少0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主要原因是按年初</w:t>
      </w:r>
      <w:r>
        <w:rPr>
          <w:rFonts w:hint="eastAsia" w:ascii="仿宋" w:hAnsi="仿宋" w:eastAsia="仿宋" w:cs="仿宋"/>
          <w:kern w:val="2"/>
          <w:sz w:val="32"/>
          <w:szCs w:val="32"/>
          <w:highlight w:val="none"/>
          <w:lang w:val="en-US" w:eastAsia="zh-CN" w:bidi="ar"/>
        </w:rPr>
        <w:t>预算已执行完毕，</w:t>
      </w:r>
      <w:r>
        <w:rPr>
          <w:rFonts w:hint="eastAsia" w:ascii="仿宋" w:hAnsi="仿宋" w:eastAsia="仿宋" w:cs="仿宋"/>
          <w:color w:val="auto"/>
          <w:kern w:val="2"/>
          <w:sz w:val="32"/>
          <w:szCs w:val="32"/>
          <w:highlight w:val="none"/>
          <w:lang w:val="en-US" w:eastAsia="zh-CN" w:bidi="ar"/>
        </w:rPr>
        <w:t>不需要结转至明年继续执行。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2953.55</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251.64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9.31</w:t>
      </w:r>
      <w:r>
        <w:rPr>
          <w:rFonts w:ascii="仿宋" w:hAnsi="仿宋" w:eastAsia="仿宋" w:cs="仿宋"/>
          <w:sz w:val="32"/>
          <w:u w:color="auto"/>
        </w:rPr>
        <w:t>%</w:t>
      </w:r>
      <w:r>
        <w:rPr>
          <w:rFonts w:hint="eastAsia" w:ascii="仿宋" w:hAnsi="仿宋" w:eastAsia="仿宋" w:cs="仿宋"/>
          <w:sz w:val="32"/>
          <w:szCs w:val="32"/>
          <w:highlight w:val="none"/>
        </w:rPr>
        <w:t>。其中：基本支出2582.38万元，项目支出371.17万元。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环江毛南族自治县水源镇中心小学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szCs w:val="32"/>
          <w:highlight w:val="none"/>
          <w:lang w:val="en-US" w:eastAsia="zh-CN"/>
        </w:rPr>
        <w:t>2144.1</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rPr>
        <w:t>2953.55</w:t>
      </w:r>
      <w:r>
        <w:rPr>
          <w:rFonts w:hint="eastAsia" w:ascii="仿宋" w:hAnsi="仿宋" w:eastAsia="仿宋" w:cs="仿宋"/>
          <w:color w:val="auto"/>
          <w:sz w:val="32"/>
          <w:szCs w:val="32"/>
          <w:highlight w:val="none"/>
        </w:rPr>
        <w:t>万元，完成年初预算的13</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75</w:t>
      </w:r>
      <w:r>
        <w:rPr>
          <w:rFonts w:hint="eastAsia" w:ascii="仿宋" w:hAnsi="仿宋" w:eastAsia="仿宋" w:cs="仿宋"/>
          <w:color w:val="auto"/>
          <w:sz w:val="32"/>
          <w:szCs w:val="32"/>
          <w:highlight w:val="none"/>
        </w:rPr>
        <w:t>%。</w:t>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eastAsia="仿宋"/>
          <w:color w:val="FF0000"/>
          <w:highlight w:val="none"/>
          <w:lang w:val="en-US" w:eastAsia="zh-CN"/>
        </w:rPr>
      </w:pPr>
      <w:bookmarkStart w:id="3" w:name="OLE_LINK2"/>
      <w:bookmarkEnd w:id="3"/>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1666.25</w:t>
      </w:r>
      <w:r>
        <w:rPr>
          <w:rFonts w:hint="eastAsia" w:ascii="仿宋" w:hAnsi="仿宋" w:eastAsia="仿宋"/>
          <w:color w:val="auto"/>
          <w:sz w:val="32"/>
          <w:szCs w:val="32"/>
          <w:highlight w:val="none"/>
        </w:rPr>
        <w:t>万元，支出决算为</w:t>
      </w:r>
      <w:r>
        <w:rPr>
          <w:rFonts w:hint="eastAsia" w:ascii="仿宋" w:hAnsi="仿宋" w:eastAsia="仿宋" w:cs="仿宋"/>
          <w:color w:val="auto"/>
          <w:sz w:val="32"/>
          <w:szCs w:val="32"/>
          <w:highlight w:val="none"/>
          <w:lang w:bidi="ar"/>
        </w:rPr>
        <w:t>2297.89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137.9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该类支出部分资金由上级部门预算直接下达，本部门无需预算，如义教补助资金中的寄宿生生活补助，公用经费等，</w:t>
      </w:r>
      <w:r>
        <w:rPr>
          <w:rFonts w:hint="eastAsia" w:ascii="仿宋" w:hAnsi="仿宋" w:eastAsia="仿宋"/>
          <w:color w:val="auto"/>
          <w:sz w:val="32"/>
          <w:szCs w:val="32"/>
          <w:highlight w:val="none"/>
          <w:lang w:val="en-US" w:eastAsia="zh-CN"/>
        </w:rPr>
        <w:t>2023年教师工资上调以及</w:t>
      </w:r>
      <w:r>
        <w:rPr>
          <w:rFonts w:hint="eastAsia" w:ascii="华文仿宋" w:hAnsi="华文仿宋" w:eastAsia="华文仿宋" w:cs="华文仿宋"/>
          <w:color w:val="auto"/>
          <w:kern w:val="0"/>
          <w:sz w:val="32"/>
          <w:szCs w:val="32"/>
          <w:lang w:val="en-US" w:eastAsia="zh-CN"/>
        </w:rPr>
        <w:t>2023年学生营养餐经</w:t>
      </w:r>
      <w:r>
        <w:rPr>
          <w:rFonts w:hint="eastAsia" w:ascii="华文仿宋" w:hAnsi="华文仿宋" w:eastAsia="华文仿宋" w:cs="华文仿宋"/>
          <w:kern w:val="0"/>
          <w:sz w:val="32"/>
          <w:szCs w:val="32"/>
          <w:lang w:val="en-US" w:eastAsia="zh-CN"/>
        </w:rPr>
        <w:t>费和办公经费支出较多</w:t>
      </w:r>
      <w:r>
        <w:rPr>
          <w:rFonts w:hint="eastAsia" w:ascii="华文仿宋" w:hAnsi="华文仿宋" w:eastAsia="华文仿宋" w:cs="华文仿宋"/>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52"/>
        <w:gridCol w:w="918"/>
        <w:gridCol w:w="867"/>
        <w:gridCol w:w="1036"/>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2050202</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小学教育</w:t>
            </w: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w:t>
            </w:r>
            <w:r>
              <w:rPr>
                <w:rFonts w:hint="eastAsia" w:ascii="宋体" w:hAnsi="宋体" w:eastAsia="宋体" w:cs="宋体"/>
                <w:i w:val="0"/>
                <w:iCs w:val="0"/>
                <w:color w:val="000000"/>
                <w:sz w:val="18"/>
                <w:szCs w:val="18"/>
                <w:highlight w:val="none"/>
                <w:u w:val="none"/>
                <w:lang w:val="en-US" w:eastAsia="zh-CN"/>
              </w:rPr>
              <w:t>666.25</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2289.95</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137.43</w:t>
            </w:r>
            <w:r>
              <w:rPr>
                <w:rFonts w:hint="default"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主要用于全镇教职工工资及为开展教育教学活动的支出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该类支出部分资金由上级部门预算直接下达，本部门无需预算，如义教补助资金中的寄宿生生活补助，公用经费等。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2050299</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sz w:val="20"/>
                <w:szCs w:val="20"/>
                <w:highlight w:val="none"/>
                <w:u w:val="none"/>
                <w:lang w:val="en-US" w:eastAsia="zh-CN"/>
              </w:rPr>
              <w:t>5.88</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主要用于付</w:t>
            </w:r>
            <w:r>
              <w:rPr>
                <w:rFonts w:hint="eastAsia" w:ascii="宋体" w:hAnsi="宋体" w:eastAsia="宋体" w:cs="宋体"/>
                <w:i w:val="0"/>
                <w:iCs w:val="0"/>
                <w:color w:val="auto"/>
                <w:sz w:val="18"/>
                <w:szCs w:val="18"/>
                <w:highlight w:val="none"/>
                <w:u w:val="none"/>
                <w:lang w:val="en-US" w:eastAsia="zh-CN"/>
              </w:rPr>
              <w:t>2023年</w:t>
            </w:r>
            <w:r>
              <w:rPr>
                <w:rFonts w:hint="default" w:ascii="宋体" w:hAnsi="宋体" w:eastAsia="宋体" w:cs="宋体"/>
                <w:i w:val="0"/>
                <w:iCs w:val="0"/>
                <w:color w:val="auto"/>
                <w:sz w:val="18"/>
                <w:szCs w:val="18"/>
                <w:highlight w:val="none"/>
                <w:u w:val="none"/>
                <w:lang w:val="en-US" w:eastAsia="zh-CN"/>
              </w:rPr>
              <w:t>10</w:t>
            </w:r>
            <w:r>
              <w:rPr>
                <w:rFonts w:hint="eastAsia" w:ascii="宋体" w:hAnsi="宋体" w:eastAsia="宋体" w:cs="宋体"/>
                <w:i w:val="0"/>
                <w:iCs w:val="0"/>
                <w:color w:val="auto"/>
                <w:sz w:val="18"/>
                <w:szCs w:val="18"/>
                <w:highlight w:val="none"/>
                <w:u w:val="none"/>
                <w:lang w:val="en-US" w:eastAsia="zh-CN"/>
              </w:rPr>
              <w:t>、11</w:t>
            </w:r>
            <w:r>
              <w:rPr>
                <w:rFonts w:hint="default" w:ascii="宋体" w:hAnsi="宋体" w:eastAsia="宋体" w:cs="宋体"/>
                <w:i w:val="0"/>
                <w:iCs w:val="0"/>
                <w:color w:val="auto"/>
                <w:sz w:val="18"/>
                <w:szCs w:val="18"/>
                <w:highlight w:val="none"/>
                <w:u w:val="none"/>
                <w:lang w:val="en-US" w:eastAsia="zh-CN"/>
              </w:rPr>
              <w:t>月学生营养餐经</w:t>
            </w:r>
            <w:r>
              <w:rPr>
                <w:rFonts w:hint="eastAsia" w:ascii="宋体" w:hAnsi="宋体" w:eastAsia="宋体" w:cs="宋体"/>
                <w:i w:val="0"/>
                <w:iCs w:val="0"/>
                <w:color w:val="auto"/>
                <w:sz w:val="18"/>
                <w:szCs w:val="18"/>
                <w:highlight w:val="none"/>
                <w:u w:val="none"/>
                <w:lang w:val="en-US" w:eastAsia="zh-CN"/>
              </w:rPr>
              <w:t>费和部分办公经费支出。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其他教育费附加安排的支出</w:t>
            </w: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1.53</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主要用于付</w:t>
            </w:r>
            <w:r>
              <w:rPr>
                <w:rFonts w:hint="eastAsia" w:ascii="宋体" w:hAnsi="宋体" w:eastAsia="宋体" w:cs="宋体"/>
                <w:i w:val="0"/>
                <w:iCs w:val="0"/>
                <w:color w:val="auto"/>
                <w:sz w:val="18"/>
                <w:szCs w:val="18"/>
                <w:highlight w:val="none"/>
                <w:u w:val="none"/>
                <w:lang w:val="en-US" w:eastAsia="zh-CN"/>
              </w:rPr>
              <w:t>2023年学校安全协管员工资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特殊学校教育</w:t>
            </w: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0.53</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主要用于全镇教职工</w:t>
            </w:r>
            <w:r>
              <w:rPr>
                <w:rFonts w:hint="eastAsia" w:ascii="宋体" w:hAnsi="宋体" w:eastAsia="宋体" w:cs="宋体"/>
                <w:i w:val="0"/>
                <w:iCs w:val="0"/>
                <w:color w:val="auto"/>
                <w:sz w:val="18"/>
                <w:szCs w:val="18"/>
                <w:highlight w:val="none"/>
                <w:u w:val="none"/>
                <w:lang w:val="en-US" w:eastAsia="zh-CN"/>
              </w:rPr>
              <w:t>送教上门差旅费</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2"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p>
        </w:tc>
        <w:tc>
          <w:tcPr>
            <w:tcW w:w="918"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w:t>
            </w:r>
            <w:r>
              <w:rPr>
                <w:rFonts w:hint="eastAsia" w:ascii="宋体" w:hAnsi="宋体" w:eastAsia="宋体" w:cs="宋体"/>
                <w:i w:val="0"/>
                <w:iCs w:val="0"/>
                <w:color w:val="000000"/>
                <w:sz w:val="18"/>
                <w:szCs w:val="18"/>
                <w:highlight w:val="none"/>
                <w:u w:val="none"/>
                <w:lang w:val="en-US" w:eastAsia="zh-CN"/>
              </w:rPr>
              <w:t>666.25</w:t>
            </w:r>
          </w:p>
        </w:tc>
        <w:tc>
          <w:tcPr>
            <w:tcW w:w="86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2297.89</w:t>
            </w:r>
          </w:p>
        </w:tc>
        <w:tc>
          <w:tcPr>
            <w:tcW w:w="103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255.55</w:t>
      </w:r>
      <w:r>
        <w:rPr>
          <w:rFonts w:hint="eastAsia" w:ascii="仿宋" w:hAnsi="仿宋" w:eastAsia="仿宋"/>
          <w:sz w:val="32"/>
          <w:szCs w:val="32"/>
          <w:highlight w:val="none"/>
        </w:rPr>
        <w:t>万元，支出决算为225.48万元，完成年初预算的</w:t>
      </w:r>
      <w:r>
        <w:rPr>
          <w:rFonts w:hint="eastAsia" w:ascii="仿宋" w:hAnsi="仿宋" w:eastAsia="仿宋"/>
          <w:sz w:val="32"/>
          <w:szCs w:val="32"/>
          <w:highlight w:val="none"/>
          <w:lang w:val="en-US" w:eastAsia="zh-CN"/>
        </w:rPr>
        <w:t>88.23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原因是：2023年有调出教师，在职人员减少，年中退休人员有所增加，教职工基本养老保险缴费实际支出比年初预算有所减少。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255.55</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225.48</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88.23%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r>
              <w:rPr>
                <w:rFonts w:hint="default" w:ascii="宋体" w:hAnsi="宋体" w:eastAsia="宋体" w:cs="宋体"/>
                <w:i w:val="0"/>
                <w:iCs w:val="0"/>
                <w:color w:val="auto"/>
                <w:sz w:val="18"/>
                <w:szCs w:val="18"/>
                <w:highlight w:val="none"/>
                <w:u w:val="none"/>
                <w:lang w:val="en-US" w:eastAsia="zh-CN"/>
              </w:rPr>
              <w:t>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255.55</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225.48</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88.23%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w:t>
            </w:r>
            <w:r>
              <w:rPr>
                <w:rFonts w:hint="default" w:ascii="宋体" w:hAnsi="宋体" w:eastAsia="宋体" w:cs="宋体"/>
                <w:i w:val="0"/>
                <w:iCs w:val="0"/>
                <w:color w:val="auto"/>
                <w:sz w:val="18"/>
                <w:szCs w:val="18"/>
                <w:highlight w:val="none"/>
                <w:u w:val="none"/>
                <w:lang w:val="en-US" w:eastAsia="zh-CN"/>
              </w:rPr>
              <w:t>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191.66</w:t>
      </w:r>
      <w:r>
        <w:rPr>
          <w:rFonts w:hint="eastAsia" w:ascii="仿宋" w:hAnsi="仿宋" w:eastAsia="仿宋"/>
          <w:sz w:val="32"/>
          <w:szCs w:val="32"/>
          <w:highlight w:val="none"/>
        </w:rPr>
        <w:t>万元，支出决算为169.11万元，完成年初预算的</w:t>
      </w:r>
      <w:r>
        <w:rPr>
          <w:rFonts w:hint="eastAsia" w:ascii="仿宋" w:hAnsi="仿宋" w:eastAsia="仿宋"/>
          <w:sz w:val="32"/>
          <w:szCs w:val="32"/>
          <w:highlight w:val="none"/>
          <w:lang w:val="en-US" w:eastAsia="zh-CN"/>
        </w:rPr>
        <w:t>88.23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原因是：2023年有调出教师，在职人员减少，年中退休人员有所增加，教职工住房公积金缴费实际支出比年初预算有所减少。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191.66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169.11</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88.23%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191.66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169.11</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88.23%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hint="eastAsia" w:ascii="仿宋" w:hAnsi="仿宋" w:eastAsia="仿宋"/>
          <w:sz w:val="32"/>
          <w:szCs w:val="32"/>
          <w:highlight w:val="none"/>
          <w:lang w:val="en-US" w:eastAsia="zh-CN"/>
        </w:rPr>
        <w:t>以及</w:t>
      </w:r>
      <w:r>
        <w:rPr>
          <w:rFonts w:hint="eastAsia" w:ascii="仿宋" w:hAnsi="仿宋" w:eastAsia="仿宋"/>
          <w:sz w:val="32"/>
          <w:szCs w:val="32"/>
          <w:highlight w:val="none"/>
        </w:rPr>
        <w:t>教育事业的彩票公益金支出</w:t>
      </w:r>
      <w:r>
        <w:rPr>
          <w:rFonts w:ascii="仿宋" w:hAnsi="仿宋" w:eastAsia="仿宋"/>
          <w:sz w:val="32"/>
          <w:u w:color="auto"/>
        </w:rPr>
        <w:t>（</w:t>
      </w:r>
      <w:r>
        <w:rPr>
          <w:rFonts w:hint="eastAsia"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230.44</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其中用于教育事业的彩票公益金支出1.67万元，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188.36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原因是：2023年初没有预算</w:t>
      </w:r>
      <w:r>
        <w:rPr>
          <w:rFonts w:hint="eastAsia" w:ascii="仿宋" w:hAnsi="仿宋" w:eastAsia="仿宋"/>
          <w:sz w:val="32"/>
          <w:szCs w:val="32"/>
          <w:highlight w:val="none"/>
        </w:rPr>
        <w:t>其他支出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年</w:t>
      </w:r>
      <w:r>
        <w:rPr>
          <w:rFonts w:hint="eastAsia" w:ascii="仿宋" w:hAnsi="仿宋" w:eastAsia="仿宋"/>
          <w:color w:val="000000" w:themeColor="text1"/>
          <w:sz w:val="32"/>
          <w:szCs w:val="32"/>
          <w:highlight w:val="none"/>
          <w:lang w:val="en-US" w:eastAsia="zh-CN"/>
          <w14:textFill>
            <w14:solidFill>
              <w14:schemeClr w14:val="tx1"/>
            </w14:solidFill>
          </w14:textFill>
        </w:rPr>
        <w:t>中有所调整支出教育事业的</w:t>
      </w:r>
      <w:r>
        <w:rPr>
          <w:rFonts w:hint="eastAsia" w:ascii="仿宋" w:hAnsi="仿宋" w:eastAsia="仿宋"/>
          <w:sz w:val="32"/>
          <w:szCs w:val="32"/>
          <w:highlight w:val="none"/>
        </w:rPr>
        <w:t>其他支出</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2296004</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用于教育事业的彩票公益金支出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1.67</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88.36%</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 xml:space="preserve"> </w:t>
            </w:r>
            <w:r>
              <w:rPr>
                <w:rFonts w:hint="eastAsia" w:ascii="宋体" w:hAnsi="宋体" w:eastAsia="宋体" w:cs="宋体"/>
                <w:i w:val="0"/>
                <w:iCs w:val="0"/>
                <w:color w:val="auto"/>
                <w:sz w:val="18"/>
                <w:szCs w:val="18"/>
                <w:highlight w:val="none"/>
                <w:u w:val="none"/>
                <w:lang w:val="en-US" w:eastAsia="zh-CN"/>
              </w:rPr>
              <w:t>学校开展少年宫活活的费用</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年</w:t>
            </w:r>
            <w:r>
              <w:rPr>
                <w:rFonts w:hint="eastAsia" w:ascii="宋体" w:hAnsi="宋体" w:eastAsia="宋体" w:cs="宋体"/>
                <w:i w:val="0"/>
                <w:iCs w:val="0"/>
                <w:color w:val="auto"/>
                <w:sz w:val="18"/>
                <w:szCs w:val="18"/>
                <w:highlight w:val="none"/>
                <w:u w:val="none"/>
                <w:lang w:val="en-US" w:eastAsia="zh-CN"/>
              </w:rPr>
              <w:t>学生数减少，少年宫</w:t>
            </w:r>
            <w:r>
              <w:rPr>
                <w:rFonts w:hint="default" w:ascii="宋体" w:hAnsi="宋体" w:eastAsia="宋体" w:cs="宋体"/>
                <w:i w:val="0"/>
                <w:iCs w:val="0"/>
                <w:color w:val="auto"/>
                <w:sz w:val="18"/>
                <w:szCs w:val="18"/>
                <w:highlight w:val="none"/>
                <w:u w:val="none"/>
                <w:lang w:val="en-US" w:eastAsia="zh-CN"/>
              </w:rPr>
              <w:t>活动费用</w:t>
            </w:r>
            <w:r>
              <w:rPr>
                <w:rFonts w:hint="eastAsia" w:ascii="宋体" w:hAnsi="宋体" w:eastAsia="宋体" w:cs="宋体"/>
                <w:i w:val="0"/>
                <w:iCs w:val="0"/>
                <w:color w:val="auto"/>
                <w:sz w:val="18"/>
                <w:szCs w:val="18"/>
                <w:highlight w:val="none"/>
                <w:u w:val="none"/>
                <w:lang w:val="en-US" w:eastAsia="zh-CN"/>
              </w:rPr>
              <w:t>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228.77</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教职工奖贴性补贴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230.44</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35325"/>
            <wp:effectExtent l="4445" t="4445" r="16510" b="1778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其他群众团体事务支出（201类）</w:t>
      </w:r>
      <w:r>
        <w:rPr>
          <w:rFonts w:hint="eastAsia" w:ascii="仿宋" w:hAnsi="仿宋" w:eastAsia="仿宋"/>
          <w:sz w:val="32"/>
          <w:szCs w:val="32"/>
          <w:highlight w:val="none"/>
        </w:rPr>
        <w:t>年初预算为</w:t>
      </w:r>
      <w:r>
        <w:rPr>
          <w:rFonts w:hint="eastAsia" w:ascii="仿宋" w:hAnsi="仿宋" w:eastAsia="仿宋" w:cs="仿宋"/>
          <w:color w:val="auto"/>
          <w:kern w:val="2"/>
          <w:sz w:val="32"/>
          <w:szCs w:val="32"/>
          <w:highlight w:val="none"/>
          <w:lang w:val="en-US" w:eastAsia="zh-CN" w:bidi="ar"/>
        </w:rPr>
        <w:t>30.64万元，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30.64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30.64</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30.64</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教职工工会活动费用、慰问特困、重病、退休教师</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30.64</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30.64</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2797175"/>
            <wp:effectExtent l="4445" t="4445" r="16510" b="17780"/>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2582.38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其中：人员经费支出2551.74万元，公用经费支出30.64万元，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2340.99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.05%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2023年单位职工工资有所上调。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724.33万元，30102津贴补贴164.63万元，30103奖金629.41万元，30106伙食补助费0万元，30107绩效工资325.39万元，30108机关事业单位基本养老保险缴费225.48万元，30110职工基本医疗保险缴费91.34万元，30112其他社会保障缴费11.31万元，30113住房公积金169.11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4177030"/>
            <wp:effectExtent l="4445" t="4445" r="16510" b="952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30.64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：30228</w:t>
      </w:r>
      <w:r>
        <w:rPr>
          <w:rFonts w:hint="eastAsia" w:ascii="仿宋" w:hAnsi="仿宋" w:eastAsia="仿宋" w:cs="仿宋"/>
          <w:sz w:val="32"/>
          <w:szCs w:val="32"/>
          <w:highlight w:val="none"/>
          <w:lang w:val="en-US" w:eastAsia="zh-CN"/>
        </w:rPr>
        <w:t>工会经费支出30.64万元。</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2284095"/>
            <wp:effectExtent l="4445" t="4445" r="16510" b="16510"/>
            <wp:docPr id="5"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210.75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194.19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主要原因是：本年度抚恤金支出以及乡村教师生活补助有所增加。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 抚恤金40.26万元，30305生活补助170.48万元，30399 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70045" cy="20161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也没有预算</w:t>
      </w:r>
      <w:r>
        <w:rPr>
          <w:rFonts w:hint="eastAsia" w:ascii="仿宋" w:hAnsi="仿宋" w:eastAsia="仿宋" w:cs="仿宋"/>
          <w:color w:val="auto"/>
          <w:kern w:val="2"/>
          <w:sz w:val="32"/>
          <w:szCs w:val="32"/>
          <w:highlight w:val="none"/>
          <w:lang w:val="en-US" w:eastAsia="zh-CN" w:bidi="ar"/>
        </w:rPr>
        <w:t>。</w:t>
      </w:r>
    </w:p>
    <w:p>
      <w:pPr>
        <w:jc w:val="left"/>
        <w:rPr>
          <w:rFonts w:ascii="黑体" w:hAnsi="黑体" w:eastAsia="黑体" w:cs="黑体"/>
          <w:sz w:val="32"/>
          <w:szCs w:val="32"/>
          <w:highlight w:val="none"/>
        </w:rPr>
      </w:pPr>
      <w:bookmarkStart w:id="4" w:name="PO_part3A5B1C1DiffReason1"/>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1.67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72.16</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1.89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1.67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88.36</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其他支出（类）</w:t>
      </w:r>
      <w:r>
        <w:rPr>
          <w:rFonts w:hint="eastAsia" w:ascii="仿宋" w:hAnsi="仿宋" w:eastAsia="仿宋" w:cs="仿宋"/>
          <w:sz w:val="32"/>
          <w:szCs w:val="32"/>
          <w:highlight w:val="none"/>
          <w:lang w:val="en-US" w:eastAsia="zh-CN"/>
        </w:rPr>
        <w:t>彩票公益金安排的支出</w:t>
      </w:r>
      <w:r>
        <w:rPr>
          <w:rFonts w:hint="eastAsia" w:ascii="仿宋" w:hAnsi="仿宋" w:eastAsia="仿宋" w:cs="仿宋"/>
          <w:sz w:val="32"/>
          <w:szCs w:val="32"/>
          <w:highlight w:val="none"/>
          <w:lang w:eastAsia="zh-CN"/>
        </w:rPr>
        <w:t>（款）</w:t>
      </w:r>
      <w:r>
        <w:rPr>
          <w:rFonts w:hint="eastAsia" w:ascii="仿宋" w:hAnsi="仿宋" w:eastAsia="仿宋" w:cs="仿宋"/>
          <w:sz w:val="32"/>
          <w:szCs w:val="32"/>
          <w:highlight w:val="none"/>
          <w:lang w:val="en-US" w:eastAsia="zh-CN"/>
        </w:rPr>
        <w:t>用于教育事业的彩票公益金支出</w:t>
      </w:r>
      <w:r>
        <w:rPr>
          <w:rFonts w:hint="eastAsia" w:ascii="仿宋" w:hAnsi="仿宋" w:eastAsia="仿宋" w:cs="仿宋"/>
          <w:sz w:val="32"/>
          <w:szCs w:val="32"/>
          <w:highlight w:val="none"/>
          <w:lang w:eastAsia="zh-CN"/>
        </w:rPr>
        <w:t>（项）年初预算为</w:t>
      </w:r>
      <w:r>
        <w:rPr>
          <w:rFonts w:hint="eastAsia" w:ascii="仿宋" w:hAnsi="仿宋" w:eastAsia="仿宋" w:cs="仿宋"/>
          <w:sz w:val="32"/>
          <w:szCs w:val="32"/>
          <w:highlight w:val="none"/>
          <w:lang w:val="en-US" w:eastAsia="zh-CN"/>
        </w:rPr>
        <w:t>1.89</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1.67</w:t>
      </w:r>
      <w:r>
        <w:rPr>
          <w:rFonts w:hint="eastAsia" w:ascii="仿宋" w:hAnsi="仿宋" w:eastAsia="仿宋" w:cs="仿宋"/>
          <w:sz w:val="32"/>
          <w:szCs w:val="32"/>
          <w:highlight w:val="none"/>
          <w:lang w:eastAsia="zh-CN"/>
        </w:rPr>
        <w:t>万元，完成年初预算的</w:t>
      </w:r>
      <w:r>
        <w:rPr>
          <w:rFonts w:hint="eastAsia" w:ascii="仿宋" w:hAnsi="仿宋" w:eastAsia="仿宋" w:cs="仿宋"/>
          <w:sz w:val="32"/>
          <w:szCs w:val="32"/>
          <w:highlight w:val="none"/>
          <w:lang w:val="en-US" w:eastAsia="zh-CN"/>
        </w:rPr>
        <w:t>88.36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形成</w:t>
      </w:r>
      <w:r>
        <w:rPr>
          <w:rFonts w:hint="eastAsia" w:ascii="仿宋" w:hAnsi="仿宋" w:eastAsia="仿宋" w:cs="仿宋"/>
          <w:sz w:val="32"/>
          <w:szCs w:val="32"/>
          <w:highlight w:val="none"/>
          <w:lang w:eastAsia="zh-CN"/>
        </w:rPr>
        <w:t>预决算差异</w:t>
      </w:r>
      <w:r>
        <w:rPr>
          <w:rFonts w:hint="eastAsia" w:ascii="仿宋" w:hAnsi="仿宋" w:eastAsia="仿宋" w:cs="仿宋"/>
          <w:sz w:val="32"/>
          <w:szCs w:val="32"/>
          <w:highlight w:val="none"/>
          <w:lang w:val="en-US" w:eastAsia="zh-CN"/>
        </w:rPr>
        <w:t>原因是：2023年学生数减少，少年宫活动费用有所减少</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autoSpaceDE w:val="0"/>
        <w:autoSpaceDN w:val="0"/>
        <w:adjustRightIn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五、202</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rPr>
        <w:t>年度国有资本经营预算支出决算情况</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highlight w:val="none"/>
          <w:lang w:eastAsia="zh-CN"/>
        </w:rPr>
        <w:t>环江毛南族自治县水源镇中心小学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xml:space="preserve">年度国有资本经营预算支出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万元。其中：基本支出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万元，项目支出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highlight w:val="none"/>
          <w:lang w:eastAsia="zh-CN"/>
        </w:rPr>
        <w:t>环江毛南族自治县水源镇中心小学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年度国有资本经营预算支出年初预算为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万元，完成年初预算的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环江毛南族自治县水源镇中心小学</w:t>
      </w:r>
      <w:r>
        <w:rPr>
          <w:rFonts w:ascii="Times New Roman" w:hAnsi="Times New Roman" w:eastAsia="仿宋_GB2312" w:cs="Times New Roman"/>
          <w:sz w:val="32"/>
          <w:szCs w:val="32"/>
        </w:rPr>
        <w:t>没有国有资本经营预算收入，也没有国有资本经营预算收入</w:t>
      </w:r>
      <w:r>
        <w:rPr>
          <w:rFonts w:hint="eastAsia" w:ascii="Times New Roman" w:hAnsi="Times New Roman" w:eastAsia="仿宋_GB2312" w:cs="Times New Roman"/>
          <w:sz w:val="32"/>
          <w:szCs w:val="32"/>
          <w:lang w:eastAsia="zh-CN"/>
        </w:rPr>
        <w:t>。</w:t>
      </w:r>
      <w:r>
        <w:rPr>
          <w:rFonts w:hint="eastAsia" w:ascii="仿宋" w:hAnsi="仿宋" w:eastAsia="仿宋" w:cs="仿宋"/>
          <w:sz w:val="32"/>
          <w:szCs w:val="32"/>
          <w:highlight w:val="none"/>
          <w:lang w:val="en-US" w:eastAsia="zh-CN"/>
        </w:rPr>
        <w:t>也没有</w:t>
      </w:r>
      <w:r>
        <w:rPr>
          <w:rFonts w:ascii="Times New Roman" w:hAnsi="Times New Roman" w:eastAsia="仿宋_GB2312" w:cs="Times New Roman"/>
          <w:sz w:val="32"/>
          <w:szCs w:val="32"/>
        </w:rPr>
        <w:t>国有资本经营</w:t>
      </w:r>
      <w:r>
        <w:rPr>
          <w:rFonts w:hint="eastAsia" w:ascii="Times New Roman" w:hAnsi="Times New Roman" w:eastAsia="仿宋_GB2312" w:cs="Times New Roman"/>
          <w:sz w:val="32"/>
          <w:szCs w:val="32"/>
          <w:lang w:val="en-US" w:eastAsia="zh-CN"/>
        </w:rPr>
        <w:t>经费</w:t>
      </w:r>
      <w:r>
        <w:rPr>
          <w:rFonts w:hint="eastAsia" w:ascii="Times New Roman" w:hAnsi="Times New Roman" w:eastAsia="仿宋_GB2312" w:cs="Times New Roman"/>
          <w:sz w:val="32"/>
          <w:szCs w:val="32"/>
        </w:rPr>
        <w:t>安排的支出。</w:t>
      </w:r>
    </w:p>
    <w:bookmarkEnd w:id="4"/>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本部门2023年度没有一般公共预算财政拨款“三公”经费收入，也没有一般公共预算财政拨款“三公”经费安排的支出。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color w:val="FFFF00"/>
          <w:sz w:val="32"/>
          <w:szCs w:val="32"/>
          <w:highlight w:val="none"/>
        </w:rPr>
      </w:pPr>
      <w:r>
        <w:rPr>
          <w:rFonts w:hint="eastAsia" w:ascii="黑体" w:hAnsi="黑体" w:eastAsia="黑体" w:cs="黑体"/>
          <w:sz w:val="32"/>
          <w:szCs w:val="32"/>
          <w:highlight w:val="none"/>
        </w:rPr>
        <w:t xml:space="preserve">（一） </w:t>
      </w:r>
      <w:r>
        <w:rPr>
          <w:rFonts w:hint="eastAsia" w:ascii="黑体" w:hAnsi="黑体" w:eastAsia="黑体" w:cs="黑体"/>
          <w:color w:val="auto"/>
          <w:sz w:val="32"/>
          <w:szCs w:val="32"/>
          <w:highlight w:val="none"/>
          <w:lang w:val="en-US" w:eastAsia="zh-CN"/>
        </w:rPr>
        <w:t>机关</w:t>
      </w:r>
      <w:r>
        <w:rPr>
          <w:rFonts w:hint="eastAsia" w:ascii="黑体" w:hAnsi="黑体" w:eastAsia="黑体" w:cs="黑体"/>
          <w:color w:val="auto"/>
          <w:sz w:val="32"/>
          <w:szCs w:val="32"/>
          <w:highlight w:val="none"/>
        </w:rPr>
        <w:t>运行经费支出情况说明</w:t>
      </w:r>
    </w:p>
    <w:p>
      <w:pPr>
        <w:ind w:firstLine="964" w:firstLineChars="3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widowControl/>
        <w:spacing w:line="560" w:lineRule="exact"/>
        <w:ind w:firstLine="964" w:firstLineChars="3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本部门无政府采购支出</w:t>
      </w:r>
      <w:r>
        <w:rPr>
          <w:rFonts w:hint="eastAsia" w:ascii="Times New Roman" w:hAnsi="Times New Roman" w:eastAsia="仿宋_GB2312" w:cs="Times New Roman"/>
          <w:b/>
          <w:bCs/>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000000" w:themeColor="text1"/>
          <w:sz w:val="32"/>
          <w:szCs w:val="32"/>
          <w:lang w:val="en-US" w:eastAsia="zh-CN"/>
          <w14:textFill>
            <w14:solidFill>
              <w14:schemeClr w14:val="tx1"/>
            </w14:solidFill>
          </w14:textFill>
        </w:rPr>
        <w:t>共25个项目全</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项目，共涉及资金</w:t>
      </w:r>
      <w:r>
        <w:rPr>
          <w:rFonts w:hint="eastAsia" w:ascii="仿宋" w:hAnsi="仿宋" w:eastAsia="仿宋" w:cs="仿宋"/>
          <w:color w:val="000000" w:themeColor="text1"/>
          <w:sz w:val="32"/>
          <w:szCs w:val="32"/>
          <w:lang w:val="en-US" w:eastAsia="zh-CN"/>
          <w14:textFill>
            <w14:solidFill>
              <w14:schemeClr w14:val="tx1"/>
            </w14:solidFill>
          </w14:textFill>
        </w:rPr>
        <w:t>785.13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90.77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我单位</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863.43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1.52</w:t>
      </w:r>
      <w:r>
        <w:rPr>
          <w:rFonts w:hint="eastAsia" w:ascii="仿宋" w:hAnsi="仿宋" w:eastAsia="仿宋" w:cs="仿宋"/>
          <w:color w:val="000000" w:themeColor="text1"/>
          <w:sz w:val="32"/>
          <w:szCs w:val="32"/>
          <w14:textFill>
            <w14:solidFill>
              <w14:schemeClr w14:val="tx1"/>
            </w14:solidFill>
          </w14:textFill>
        </w:rPr>
        <w:t>万元。从评价情况来看，我们认为</w:t>
      </w:r>
      <w:r>
        <w:rPr>
          <w:rFonts w:hint="eastAsia" w:ascii="仿宋" w:hAnsi="仿宋" w:eastAsia="仿宋" w:cs="仿宋"/>
          <w:color w:val="000000" w:themeColor="text1"/>
          <w:sz w:val="32"/>
          <w:szCs w:val="32"/>
          <w:lang w:val="en-US" w:eastAsia="zh-CN"/>
          <w14:textFill>
            <w14:solidFill>
              <w14:schemeClr w14:val="tx1"/>
            </w14:solidFill>
          </w14:textFill>
        </w:rPr>
        <w:t>各</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项目目标明确，组织管理到位，执行项目有力，资金管理规范，综合评价结果为优。</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我部门根据年初设定的绩效目标，班主任津贴项目自评得分为99.71分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年春</w:t>
      </w:r>
      <w:r>
        <w:rPr>
          <w:rFonts w:hint="eastAsia" w:ascii="仿宋" w:hAnsi="仿宋" w:eastAsia="仿宋" w:cs="仿宋"/>
          <w:color w:val="000000" w:themeColor="text1"/>
          <w:sz w:val="32"/>
          <w:szCs w:val="32"/>
          <w:lang w:val="en-US" w:eastAsia="zh-CN"/>
          <w14:textFill>
            <w14:solidFill>
              <w14:schemeClr w14:val="tx1"/>
            </w14:solidFill>
          </w14:textFill>
        </w:rPr>
        <w:t>秋</w:t>
      </w:r>
      <w:r>
        <w:rPr>
          <w:rFonts w:hint="eastAsia" w:ascii="仿宋" w:hAnsi="仿宋" w:eastAsia="仿宋" w:cs="仿宋"/>
          <w:color w:val="000000" w:themeColor="text1"/>
          <w:sz w:val="32"/>
          <w:szCs w:val="32"/>
          <w14:textFill>
            <w14:solidFill>
              <w14:schemeClr w14:val="tx1"/>
            </w14:solidFill>
          </w14:textFill>
        </w:rPr>
        <w:t>季学期班主任津贴已足额发放</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分。教师节经费项目自评得分为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分。六一儿童节慰问金项目自评得分为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分。发现的主要问题及原因：因六一活动支付发票不得及时整理。下一步改进措施：六一儿童节慰问金已跟财政协商好这笔款将于2023年初支付完毕。全县校园安全保卫经费项目自评得分为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93.86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支付发票不得及时整理，</w:t>
      </w:r>
      <w:r>
        <w:rPr>
          <w:rFonts w:hint="eastAsia" w:ascii="仿宋" w:hAnsi="仿宋" w:eastAsia="仿宋" w:cs="仿宋"/>
          <w:color w:val="000000" w:themeColor="text1"/>
          <w:sz w:val="32"/>
          <w:szCs w:val="32"/>
          <w14:textFill>
            <w14:solidFill>
              <w14:schemeClr w14:val="tx1"/>
            </w14:solidFill>
          </w14:textFill>
        </w:rPr>
        <w:t>已支付</w:t>
      </w:r>
      <w:r>
        <w:rPr>
          <w:rFonts w:hint="eastAsia" w:ascii="仿宋" w:hAnsi="仿宋" w:eastAsia="仿宋" w:cs="仿宋"/>
          <w:color w:val="000000" w:themeColor="text1"/>
          <w:sz w:val="32"/>
          <w:szCs w:val="32"/>
          <w:lang w:val="en-US" w:eastAsia="zh-CN"/>
          <w14:textFill>
            <w14:solidFill>
              <w14:schemeClr w14:val="tx1"/>
            </w14:solidFill>
          </w14:textFill>
        </w:rPr>
        <w:t>38.64</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下一步改进措施：余下部分按一学期结束再支付，将于202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年初支付。全县校长绩效工资项目自评得分为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分。食堂钟点工补贴资金项目自评得分为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分。中央专项彩票公益金支持乡村学校少年宫经费项目自评得分为94.06分已支付</w:t>
      </w:r>
      <w:r>
        <w:rPr>
          <w:rFonts w:hint="eastAsia" w:ascii="仿宋" w:hAnsi="仿宋" w:eastAsia="仿宋" w:cs="仿宋"/>
          <w:color w:val="000000" w:themeColor="text1"/>
          <w:sz w:val="32"/>
          <w:szCs w:val="32"/>
          <w:lang w:val="en-US" w:eastAsia="zh-CN"/>
          <w14:textFill>
            <w14:solidFill>
              <w14:schemeClr w14:val="tx1"/>
            </w14:solidFill>
          </w14:textFill>
        </w:rPr>
        <w:t>70.34</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发现的主要问题及原因：因</w:t>
      </w:r>
      <w:r>
        <w:rPr>
          <w:rFonts w:hint="eastAsia" w:ascii="仿宋" w:hAnsi="仿宋" w:eastAsia="仿宋" w:cs="仿宋"/>
          <w:color w:val="000000" w:themeColor="text1"/>
          <w:sz w:val="32"/>
          <w:szCs w:val="32"/>
          <w:lang w:val="en-US" w:eastAsia="zh-CN"/>
          <w14:textFill>
            <w14:solidFill>
              <w14:schemeClr w14:val="tx1"/>
            </w14:solidFill>
          </w14:textFill>
        </w:rPr>
        <w:t>少年宫活动费用</w:t>
      </w:r>
      <w:r>
        <w:rPr>
          <w:rFonts w:hint="eastAsia" w:ascii="仿宋" w:hAnsi="仿宋" w:eastAsia="仿宋" w:cs="仿宋"/>
          <w:color w:val="000000" w:themeColor="text1"/>
          <w:sz w:val="32"/>
          <w:szCs w:val="32"/>
          <w14:textFill>
            <w14:solidFill>
              <w14:schemeClr w14:val="tx1"/>
            </w14:solidFill>
          </w14:textFill>
        </w:rPr>
        <w:t>发票不及时整理。下一步改进措施：已跟财政协商好少年宫经费这笔款将于202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年初支付完毕。水源镇中心小学2022年年初预算经费(行政办公务费)项目自评得分为98.14分。发现的主要问题及原因：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学校采购办公发票材料以及差旅材料不及时整理。</w:t>
      </w:r>
      <w:r>
        <w:rPr>
          <w:rFonts w:hint="eastAsia" w:ascii="仿宋" w:hAnsi="仿宋" w:eastAsia="仿宋" w:cs="仿宋"/>
          <w:color w:val="000000" w:themeColor="text1"/>
          <w:sz w:val="32"/>
          <w:szCs w:val="32"/>
          <w14:textFill>
            <w14:solidFill>
              <w14:schemeClr w14:val="tx1"/>
            </w14:solidFill>
          </w14:textFill>
        </w:rPr>
        <w:t>下一步改进措施：积极与财政沟通，该项目经费未支付部分于下一年度完成支付。往后年度按时完成上级下达的指标支付。党建工作经费项目自评得分为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分。发现的主要问题及原因：因</w:t>
      </w:r>
      <w:r>
        <w:rPr>
          <w:rFonts w:hint="eastAsia" w:ascii="仿宋" w:hAnsi="仿宋" w:eastAsia="仿宋" w:cs="仿宋"/>
          <w:color w:val="000000" w:themeColor="text1"/>
          <w:sz w:val="32"/>
          <w:szCs w:val="32"/>
          <w:lang w:val="en-US" w:eastAsia="zh-CN"/>
          <w14:textFill>
            <w14:solidFill>
              <w14:schemeClr w14:val="tx1"/>
            </w14:solidFill>
          </w14:textFill>
        </w:rPr>
        <w:t>党建</w:t>
      </w:r>
      <w:r>
        <w:rPr>
          <w:rFonts w:hint="eastAsia" w:ascii="仿宋" w:hAnsi="仿宋" w:eastAsia="仿宋" w:cs="仿宋"/>
          <w:color w:val="000000" w:themeColor="text1"/>
          <w:sz w:val="32"/>
          <w:szCs w:val="32"/>
          <w14:textFill>
            <w14:solidFill>
              <w14:schemeClr w14:val="tx1"/>
            </w14:solidFill>
          </w14:textFill>
        </w:rPr>
        <w:t>活动支付发票</w:t>
      </w:r>
      <w:r>
        <w:rPr>
          <w:rFonts w:hint="eastAsia" w:ascii="仿宋" w:hAnsi="仿宋" w:eastAsia="仿宋" w:cs="仿宋"/>
          <w:color w:val="000000" w:themeColor="text1"/>
          <w:sz w:val="32"/>
          <w:szCs w:val="32"/>
          <w:lang w:val="en-US" w:eastAsia="zh-CN"/>
          <w14:textFill>
            <w14:solidFill>
              <w14:schemeClr w14:val="tx1"/>
            </w14:solidFill>
          </w14:textFill>
        </w:rPr>
        <w:t>材料</w:t>
      </w:r>
      <w:r>
        <w:rPr>
          <w:rFonts w:hint="eastAsia" w:ascii="仿宋" w:hAnsi="仿宋" w:eastAsia="仿宋" w:cs="仿宋"/>
          <w:color w:val="000000" w:themeColor="text1"/>
          <w:sz w:val="32"/>
          <w:szCs w:val="32"/>
          <w14:textFill>
            <w14:solidFill>
              <w14:schemeClr w14:val="tx1"/>
            </w14:solidFill>
          </w14:textFill>
        </w:rPr>
        <w:t>不得及时整理。下一步改进措施：党建工作经费已跟财政协商好这笔款将于202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年初支付完毕。公用经费（特教）中央补助项目自评得分为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91.42</w:t>
      </w:r>
      <w:r>
        <w:rPr>
          <w:rFonts w:hint="eastAsia" w:ascii="仿宋" w:hAnsi="仿宋" w:eastAsia="仿宋" w:cs="仿宋"/>
          <w:color w:val="000000" w:themeColor="text1"/>
          <w:sz w:val="32"/>
          <w:szCs w:val="32"/>
          <w14:textFill>
            <w14:solidFill>
              <w14:schemeClr w14:val="tx1"/>
            </w14:solidFill>
          </w14:textFill>
        </w:rPr>
        <w:t>分。发现的主要问题及原因：特教</w:t>
      </w:r>
      <w:r>
        <w:rPr>
          <w:rFonts w:hint="eastAsia" w:ascii="仿宋" w:hAnsi="仿宋" w:eastAsia="仿宋" w:cs="仿宋"/>
          <w:color w:val="000000" w:themeColor="text1"/>
          <w:sz w:val="32"/>
          <w:szCs w:val="32"/>
          <w:lang w:val="en-US" w:eastAsia="zh-CN"/>
          <w14:textFill>
            <w14:solidFill>
              <w14:schemeClr w14:val="tx1"/>
            </w14:solidFill>
          </w14:textFill>
        </w:rPr>
        <w:t>费用的发票不及时整理</w:t>
      </w:r>
      <w:r>
        <w:rPr>
          <w:rFonts w:hint="eastAsia" w:ascii="仿宋" w:hAnsi="仿宋" w:eastAsia="仿宋" w:cs="仿宋"/>
          <w:color w:val="000000" w:themeColor="text1"/>
          <w:sz w:val="32"/>
          <w:szCs w:val="32"/>
          <w14:textFill>
            <w14:solidFill>
              <w14:schemeClr w14:val="tx1"/>
            </w14:solidFill>
          </w14:textFill>
        </w:rPr>
        <w:t>，没有及时报账。下一步改进措施：余下部分按一学期结束再支付，将于202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年初支付</w:t>
      </w:r>
      <w:r>
        <w:rPr>
          <w:rFonts w:hint="eastAsia" w:ascii="仿宋" w:hAnsi="仿宋" w:eastAsia="仿宋" w:cs="仿宋"/>
          <w:color w:val="000000" w:themeColor="text1"/>
          <w:sz w:val="32"/>
          <w:szCs w:val="32"/>
          <w:lang w:val="en-US" w:eastAsia="zh-CN"/>
          <w14:textFill>
            <w14:solidFill>
              <w14:schemeClr w14:val="tx1"/>
            </w14:solidFill>
          </w14:textFill>
        </w:rPr>
        <w:t>完毕</w:t>
      </w:r>
      <w:r>
        <w:rPr>
          <w:rFonts w:hint="eastAsia" w:ascii="仿宋" w:hAnsi="仿宋" w:eastAsia="仿宋" w:cs="仿宋"/>
          <w:color w:val="000000" w:themeColor="text1"/>
          <w:sz w:val="32"/>
          <w:szCs w:val="32"/>
          <w14:textFill>
            <w14:solidFill>
              <w14:schemeClr w14:val="tx1"/>
            </w14:solidFill>
          </w14:textFill>
        </w:rPr>
        <w:t>。基础性绩效工资增量事业项目自评得分为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分。奖励性补贴(非三保)项目自评得分为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分。水源镇中心小学年初预算经费(门面租金)项目自评得分为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91.3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学校维修支付发票不得及时整理</w:t>
      </w:r>
      <w:r>
        <w:rPr>
          <w:rFonts w:hint="eastAsia" w:ascii="仿宋" w:hAnsi="仿宋" w:eastAsia="仿宋" w:cs="仿宋"/>
          <w:color w:val="000000" w:themeColor="text1"/>
          <w:sz w:val="32"/>
          <w:szCs w:val="32"/>
          <w14:textFill>
            <w14:solidFill>
              <w14:schemeClr w14:val="tx1"/>
            </w14:solidFill>
          </w14:textFill>
        </w:rPr>
        <w:t>。下一步改进措施：积极与财政沟通，该项目经费未支付部分于下一年度完成支付。水源镇中心小学年初预算经费(行政办公务费)项目自评得分为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支付发票不得及时整理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下一步改进措施：积极与财政沟通，该项目经费未支付部分于下一年度完成支付。特岗教师工资项目自评得分为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分。乡村教师生活补助县级补助资金项目自评得分为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分。一次性抚恤金项目自评得分为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分。义务教育阶段家庭经济困难学生生活县级补助资金项目自评得分为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分。义务教育阶段家庭经济困难学生生活中央补助资金项目自评得分为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义务教育阶段家庭经济困难学生生活自治区补助资金项目自评得分为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分。义务教育中央级公用经费项目自评得分为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98.76</w:t>
      </w:r>
      <w:r>
        <w:rPr>
          <w:rFonts w:hint="eastAsia" w:ascii="仿宋" w:hAnsi="仿宋" w:eastAsia="仿宋" w:cs="仿宋"/>
          <w:color w:val="000000" w:themeColor="text1"/>
          <w:sz w:val="32"/>
          <w:szCs w:val="32"/>
          <w14:textFill>
            <w14:solidFill>
              <w14:schemeClr w14:val="tx1"/>
            </w14:solidFill>
          </w14:textFill>
        </w:rPr>
        <w:t>分。已支付</w:t>
      </w:r>
      <w:r>
        <w:rPr>
          <w:rFonts w:hint="eastAsia" w:ascii="仿宋" w:hAnsi="仿宋" w:eastAsia="仿宋" w:cs="仿宋"/>
          <w:color w:val="000000" w:themeColor="text1"/>
          <w:sz w:val="32"/>
          <w:szCs w:val="32"/>
          <w:lang w:val="en-US" w:eastAsia="zh-CN"/>
          <w14:textFill>
            <w14:solidFill>
              <w14:schemeClr w14:val="tx1"/>
            </w14:solidFill>
          </w14:textFill>
        </w:rPr>
        <w:t>87.58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发现的主要问题及原因：不少项目已经交易，但没有及时报账，没有支付给老板。下一步改进措施：202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年已向财政申请拨回使用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保障了学校教学正常运转。营养改善计划膳食补助资金项目自评得分为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98.38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营养餐支付发票不得及时整理，</w:t>
      </w:r>
      <w:r>
        <w:rPr>
          <w:rFonts w:hint="eastAsia" w:ascii="仿宋" w:hAnsi="仿宋" w:eastAsia="仿宋" w:cs="仿宋"/>
          <w:color w:val="000000" w:themeColor="text1"/>
          <w:sz w:val="32"/>
          <w:szCs w:val="32"/>
          <w14:textFill>
            <w14:solidFill>
              <w14:schemeClr w14:val="tx1"/>
            </w14:solidFill>
          </w14:textFill>
        </w:rPr>
        <w:t>已支付</w:t>
      </w:r>
      <w:r>
        <w:rPr>
          <w:rFonts w:hint="eastAsia" w:ascii="仿宋" w:hAnsi="仿宋" w:eastAsia="仿宋" w:cs="仿宋"/>
          <w:color w:val="000000" w:themeColor="text1"/>
          <w:sz w:val="32"/>
          <w:szCs w:val="32"/>
          <w:lang w:val="en-US" w:eastAsia="zh-CN"/>
          <w14:textFill>
            <w14:solidFill>
              <w14:schemeClr w14:val="tx1"/>
            </w14:solidFill>
          </w14:textFill>
        </w:rPr>
        <w:t>83.82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下一步改进措施：余下部分按一学期结束再支付，将于202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年初支付。自治区公用经费项目自评得分为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93.48</w:t>
      </w:r>
      <w:r>
        <w:rPr>
          <w:rFonts w:hint="eastAsia" w:ascii="仿宋" w:hAnsi="仿宋" w:eastAsia="仿宋" w:cs="仿宋"/>
          <w:color w:val="000000" w:themeColor="text1"/>
          <w:sz w:val="32"/>
          <w:szCs w:val="32"/>
          <w14:textFill>
            <w14:solidFill>
              <w14:schemeClr w14:val="tx1"/>
            </w14:solidFill>
          </w14:textFill>
        </w:rPr>
        <w:t>分。发现的主要问题及原因：不少</w:t>
      </w:r>
      <w:r>
        <w:rPr>
          <w:rFonts w:hint="eastAsia" w:ascii="仿宋" w:hAnsi="仿宋" w:eastAsia="仿宋" w:cs="仿宋"/>
          <w:color w:val="000000" w:themeColor="text1"/>
          <w:sz w:val="32"/>
          <w:szCs w:val="32"/>
          <w:lang w:val="en-US" w:eastAsia="zh-CN"/>
          <w14:textFill>
            <w14:solidFill>
              <w14:schemeClr w14:val="tx1"/>
            </w14:solidFill>
          </w14:textFill>
        </w:rPr>
        <w:t>办公费用发票不及时整理</w:t>
      </w:r>
      <w:r>
        <w:rPr>
          <w:rFonts w:hint="eastAsia" w:ascii="仿宋" w:hAnsi="仿宋" w:eastAsia="仿宋" w:cs="仿宋"/>
          <w:color w:val="000000" w:themeColor="text1"/>
          <w:sz w:val="32"/>
          <w:szCs w:val="32"/>
          <w14:textFill>
            <w14:solidFill>
              <w14:schemeClr w14:val="tx1"/>
            </w14:solidFill>
          </w14:textFill>
        </w:rPr>
        <w:t>，没有及时报账。下一步改进措施：202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年已向财政申请拨回使用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保障了学校教学正常运转。自治区级乡村教师生活补助项目自评得分为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98.5</w:t>
      </w:r>
      <w:r>
        <w:rPr>
          <w:rFonts w:hint="eastAsia" w:ascii="仿宋" w:hAnsi="仿宋" w:eastAsia="仿宋" w:cs="仿宋"/>
          <w:color w:val="000000" w:themeColor="text1"/>
          <w:sz w:val="32"/>
          <w:szCs w:val="32"/>
          <w14:textFill>
            <w14:solidFill>
              <w14:schemeClr w14:val="tx1"/>
            </w14:solidFill>
          </w14:textFill>
        </w:rPr>
        <w:t>分。发现的主要问题及原因：水源镇中心小学严格按照相关文件要求，但因202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中有几个退休教师</w:t>
      </w:r>
      <w:r>
        <w:rPr>
          <w:rFonts w:hint="eastAsia" w:ascii="仿宋" w:hAnsi="仿宋" w:eastAsia="仿宋" w:cs="仿宋"/>
          <w:color w:val="000000" w:themeColor="text1"/>
          <w:sz w:val="32"/>
          <w:szCs w:val="32"/>
          <w14:textFill>
            <w14:solidFill>
              <w14:schemeClr w14:val="tx1"/>
            </w14:solidFill>
          </w14:textFill>
        </w:rPr>
        <w:t>，所以202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年该项目预算执行率达</w:t>
      </w:r>
      <w:r>
        <w:rPr>
          <w:rFonts w:hint="eastAsia" w:ascii="仿宋" w:hAnsi="仿宋" w:eastAsia="仿宋" w:cs="仿宋"/>
          <w:color w:val="000000" w:themeColor="text1"/>
          <w:sz w:val="32"/>
          <w:szCs w:val="32"/>
          <w:lang w:val="en-US" w:eastAsia="zh-CN"/>
          <w14:textFill>
            <w14:solidFill>
              <w14:schemeClr w14:val="tx1"/>
            </w14:solidFill>
          </w14:textFill>
        </w:rPr>
        <w:t>98.5</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后附表：《2023年环江毛南族自治县水源镇中心小学</w:t>
      </w:r>
      <w:r>
        <w:rPr>
          <w:rFonts w:hint="eastAsia" w:ascii="仿宋" w:hAnsi="仿宋" w:eastAsia="仿宋" w:cs="仿宋"/>
          <w:color w:val="auto"/>
          <w:sz w:val="32"/>
          <w:szCs w:val="32"/>
        </w:rPr>
        <w:t>项目支出绩效自评表》。</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420" w:firstLine="420"/>
      </w:pPr>
      <w:rPr>
        <w:rFonts w:hint="eastAsia"/>
        <w:color w:val="auto"/>
        <w:sz w:val="32"/>
        <w:szCs w:val="32"/>
      </w:rPr>
    </w:lvl>
  </w:abstractNum>
  <w:abstractNum w:abstractNumId="1">
    <w:nsid w:val="C898EB9C"/>
    <w:multiLevelType w:val="singleLevel"/>
    <w:tmpl w:val="C898EB9C"/>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NmU3ZjRiZGNmMTE2M2Y2ZWJjMmJhMmQ1MGI4M2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74627"/>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1C43C2"/>
    <w:rsid w:val="03BF7419"/>
    <w:rsid w:val="04E54546"/>
    <w:rsid w:val="04F62757"/>
    <w:rsid w:val="0526590B"/>
    <w:rsid w:val="05992762"/>
    <w:rsid w:val="06DA7DFB"/>
    <w:rsid w:val="07B0770E"/>
    <w:rsid w:val="0942143F"/>
    <w:rsid w:val="09C920A2"/>
    <w:rsid w:val="0BCB0A0C"/>
    <w:rsid w:val="0D100297"/>
    <w:rsid w:val="0D202B45"/>
    <w:rsid w:val="0EC47662"/>
    <w:rsid w:val="0F495E5D"/>
    <w:rsid w:val="0F8D4C87"/>
    <w:rsid w:val="10505FAA"/>
    <w:rsid w:val="105F7E7E"/>
    <w:rsid w:val="10F8330C"/>
    <w:rsid w:val="11E56B5B"/>
    <w:rsid w:val="125C77AB"/>
    <w:rsid w:val="13151908"/>
    <w:rsid w:val="13820E14"/>
    <w:rsid w:val="14721C87"/>
    <w:rsid w:val="14CB726E"/>
    <w:rsid w:val="16D232A8"/>
    <w:rsid w:val="17C208AF"/>
    <w:rsid w:val="17E92249"/>
    <w:rsid w:val="183C162D"/>
    <w:rsid w:val="18A13DE0"/>
    <w:rsid w:val="18D304F1"/>
    <w:rsid w:val="19F32577"/>
    <w:rsid w:val="19F45B80"/>
    <w:rsid w:val="1B0C078D"/>
    <w:rsid w:val="1B2B31E2"/>
    <w:rsid w:val="1B4C295A"/>
    <w:rsid w:val="1B67087C"/>
    <w:rsid w:val="1B901A54"/>
    <w:rsid w:val="1B973C63"/>
    <w:rsid w:val="1BA1001E"/>
    <w:rsid w:val="1CD970FD"/>
    <w:rsid w:val="1D317259"/>
    <w:rsid w:val="1D762A54"/>
    <w:rsid w:val="1DB617F9"/>
    <w:rsid w:val="1E531C30"/>
    <w:rsid w:val="1E664F5B"/>
    <w:rsid w:val="1EB34BE1"/>
    <w:rsid w:val="1F1178DA"/>
    <w:rsid w:val="1FC12569"/>
    <w:rsid w:val="215E639F"/>
    <w:rsid w:val="21EC3183"/>
    <w:rsid w:val="225E72CD"/>
    <w:rsid w:val="228063E8"/>
    <w:rsid w:val="2451033D"/>
    <w:rsid w:val="245B49D0"/>
    <w:rsid w:val="246E2F77"/>
    <w:rsid w:val="254B4E2B"/>
    <w:rsid w:val="25D16D75"/>
    <w:rsid w:val="279573F5"/>
    <w:rsid w:val="283D7C94"/>
    <w:rsid w:val="29480E03"/>
    <w:rsid w:val="29692900"/>
    <w:rsid w:val="2983634D"/>
    <w:rsid w:val="29AE54BD"/>
    <w:rsid w:val="2B1F3431"/>
    <w:rsid w:val="2BB02055"/>
    <w:rsid w:val="2C575A56"/>
    <w:rsid w:val="2C785045"/>
    <w:rsid w:val="2CB1353E"/>
    <w:rsid w:val="2DC545CD"/>
    <w:rsid w:val="2F257714"/>
    <w:rsid w:val="2F3275E5"/>
    <w:rsid w:val="30AA08EF"/>
    <w:rsid w:val="30D23D1C"/>
    <w:rsid w:val="31221CF5"/>
    <w:rsid w:val="31400178"/>
    <w:rsid w:val="321E3342"/>
    <w:rsid w:val="324059AE"/>
    <w:rsid w:val="327759C8"/>
    <w:rsid w:val="33185FE3"/>
    <w:rsid w:val="33F02472"/>
    <w:rsid w:val="34EE2E36"/>
    <w:rsid w:val="35983713"/>
    <w:rsid w:val="36777241"/>
    <w:rsid w:val="38A951DB"/>
    <w:rsid w:val="38B31605"/>
    <w:rsid w:val="39003F4F"/>
    <w:rsid w:val="3A290D39"/>
    <w:rsid w:val="3B300657"/>
    <w:rsid w:val="3BDA700C"/>
    <w:rsid w:val="3C07002B"/>
    <w:rsid w:val="3D0D152A"/>
    <w:rsid w:val="3DF52681"/>
    <w:rsid w:val="3DF62756"/>
    <w:rsid w:val="3E570F2A"/>
    <w:rsid w:val="3E5B28EE"/>
    <w:rsid w:val="3F1B7587"/>
    <w:rsid w:val="403261BA"/>
    <w:rsid w:val="41E57B4F"/>
    <w:rsid w:val="432F26F6"/>
    <w:rsid w:val="43341CCA"/>
    <w:rsid w:val="43880F63"/>
    <w:rsid w:val="441C5A6F"/>
    <w:rsid w:val="44C44FCC"/>
    <w:rsid w:val="44CC7369"/>
    <w:rsid w:val="450F2542"/>
    <w:rsid w:val="457F5108"/>
    <w:rsid w:val="46034E02"/>
    <w:rsid w:val="46951B6B"/>
    <w:rsid w:val="47DF6624"/>
    <w:rsid w:val="4977185E"/>
    <w:rsid w:val="49A34401"/>
    <w:rsid w:val="49D7416D"/>
    <w:rsid w:val="4A3E30AB"/>
    <w:rsid w:val="4AC14DAC"/>
    <w:rsid w:val="4D154C85"/>
    <w:rsid w:val="4D8B64EC"/>
    <w:rsid w:val="4EC8553A"/>
    <w:rsid w:val="500C70D4"/>
    <w:rsid w:val="50190A40"/>
    <w:rsid w:val="508F4E24"/>
    <w:rsid w:val="51461E90"/>
    <w:rsid w:val="51463753"/>
    <w:rsid w:val="5217029D"/>
    <w:rsid w:val="52553A93"/>
    <w:rsid w:val="527D6342"/>
    <w:rsid w:val="53521F8B"/>
    <w:rsid w:val="53DC7D3D"/>
    <w:rsid w:val="53E22F47"/>
    <w:rsid w:val="54522FF8"/>
    <w:rsid w:val="549C1EE1"/>
    <w:rsid w:val="54FE5E6C"/>
    <w:rsid w:val="55450629"/>
    <w:rsid w:val="55F847C8"/>
    <w:rsid w:val="56692963"/>
    <w:rsid w:val="568B0F48"/>
    <w:rsid w:val="5786217B"/>
    <w:rsid w:val="59337A15"/>
    <w:rsid w:val="59810274"/>
    <w:rsid w:val="59CF31E2"/>
    <w:rsid w:val="5AE11FC3"/>
    <w:rsid w:val="5B4B595C"/>
    <w:rsid w:val="5BA45629"/>
    <w:rsid w:val="5BB90D8B"/>
    <w:rsid w:val="5CA96A00"/>
    <w:rsid w:val="5CD731D8"/>
    <w:rsid w:val="5CF730BC"/>
    <w:rsid w:val="5E5F0DCE"/>
    <w:rsid w:val="5F9E4C52"/>
    <w:rsid w:val="5FA40A7B"/>
    <w:rsid w:val="5FD56D29"/>
    <w:rsid w:val="5FEC7F3F"/>
    <w:rsid w:val="600B47B7"/>
    <w:rsid w:val="607C3FDC"/>
    <w:rsid w:val="60F74BC3"/>
    <w:rsid w:val="617D3BF8"/>
    <w:rsid w:val="61841F6A"/>
    <w:rsid w:val="623007A9"/>
    <w:rsid w:val="627D36D3"/>
    <w:rsid w:val="63333C16"/>
    <w:rsid w:val="63387E58"/>
    <w:rsid w:val="637D7558"/>
    <w:rsid w:val="63B21678"/>
    <w:rsid w:val="63B4311D"/>
    <w:rsid w:val="644F19AC"/>
    <w:rsid w:val="645F00F0"/>
    <w:rsid w:val="65AA4920"/>
    <w:rsid w:val="67694F1E"/>
    <w:rsid w:val="68433062"/>
    <w:rsid w:val="68BB5EFD"/>
    <w:rsid w:val="69597934"/>
    <w:rsid w:val="6B964DDC"/>
    <w:rsid w:val="6C783074"/>
    <w:rsid w:val="6D9E65C6"/>
    <w:rsid w:val="6DA81947"/>
    <w:rsid w:val="6EB66DE2"/>
    <w:rsid w:val="6ED3075F"/>
    <w:rsid w:val="6F2A2D4B"/>
    <w:rsid w:val="6F8A0C1E"/>
    <w:rsid w:val="703F45D4"/>
    <w:rsid w:val="70BB36E1"/>
    <w:rsid w:val="715D6546"/>
    <w:rsid w:val="716433F7"/>
    <w:rsid w:val="71BE069E"/>
    <w:rsid w:val="72F87733"/>
    <w:rsid w:val="73953409"/>
    <w:rsid w:val="73E069A3"/>
    <w:rsid w:val="76A54A72"/>
    <w:rsid w:val="78104AA8"/>
    <w:rsid w:val="78E257C5"/>
    <w:rsid w:val="79425E76"/>
    <w:rsid w:val="794B35BE"/>
    <w:rsid w:val="7A490C12"/>
    <w:rsid w:val="7B0A3A31"/>
    <w:rsid w:val="7B3360ED"/>
    <w:rsid w:val="7B5319F3"/>
    <w:rsid w:val="7BDF037E"/>
    <w:rsid w:val="7BF50948"/>
    <w:rsid w:val="7C496199"/>
    <w:rsid w:val="7C955444"/>
    <w:rsid w:val="7CE66A78"/>
    <w:rsid w:val="7D23564C"/>
    <w:rsid w:val="7D5E062D"/>
    <w:rsid w:val="7D5E50FF"/>
    <w:rsid w:val="7DF76CD8"/>
    <w:rsid w:val="7E9B63FC"/>
    <w:rsid w:val="7F433B12"/>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2951.88</c:v>
                </c:pt>
                <c:pt idx="1">
                  <c:v>1.67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Sheet1!$A$2:$A$13</c15:sqref>
                  </c15:fullRef>
                </c:ext>
              </c:extLst>
              <c:f>(Sheet1!$A$5:$A$6,Sheet1!$A$12:$A$13)</c:f>
              <c:strCache>
                <c:ptCount val="4"/>
                <c:pt idx="0">
                  <c:v>30304</c:v>
                </c:pt>
                <c:pt idx="1">
                  <c:v>30305</c:v>
                </c:pt>
                <c:pt idx="2">
                  <c:v>303099</c:v>
                </c:pt>
                <c:pt idx="3">
                  <c:v>303x</c:v>
                </c:pt>
              </c:strCache>
            </c:strRef>
          </c:cat>
          <c:val>
            <c:numRef>
              <c:extLst>
                <c:ext xmlns:c15="http://schemas.microsoft.com/office/drawing/2012/chart" uri="{02D57815-91ED-43cb-92C2-25804820EDAC}">
                  <c15:fullRef>
                    <c15:sqref>Sheet1!$B$2:$B$13</c15:sqref>
                  </c15:fullRef>
                </c:ext>
              </c:extLst>
              <c:f>(Sheet1!$B$5:$B$6,Sheet1!$B$12:$B$13)</c:f>
              <c:numCache>
                <c:formatCode>General</c:formatCode>
                <c:ptCount val="4"/>
                <c:pt idx="0">
                  <c:v>40.26</c:v>
                </c:pt>
                <c:pt idx="1">
                  <c:v>170.48</c:v>
                </c:pt>
                <c:pt idx="2">
                  <c:v>0.01</c:v>
                </c:pt>
                <c:pt idx="3">
                  <c:v>210.75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28.47</c:v>
                </c:pt>
                <c:pt idx="1">
                  <c:v>2133.76</c:v>
                </c:pt>
                <c:pt idx="2">
                  <c:v>203.24</c:v>
                </c:pt>
                <c:pt idx="3">
                  <c:v>152.45</c:v>
                </c:pt>
                <c:pt idx="4">
                  <c:v>183.99</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30.64</c:v>
                </c:pt>
                <c:pt idx="1">
                  <c:v>2297.89</c:v>
                </c:pt>
                <c:pt idx="2">
                  <c:v>225.48</c:v>
                </c:pt>
                <c:pt idx="3">
                  <c:v>169.11</c:v>
                </c:pt>
                <c:pt idx="4">
                  <c:v>230.43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2050202</c:v>
                </c:pt>
                <c:pt idx="1">
                  <c:v>2050299</c:v>
                </c:pt>
                <c:pt idx="2">
                  <c:v>2050999</c:v>
                </c:pt>
                <c:pt idx="3">
                  <c:v>2050701</c:v>
                </c:pt>
                <c:pt idx="8">
                  <c:v>205x</c:v>
                </c:pt>
              </c:strCache>
            </c:strRef>
          </c:cat>
          <c:val>
            <c:numRef>
              <c:f>Sheet1!$B$2:$B$10</c:f>
              <c:numCache>
                <c:formatCode>General</c:formatCode>
                <c:ptCount val="9"/>
                <c:pt idx="0">
                  <c:v>2289.95</c:v>
                </c:pt>
                <c:pt idx="1">
                  <c:v>5.88</c:v>
                </c:pt>
                <c:pt idx="2">
                  <c:v>1.53</c:v>
                </c:pt>
                <c:pt idx="3">
                  <c:v>65.64</c:v>
                </c:pt>
                <c:pt idx="8">
                  <c:v>2363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400" b="1" i="0" u="none" strike="noStrike" kern="1200" baseline="0">
                <a:solidFill>
                  <a:schemeClr val="dk1">
                    <a:lumMod val="75000"/>
                    <a:lumOff val="2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(Sheet1!$A$2,Sheet1!$A$5)</c:f>
              <c:strCache>
                <c:ptCount val="2"/>
                <c:pt idx="0">
                  <c:v>2080505</c:v>
                </c:pt>
                <c:pt idx="1">
                  <c:v>208x</c:v>
                </c:pt>
              </c:strCache>
            </c:strRef>
          </c:cat>
          <c:val>
            <c:numRef>
              <c:extLst>
                <c:ext xmlns:c15="http://schemas.microsoft.com/office/drawing/2012/chart" uri="{02D57815-91ED-43cb-92C2-25804820EDAC}">
                  <c15:fullRef>
                    <c15:sqref>Sheet1!$B$2:$B$5</c15:sqref>
                  </c15:fullRef>
                </c:ext>
              </c:extLst>
              <c:f>(Sheet1!$B$2,Sheet1!$B$5)</c:f>
              <c:numCache>
                <c:formatCode>General</c:formatCode>
                <c:ptCount val="2"/>
                <c:pt idx="0">
                  <c:v>225.48</c:v>
                </c:pt>
                <c:pt idx="1">
                  <c:v>225.48</c:v>
                </c:pt>
              </c:numCache>
            </c:numRef>
          </c:val>
        </c:ser>
        <c:dLbls>
          <c:showLegendKey val="0"/>
          <c:showVal val="0"/>
          <c:showCatName val="0"/>
          <c:showSerName val="0"/>
          <c:showPercent val="0"/>
          <c:showBubbleSize val="0"/>
        </c:dLbls>
        <c:gapWidth val="246"/>
        <c:overlap val="-28"/>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169.11</c:v>
                </c:pt>
                <c:pt idx="1">
                  <c:v>169.11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80" b="1" i="0" u="none" strike="noStrike" kern="1200" baseline="0">
                <a:solidFill>
                  <a:schemeClr val="tx1"/>
                </a:solidFill>
                <a:latin typeface="+mn-lt"/>
                <a:ea typeface="+mn-ea"/>
                <a:cs typeface="+mn-cs"/>
              </a:defRPr>
            </a:pPr>
            <a:r>
              <a:rPr altLang="en-US" sz="1500"/>
              <a:t>其他支出以及教育事业的彩票公益金支出</a:t>
            </a:r>
            <a:endParaRPr lang="en-US" sz="15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2296004</c:v>
                </c:pt>
                <c:pt idx="1">
                  <c:v>2299999</c:v>
                </c:pt>
                <c:pt idx="2">
                  <c:v>229x</c:v>
                </c:pt>
              </c:strCache>
            </c:strRef>
          </c:cat>
          <c:val>
            <c:numRef>
              <c:f>Sheet1!$B$2:$B$4</c:f>
              <c:numCache>
                <c:formatCode>General</c:formatCode>
                <c:ptCount val="3"/>
                <c:pt idx="0">
                  <c:v>1.67</c:v>
                </c:pt>
                <c:pt idx="1">
                  <c:v>228.77</c:v>
                </c:pt>
                <c:pt idx="2">
                  <c:v>230.44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4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80" b="1" i="0" u="none" strike="noStrike" kern="1200" baseline="0">
                <a:solidFill>
                  <a:schemeClr val="tx1"/>
                </a:solidFill>
                <a:latin typeface="+mn-lt"/>
                <a:ea typeface="+mn-ea"/>
                <a:cs typeface="+mn-cs"/>
              </a:defRPr>
            </a:pPr>
            <a:r>
              <a:rPr altLang="en-US" sz="1680"/>
              <a:t>其他群众团体事务支出</a:t>
            </a:r>
            <a:endParaRPr lang="en-US" sz="168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30.64</c:v>
                </c:pt>
                <c:pt idx="1">
                  <c:v>30.64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4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Sheet1!$A$2:$A$14</c15:sqref>
                  </c15:fullRef>
                </c:ext>
              </c:extLst>
              <c:f>(Sheet1!$A$2:$A$4,Sheet1!$A$6:$A$7,Sheet1!$A$9,Sheet1!$A$11:$A$12,Sheet1!$A$14)</c:f>
              <c:strCache>
                <c:ptCount val="9"/>
                <c:pt idx="0">
                  <c:v>30101</c:v>
                </c:pt>
                <c:pt idx="1">
                  <c:v>30102</c:v>
                </c:pt>
                <c:pt idx="2">
                  <c:v>30103</c:v>
                </c:pt>
                <c:pt idx="3">
                  <c:v>30107</c:v>
                </c:pt>
                <c:pt idx="4">
                  <c:v>30108</c:v>
                </c:pt>
                <c:pt idx="5">
                  <c:v>30110</c:v>
                </c:pt>
                <c:pt idx="6">
                  <c:v>30112</c:v>
                </c:pt>
                <c:pt idx="7">
                  <c:v>30113</c:v>
                </c:pt>
                <c:pt idx="8">
                  <c:v>301x</c:v>
                </c:pt>
              </c:strCache>
            </c:strRef>
          </c:cat>
          <c:val>
            <c:numRef>
              <c:extLst>
                <c:ext xmlns:c15="http://schemas.microsoft.com/office/drawing/2012/chart" uri="{02D57815-91ED-43cb-92C2-25804820EDAC}">
                  <c15:fullRef>
                    <c15:sqref>Sheet1!$B$2:$B$14</c15:sqref>
                  </c15:fullRef>
                </c:ext>
              </c:extLst>
              <c:f>(Sheet1!$B$2:$B$4,Sheet1!$B$6:$B$7,Sheet1!$B$9,Sheet1!$B$11:$B$12,Sheet1!$B$14)</c:f>
              <c:numCache>
                <c:formatCode>General</c:formatCode>
                <c:ptCount val="9"/>
                <c:pt idx="0">
                  <c:v>724.33</c:v>
                </c:pt>
                <c:pt idx="1">
                  <c:v>164.63</c:v>
                </c:pt>
                <c:pt idx="2">
                  <c:v>629.41</c:v>
                </c:pt>
                <c:pt idx="3">
                  <c:v>325.39</c:v>
                </c:pt>
                <c:pt idx="4">
                  <c:v>225.48</c:v>
                </c:pt>
                <c:pt idx="5">
                  <c:v>91.34</c:v>
                </c:pt>
                <c:pt idx="6">
                  <c:v>11.31</c:v>
                </c:pt>
                <c:pt idx="7">
                  <c:v>169.11</c:v>
                </c:pt>
                <c:pt idx="8">
                  <c:v>2341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Sheet1!$A$2:$A$28</c15:sqref>
                  </c15:fullRef>
                </c:ext>
              </c:extLst>
              <c:f>(Sheet1!$A$23,Sheet1!$A$28)</c:f>
              <c:strCache>
                <c:ptCount val="2"/>
                <c:pt idx="0">
                  <c:v>30228</c:v>
                </c:pt>
                <c:pt idx="1">
                  <c:v>302x</c:v>
                </c:pt>
              </c:strCache>
            </c:strRef>
          </c:cat>
          <c:val>
            <c:numRef>
              <c:extLst>
                <c:ext xmlns:c15="http://schemas.microsoft.com/office/drawing/2012/chart" uri="{02D57815-91ED-43cb-92C2-25804820EDAC}">
                  <c15:fullRef>
                    <c15:sqref>Sheet1!$B$2:$B$28</c15:sqref>
                  </c15:fullRef>
                </c:ext>
              </c:extLst>
              <c:f>(Sheet1!$B$23,Sheet1!$B$28)</c:f>
              <c:numCache>
                <c:formatCode>General</c:formatCode>
                <c:ptCount val="2"/>
                <c:pt idx="0">
                  <c:v>30.64</c:v>
                </c:pt>
                <c:pt idx="1">
                  <c:v>30.64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3370</Words>
  <Characters>5232</Characters>
  <Lines>90</Lines>
  <Paragraphs>25</Paragraphs>
  <TotalTime>8</TotalTime>
  <ScaleCrop>false</ScaleCrop>
  <LinksUpToDate>false</LinksUpToDate>
  <CharactersWithSpaces>5297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2024-12-30T02:36:09Z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