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环江毛南族自治县思恩镇中心小学</w:t>
      </w:r>
      <w:r>
        <w:rPr>
          <w:rFonts w:hint="eastAsia" w:ascii="黑体" w:hAnsi="黑体" w:eastAsia="黑体" w:cs="黑体"/>
          <w:b/>
          <w:bCs/>
          <w:sz w:val="52"/>
          <w:szCs w:val="52"/>
          <w:highlight w:val="none"/>
          <w:lang w:val="en-US" w:eastAsia="zh-CN"/>
        </w:rPr>
        <w:t xml:space="preserve">                              </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hint="eastAsia" w:ascii="黑体" w:hAnsi="黑体" w:eastAsia="黑体" w:cs="仿宋"/>
          <w:sz w:val="32"/>
          <w:szCs w:val="32"/>
        </w:rPr>
      </w:pPr>
    </w:p>
    <w:p>
      <w:pPr>
        <w:jc w:val="left"/>
        <w:rPr>
          <w:rFonts w:hint="eastAsia" w:ascii="黑体" w:hAnsi="黑体" w:eastAsia="黑体" w:cs="仿宋"/>
          <w:sz w:val="32"/>
          <w:szCs w:val="32"/>
        </w:rPr>
      </w:pPr>
    </w:p>
    <w:p>
      <w:pPr>
        <w:jc w:val="left"/>
        <w:rPr>
          <w:rFonts w:hint="eastAsia" w:ascii="黑体" w:hAnsi="黑体" w:eastAsia="黑体" w:cs="仿宋"/>
          <w:sz w:val="32"/>
          <w:szCs w:val="32"/>
        </w:rPr>
      </w:pPr>
    </w:p>
    <w:p>
      <w:pPr>
        <w:jc w:val="left"/>
        <w:rPr>
          <w:rFonts w:hint="eastAsia" w:ascii="黑体" w:hAnsi="黑体" w:eastAsia="黑体" w:cs="仿宋"/>
          <w:sz w:val="32"/>
          <w:szCs w:val="32"/>
        </w:rPr>
      </w:pPr>
    </w:p>
    <w:p>
      <w:pPr>
        <w:ind w:firstLine="3200" w:firstLineChars="1000"/>
        <w:jc w:val="left"/>
        <w:rPr>
          <w:rFonts w:hint="default" w:ascii="仿宋" w:hAnsi="仿宋" w:eastAsia="黑体" w:cs="仿宋"/>
          <w:sz w:val="32"/>
          <w:szCs w:val="32"/>
          <w:highlight w:val="none"/>
          <w:lang w:val="en-US" w:eastAsia="zh-CN"/>
        </w:rPr>
      </w:pPr>
      <w:r>
        <w:rPr>
          <w:rFonts w:hint="eastAsia" w:ascii="黑体" w:hAnsi="黑体" w:eastAsia="黑体" w:cs="仿宋"/>
          <w:sz w:val="32"/>
          <w:szCs w:val="32"/>
        </w:rPr>
        <w:t>单位负责人：</w:t>
      </w:r>
      <w:r>
        <w:rPr>
          <w:rFonts w:hint="eastAsia" w:ascii="黑体" w:hAnsi="黑体" w:eastAsia="黑体" w:cs="仿宋"/>
          <w:sz w:val="32"/>
          <w:szCs w:val="32"/>
          <w:lang w:val="en-US" w:eastAsia="zh-CN"/>
        </w:rPr>
        <w:t>罗晚苗</w:t>
      </w:r>
    </w:p>
    <w:p>
      <w:pPr>
        <w:jc w:val="left"/>
        <w:rPr>
          <w:rFonts w:ascii="仿宋" w:hAnsi="仿宋" w:eastAsia="仿宋" w:cs="仿宋"/>
          <w:sz w:val="32"/>
          <w:szCs w:val="32"/>
          <w:highlight w:val="none"/>
        </w:rPr>
      </w:pP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default" w:ascii="仿宋_GB2312" w:eastAsia="仿宋_GB2312"/>
          <w:sz w:val="32"/>
          <w:szCs w:val="32"/>
          <w:highlight w:val="none"/>
          <w:lang w:val="en-US" w:eastAsia="zh-CN"/>
        </w:rPr>
      </w:pPr>
      <w:r>
        <w:rPr>
          <w:rFonts w:hint="eastAsia" w:ascii="仿宋_GB2312" w:eastAsia="仿宋_GB2312"/>
          <w:sz w:val="32"/>
          <w:szCs w:val="32"/>
          <w:highlight w:val="none"/>
        </w:rPr>
        <w:t>表一：收入支出决算总表</w:t>
      </w:r>
      <w:r>
        <w:rPr>
          <w:rFonts w:hint="eastAsia" w:ascii="仿宋_GB2312" w:eastAsia="仿宋_GB2312"/>
          <w:sz w:val="32"/>
          <w:szCs w:val="32"/>
          <w:highlight w:val="none"/>
          <w:lang w:val="en-US" w:eastAsia="zh-CN"/>
        </w:rPr>
        <w:t xml:space="preserve"> 公开01表</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rPr>
        <w:t>表二：收入决算表</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公开02表</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rPr>
        <w:t>表三：支出决算表</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公开02表</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rPr>
        <w:t>表四：财政拨款收入支出决算总表</w:t>
      </w:r>
      <w:r>
        <w:rPr>
          <w:rFonts w:hint="eastAsia" w:ascii="仿宋_GB2312" w:eastAsia="仿宋_GB2312"/>
          <w:sz w:val="32"/>
          <w:szCs w:val="32"/>
          <w:highlight w:val="none"/>
          <w:lang w:val="en-US" w:eastAsia="zh-CN"/>
        </w:rPr>
        <w:t xml:space="preserve"> 公开</w:t>
      </w:r>
      <w:r>
        <w:rPr>
          <w:rFonts w:hint="eastAsia" w:ascii="仿宋_GB2312" w:eastAsia="仿宋_GB2312"/>
          <w:sz w:val="32"/>
          <w:szCs w:val="32"/>
          <w:highlight w:val="none"/>
        </w:rPr>
        <w:t>04表</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rPr>
        <w:t>表五：一般公共预算财政拨款支出决算表</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公开05表</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rPr>
        <w:t>表六：一般公共预算财政拨款基本支出决算明细表</w:t>
      </w:r>
      <w:r>
        <w:rPr>
          <w:rFonts w:hint="eastAsia" w:ascii="仿宋_GB2312" w:eastAsia="仿宋_GB2312"/>
          <w:sz w:val="30"/>
          <w:szCs w:val="30"/>
          <w:highlight w:val="none"/>
        </w:rPr>
        <w:t>公开06表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收入支出决算表公开07表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08表</w:t>
      </w:r>
    </w:p>
    <w:p>
      <w:pPr>
        <w:rPr>
          <w:rFonts w:hint="eastAsia" w:ascii="仿宋_GB2312" w:eastAsia="仿宋_GB2312"/>
          <w:sz w:val="32"/>
          <w:szCs w:val="32"/>
          <w:highlight w:val="none"/>
          <w:lang w:val="en-US" w:eastAsia="zh-CN"/>
        </w:rPr>
      </w:pPr>
      <w:r>
        <w:rPr>
          <w:rFonts w:hint="eastAsia" w:ascii="仿宋_GB2312" w:eastAsia="仿宋_GB2312"/>
          <w:sz w:val="32"/>
          <w:szCs w:val="32"/>
          <w:highlight w:val="none"/>
        </w:rPr>
        <w:t>表九：财政拨款“三公”经费支出决算表</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公开09表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ind w:firstLine="964" w:firstLineChars="300"/>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环江毛南族自治县思恩镇中心小学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教育事业发展规划并检查实施情况。</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（三）督促检查全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贯彻执行教育方针、政策、法令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法规和上级的各项规定；评估指导全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（四）负责推进</w:t>
      </w:r>
      <w:r>
        <w:rPr>
          <w:rFonts w:hint="eastAsia" w:ascii="仿宋_GB2312" w:eastAsia="仿宋_GB2312" w:cs="仿宋_GB2312"/>
          <w:kern w:val="0"/>
          <w:sz w:val="32"/>
          <w:szCs w:val="32"/>
          <w:lang w:val="en-US" w:eastAsia="zh-CN"/>
        </w:rPr>
        <w:t>全镇小学</w:t>
      </w:r>
      <w:r>
        <w:rPr>
          <w:rFonts w:hint="eastAsia" w:ascii="仿宋_GB2312" w:eastAsia="仿宋_GB2312" w:cs="仿宋_GB2312"/>
          <w:kern w:val="0"/>
          <w:sz w:val="32"/>
          <w:szCs w:val="32"/>
        </w:rPr>
        <w:t>义务教育均衡发展和促进教育公平，负责义务教育的宏观指导与协调。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（五）负责全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教育系统校长队伍、人才队伍和教师队伍建设，包括校长岗位培训、后备干部队伍建设、教师学历教育、继续教育等。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（六）负责组织全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做好</w:t>
      </w:r>
      <w:r>
        <w:rPr>
          <w:rFonts w:hint="eastAsia" w:ascii="仿宋_GB2312" w:eastAsia="仿宋_GB2312" w:cs="仿宋_GB2312"/>
          <w:kern w:val="0"/>
          <w:sz w:val="32"/>
          <w:szCs w:val="32"/>
          <w:lang w:val="en-US" w:eastAsia="zh-CN"/>
        </w:rPr>
        <w:t>一年级新生</w:t>
      </w:r>
      <w:r>
        <w:rPr>
          <w:rFonts w:hint="eastAsia" w:ascii="仿宋_GB2312" w:eastAsia="仿宋_GB2312" w:cs="仿宋_GB2312"/>
          <w:kern w:val="0"/>
          <w:sz w:val="32"/>
          <w:szCs w:val="32"/>
        </w:rPr>
        <w:t>招生录取工作和中小学学籍管理工作。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（七）按照中央关于全面推进素质教育要求，负责</w:t>
      </w:r>
      <w:r>
        <w:rPr>
          <w:rFonts w:hint="eastAsia" w:ascii="仿宋_GB2312" w:eastAsia="仿宋_GB2312" w:cs="仿宋_GB2312"/>
          <w:kern w:val="0"/>
          <w:sz w:val="32"/>
          <w:szCs w:val="32"/>
          <w:lang w:val="en-US" w:eastAsia="zh-CN"/>
        </w:rPr>
        <w:t>小学</w:t>
      </w:r>
      <w:r>
        <w:rPr>
          <w:rFonts w:hint="eastAsia" w:ascii="仿宋_GB2312" w:eastAsia="仿宋_GB2312" w:cs="仿宋_GB2312"/>
          <w:kern w:val="0"/>
          <w:sz w:val="32"/>
          <w:szCs w:val="32"/>
        </w:rPr>
        <w:t>教育教学管理、教育教学改革及教育教学科学研究工作，检查指导全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（八）检查指导</w:t>
      </w:r>
      <w:r>
        <w:rPr>
          <w:rFonts w:hint="eastAsia" w:ascii="仿宋_GB2312" w:eastAsia="仿宋_GB2312" w:cs="仿宋_GB2312"/>
          <w:kern w:val="0"/>
          <w:sz w:val="32"/>
          <w:szCs w:val="32"/>
          <w:lang w:val="en-US" w:eastAsia="zh-CN"/>
        </w:rPr>
        <w:t>各</w:t>
      </w:r>
      <w:r>
        <w:rPr>
          <w:rFonts w:hint="eastAsia" w:ascii="仿宋_GB2312" w:eastAsia="仿宋_GB2312" w:cs="仿宋_GB2312"/>
          <w:kern w:val="0"/>
          <w:sz w:val="32"/>
          <w:szCs w:val="32"/>
        </w:rPr>
        <w:t>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（九）检查指导全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开展信息化教学工作。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（十）负责全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教师初</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（十一）负责监督审计全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教育经费和教育基建经费拨付、管理与使用工作。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（十二）负责全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小学教学教育常规管理评估工作，指导全</w:t>
      </w:r>
      <w:r>
        <w:rPr>
          <w:rFonts w:hint="eastAsia" w:ascii="仿宋_GB2312" w:eastAsia="仿宋_GB2312" w:cs="仿宋_GB2312"/>
          <w:kern w:val="0"/>
          <w:sz w:val="32"/>
          <w:szCs w:val="32"/>
          <w:lang w:val="en-US" w:eastAsia="zh-CN"/>
        </w:rPr>
        <w:t>镇各学校</w:t>
      </w:r>
      <w:r>
        <w:rPr>
          <w:rFonts w:hint="eastAsia" w:ascii="仿宋_GB2312" w:eastAsia="仿宋_GB2312" w:cs="仿宋_GB2312"/>
          <w:kern w:val="0"/>
          <w:sz w:val="32"/>
          <w:szCs w:val="32"/>
        </w:rPr>
        <w:t>德育、体育、卫生、艺术、安全工作以及少先队工作。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（十三）负责指导全</w:t>
      </w:r>
      <w:r>
        <w:rPr>
          <w:rFonts w:hint="eastAsia" w:ascii="仿宋_GB2312" w:eastAsia="仿宋_GB2312" w:cs="仿宋_GB2312"/>
          <w:kern w:val="0"/>
          <w:sz w:val="32"/>
          <w:szCs w:val="32"/>
          <w:lang w:val="en-US" w:eastAsia="zh-CN"/>
        </w:rPr>
        <w:t>镇小学</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）完成</w:t>
      </w:r>
      <w:r>
        <w:rPr>
          <w:rFonts w:hint="eastAsia" w:ascii="仿宋_GB2312" w:eastAsia="仿宋_GB2312" w:cs="仿宋_GB2312"/>
          <w:kern w:val="0"/>
          <w:sz w:val="32"/>
          <w:szCs w:val="32"/>
          <w:lang w:val="en-US" w:eastAsia="zh-CN"/>
        </w:rPr>
        <w:t>上级各部门</w:t>
      </w:r>
      <w:r>
        <w:rPr>
          <w:rFonts w:hint="eastAsia" w:ascii="仿宋_GB2312" w:eastAsia="仿宋_GB2312" w:cs="仿宋_GB2312"/>
          <w:kern w:val="0"/>
          <w:sz w:val="32"/>
          <w:szCs w:val="32"/>
        </w:rPr>
        <w:t>交办的其他工作</w:t>
      </w:r>
      <w:r>
        <w:rPr>
          <w:rFonts w:hint="eastAsia" w:ascii="仿宋_GB2312" w:eastAsia="仿宋_GB2312" w:cs="仿宋_GB2312"/>
          <w:kern w:val="0"/>
          <w:sz w:val="32"/>
          <w:szCs w:val="32"/>
          <w:lang w:val="en-US" w:eastAsia="zh-CN"/>
        </w:rPr>
        <w:t>任务</w:t>
      </w:r>
      <w:r>
        <w:rPr>
          <w:rFonts w:hint="eastAsia" w:ascii="仿宋_GB2312" w:eastAsia="仿宋_GB2312" w:cs="仿宋_GB2312"/>
          <w:kern w:val="0"/>
          <w:sz w:val="32"/>
          <w:szCs w:val="32"/>
        </w:rPr>
        <w:t>。</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思恩镇镇中心小学</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个内设机构，分别为：行政办、</w:t>
      </w:r>
      <w:r>
        <w:rPr>
          <w:rFonts w:hint="eastAsia" w:ascii="仿宋_GB2312" w:eastAsia="仿宋_GB2312" w:cs="仿宋_GB2312"/>
          <w:kern w:val="0"/>
          <w:sz w:val="32"/>
          <w:szCs w:val="32"/>
          <w:lang w:val="en-US" w:eastAsia="zh-CN"/>
        </w:rPr>
        <w:t>教研</w:t>
      </w:r>
      <w:r>
        <w:rPr>
          <w:rFonts w:hint="eastAsia" w:ascii="仿宋_GB2312" w:eastAsia="仿宋_GB2312" w:cs="仿宋_GB2312"/>
          <w:kern w:val="0"/>
          <w:sz w:val="32"/>
          <w:szCs w:val="32"/>
          <w:lang w:eastAsia="zh-CN"/>
        </w:rPr>
        <w:t>办</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账务办</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bCs/>
          <w:color w:val="333333"/>
          <w:sz w:val="28"/>
          <w:szCs w:val="28"/>
        </w:rPr>
      </w:pPr>
      <w:r>
        <w:rPr>
          <w:rFonts w:hint="eastAsia" w:ascii="宋体" w:hAnsi="宋体" w:cs="宋体"/>
          <w:b/>
          <w:bCs/>
          <w:color w:val="333333"/>
          <w:sz w:val="28"/>
          <w:szCs w:val="28"/>
        </w:rPr>
        <w:t>（</w:t>
      </w:r>
      <w:r>
        <w:rPr>
          <w:rFonts w:hint="eastAsia" w:ascii="宋体" w:hAnsi="宋体" w:cs="宋体"/>
          <w:b/>
          <w:bCs/>
          <w:color w:val="333333"/>
          <w:sz w:val="28"/>
          <w:szCs w:val="28"/>
          <w:lang w:val="en-US" w:eastAsia="zh-CN"/>
        </w:rPr>
        <w:t>二</w:t>
      </w:r>
      <w:r>
        <w:rPr>
          <w:rFonts w:hint="eastAsia" w:ascii="宋体" w:hAnsi="宋体" w:cs="宋体"/>
          <w:b/>
          <w:bCs/>
          <w:color w:val="333333"/>
          <w:sz w:val="28"/>
          <w:szCs w:val="28"/>
        </w:rPr>
        <w:t>）下属机构情况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_GB2312" w:eastAsia="仿宋_GB2312" w:cs="仿宋_GB2312"/>
          <w:kern w:val="0"/>
          <w:sz w:val="32"/>
          <w:szCs w:val="32"/>
          <w:lang w:val="en-US" w:eastAsia="zh-CN"/>
        </w:rPr>
        <w:t>思恩镇中心小学</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val="en-US" w:eastAsia="zh-CN"/>
        </w:rPr>
        <w:t>完全小学8</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分别是清潭小学、文化小学、人和小学、晒谷岭小学、耐禾小学、西南小学、陈双小学、东岭小学。教学点1</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叠岭教学点、。</w:t>
      </w: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jc w:val="both"/>
        <w:rPr>
          <w:rFonts w:ascii="黑体" w:hAnsi="黑体" w:eastAsia="黑体" w:cs="黑体"/>
          <w:sz w:val="28"/>
          <w:szCs w:val="28"/>
          <w:highlight w:val="none"/>
        </w:rPr>
      </w:pPr>
      <w:r>
        <w:rPr>
          <w:rFonts w:hint="eastAsia" w:ascii="黑体" w:hAnsi="黑体" w:eastAsia="黑体" w:cs="黑体"/>
          <w:sz w:val="28"/>
          <w:szCs w:val="28"/>
          <w:highlight w:val="none"/>
        </w:rPr>
        <w:t>第二部分：</w:t>
      </w:r>
      <w:r>
        <w:rPr>
          <w:rFonts w:ascii="黑体" w:hAnsi="黑体" w:eastAsia="黑体" w:cs="黑体"/>
          <w:sz w:val="28"/>
          <w:szCs w:val="22"/>
          <w:u w:color="auto"/>
        </w:rPr>
        <w:t>环江毛南族自治县思恩镇中心小学</w:t>
      </w:r>
      <w:r>
        <w:rPr>
          <w:rFonts w:hint="eastAsia" w:ascii="黑体" w:hAnsi="黑体" w:eastAsia="黑体" w:cs="黑体"/>
          <w:sz w:val="28"/>
          <w:szCs w:val="28"/>
          <w:highlight w:val="none"/>
        </w:rPr>
        <w:t xml:space="preserve"> 202</w:t>
      </w:r>
      <w:r>
        <w:rPr>
          <w:rFonts w:hint="eastAsia" w:ascii="黑体" w:hAnsi="黑体" w:eastAsia="黑体" w:cs="黑体"/>
          <w:sz w:val="28"/>
          <w:szCs w:val="28"/>
          <w:highlight w:val="none"/>
          <w:lang w:val="en-US" w:eastAsia="zh-CN"/>
        </w:rPr>
        <w:t>3</w:t>
      </w:r>
      <w:r>
        <w:rPr>
          <w:rFonts w:hint="eastAsia" w:ascii="黑体" w:hAnsi="黑体" w:eastAsia="黑体" w:cs="黑体"/>
          <w:sz w:val="28"/>
          <w:szCs w:val="28"/>
          <w:highlight w:val="none"/>
        </w:rPr>
        <w:t>年度部门决算报表</w:t>
      </w:r>
    </w:p>
    <w:tbl>
      <w:tblPr>
        <w:tblStyle w:val="6"/>
        <w:tblW w:w="5000" w:type="pct"/>
        <w:tblInd w:w="0" w:type="dxa"/>
        <w:tblLayout w:type="autofit"/>
        <w:tblCellMar>
          <w:top w:w="0" w:type="dxa"/>
          <w:left w:w="108" w:type="dxa"/>
          <w:bottom w:w="0" w:type="dxa"/>
          <w:right w:w="108" w:type="dxa"/>
        </w:tblCellMar>
      </w:tblPr>
      <w:tblGrid>
        <w:gridCol w:w="2616"/>
        <w:gridCol w:w="1087"/>
        <w:gridCol w:w="985"/>
        <w:gridCol w:w="2466"/>
        <w:gridCol w:w="962"/>
        <w:gridCol w:w="1126"/>
      </w:tblGrid>
      <w:tr>
        <w:tblPrEx>
          <w:tblCellMar>
            <w:top w:w="0" w:type="dxa"/>
            <w:left w:w="108" w:type="dxa"/>
            <w:bottom w:w="0" w:type="dxa"/>
            <w:right w:w="108" w:type="dxa"/>
          </w:tblCellMar>
        </w:tblPrEx>
        <w:trPr>
          <w:trHeight w:val="529" w:hRule="atLeast"/>
        </w:trPr>
        <w:tc>
          <w:tcPr>
            <w:tcW w:w="5000"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firstLine="4620" w:firstLineChars="220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21"/>
                <w:szCs w:val="21"/>
                <w:highlight w:val="none"/>
                <w:lang w:bidi="ar"/>
              </w:rPr>
              <w:t>收入支出决算总表</w:t>
            </w:r>
          </w:p>
        </w:tc>
      </w:tr>
      <w:tr>
        <w:tblPrEx>
          <w:tblCellMar>
            <w:top w:w="0" w:type="dxa"/>
            <w:left w:w="108" w:type="dxa"/>
            <w:bottom w:w="0" w:type="dxa"/>
            <w:right w:w="108" w:type="dxa"/>
          </w:tblCellMar>
        </w:tblPrEx>
        <w:trPr>
          <w:trHeight w:val="159" w:hRule="atLeast"/>
        </w:trPr>
        <w:tc>
          <w:tcPr>
            <w:tcW w:w="89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4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159" w:hRule="atLeast"/>
        </w:trPr>
        <w:tc>
          <w:tcPr>
            <w:tcW w:w="2529"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3"/>
                <w:szCs w:val="13"/>
                <w:highlight w:val="none"/>
              </w:rPr>
            </w:pPr>
            <w:r>
              <w:rPr>
                <w:rFonts w:hint="eastAsia" w:ascii="宋体" w:hAnsi="宋体" w:eastAsia="宋体" w:cs="宋体"/>
                <w:color w:val="000000"/>
                <w:kern w:val="0"/>
                <w:sz w:val="13"/>
                <w:szCs w:val="13"/>
                <w:highlight w:val="none"/>
                <w:lang w:bidi="ar"/>
              </w:rPr>
              <w:t>部门：</w:t>
            </w:r>
            <w:r>
              <w:rPr>
                <w:rFonts w:hint="default" w:ascii="宋体" w:hAnsi="宋体" w:eastAsia="宋体" w:cs="宋体"/>
                <w:color w:val="000000"/>
                <w:sz w:val="13"/>
                <w:szCs w:val="18"/>
                <w:u w:color="auto"/>
              </w:rPr>
              <w:t>环江毛南族自治县思恩镇中心小学</w:t>
            </w:r>
          </w:p>
        </w:tc>
        <w:tc>
          <w:tcPr>
            <w:tcW w:w="94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3"/>
                <w:szCs w:val="13"/>
                <w:highlight w:val="none"/>
              </w:rPr>
            </w:pPr>
          </w:p>
        </w:tc>
        <w:tc>
          <w:tcPr>
            <w:tcW w:w="776"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3"/>
                <w:szCs w:val="13"/>
                <w:highlight w:val="none"/>
              </w:rPr>
            </w:pPr>
          </w:p>
        </w:tc>
        <w:tc>
          <w:tcPr>
            <w:tcW w:w="75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金额单位：万元</w:t>
            </w:r>
          </w:p>
        </w:tc>
      </w:tr>
      <w:tr>
        <w:tblPrEx>
          <w:tblCellMar>
            <w:top w:w="0" w:type="dxa"/>
            <w:left w:w="108" w:type="dxa"/>
            <w:bottom w:w="0" w:type="dxa"/>
            <w:right w:w="108" w:type="dxa"/>
          </w:tblCellMar>
        </w:tblPrEx>
        <w:trPr>
          <w:trHeight w:val="164" w:hRule="atLeast"/>
        </w:trPr>
        <w:tc>
          <w:tcPr>
            <w:tcW w:w="2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收入</w:t>
            </w:r>
          </w:p>
        </w:tc>
        <w:tc>
          <w:tcPr>
            <w:tcW w:w="24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支出</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项目</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行次</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金额</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项目</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行次</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金额</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栏次</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6"/>
                <w:szCs w:val="16"/>
                <w:highlight w:val="none"/>
              </w:rPr>
            </w:pP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1</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栏次</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6"/>
                <w:szCs w:val="16"/>
                <w:highlight w:val="none"/>
              </w:rPr>
            </w:pP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2</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0"/>
                <w:szCs w:val="13"/>
                <w:highlight w:val="none"/>
              </w:rPr>
              <w:t>一、一般公共预算财政拨款收入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1</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16"/>
                <w:szCs w:val="16"/>
                <w:highlight w:val="none"/>
                <w:lang w:bidi="ar"/>
              </w:rPr>
            </w:pPr>
            <w:r>
              <w:rPr>
                <w:rFonts w:hint="default" w:ascii="宋体" w:hAnsi="宋体" w:eastAsia="宋体" w:cs="宋体"/>
                <w:color w:val="auto"/>
                <w:kern w:val="0"/>
                <w:sz w:val="16"/>
                <w:szCs w:val="16"/>
                <w:highlight w:val="none"/>
                <w:lang w:bidi="ar"/>
              </w:rPr>
              <w:t>3825.13</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一、一般公共服务支出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32</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38.87</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8"/>
                <w:szCs w:val="11"/>
                <w:highlight w:val="none"/>
              </w:rPr>
              <w:t>二、政府性基金预算财政拨款收入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2</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16"/>
                <w:szCs w:val="16"/>
                <w:highlight w:val="none"/>
                <w:lang w:bidi="ar"/>
              </w:rPr>
            </w:pPr>
            <w:r>
              <w:rPr>
                <w:rFonts w:hint="default" w:ascii="宋体" w:hAnsi="宋体" w:eastAsia="宋体" w:cs="宋体"/>
                <w:color w:val="auto"/>
                <w:kern w:val="0"/>
                <w:sz w:val="16"/>
                <w:szCs w:val="16"/>
                <w:highlight w:val="none"/>
                <w:lang w:bidi="ar"/>
              </w:rPr>
              <w:t>3.97</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16"/>
                <w:szCs w:val="16"/>
                <w:highlight w:val="none"/>
                <w:lang w:bidi="ar"/>
              </w:rPr>
            </w:pPr>
            <w:r>
              <w:rPr>
                <w:rFonts w:hint="eastAsia" w:ascii="宋体" w:hAnsi="宋体" w:eastAsia="宋体" w:cs="宋体"/>
                <w:color w:val="auto"/>
                <w:kern w:val="0"/>
                <w:sz w:val="16"/>
                <w:szCs w:val="16"/>
                <w:highlight w:val="none"/>
                <w:lang w:bidi="ar"/>
              </w:rPr>
              <w:t>二、外交支出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33</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5"/>
                <w:szCs w:val="18"/>
                <w:highlight w:val="none"/>
              </w:rPr>
              <w:t>三、国有资本经营预算财政拨款收入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3</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三、国防支出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34</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5"/>
                <w:szCs w:val="18"/>
                <w:highlight w:val="none"/>
              </w:rPr>
              <w:t>四、上级补助收入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4</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四、公共安全支出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35</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5"/>
                <w:szCs w:val="18"/>
                <w:highlight w:val="none"/>
              </w:rPr>
              <w:t>五、事业收入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5</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五、教育支出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36</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3024.1</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5"/>
                <w:szCs w:val="18"/>
                <w:highlight w:val="none"/>
              </w:rPr>
              <w:t>六、经营收入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6</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六、科学技术支出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37</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5"/>
                <w:szCs w:val="18"/>
                <w:highlight w:val="none"/>
              </w:rPr>
              <w:t>七、附属单位上缴收入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7</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七、文化旅游体育与传媒支出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38</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r>
              <w:rPr>
                <w:rFonts w:hint="eastAsia"/>
                <w:sz w:val="15"/>
                <w:szCs w:val="18"/>
                <w:highlight w:val="none"/>
              </w:rPr>
              <w:t>八、其他收入</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8</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八、社会保障和就业支出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39</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eastAsia"/>
                <w:sz w:val="15"/>
                <w:szCs w:val="18"/>
              </w:rPr>
              <w:t>279.66</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9</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九、卫生健康支出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40</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10</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十、节能环保支出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41</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11</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十一、城乡社区支出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42</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365"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5"/>
                <w:szCs w:val="18"/>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12</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6"/>
                <w:szCs w:val="16"/>
                <w:highlight w:val="none"/>
                <w:lang w:bidi="ar"/>
              </w:rPr>
            </w:pPr>
            <w:r>
              <w:rPr>
                <w:rFonts w:hint="eastAsia" w:ascii="宋体" w:hAnsi="宋体" w:eastAsia="宋体" w:cs="宋体"/>
                <w:color w:val="000000"/>
                <w:kern w:val="0"/>
                <w:sz w:val="16"/>
                <w:szCs w:val="16"/>
                <w:highlight w:val="none"/>
                <w:lang w:bidi="ar"/>
              </w:rPr>
              <w:t>十二、农林水支出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43</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6"/>
                <w:szCs w:val="16"/>
                <w:highlight w:val="none"/>
                <w:lang w:bidi="ar"/>
              </w:rPr>
            </w:pPr>
            <w:r>
              <w:rPr>
                <w:rFonts w:hint="default" w:ascii="宋体" w:hAnsi="宋体" w:eastAsia="宋体" w:cs="宋体"/>
                <w:color w:val="000000"/>
                <w:kern w:val="0"/>
                <w:sz w:val="16"/>
                <w:szCs w:val="16"/>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13</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十三、交通运输支出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44</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14</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十四、资源勘探工业信息等支出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45</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15</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十五、商业服务业等支出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46</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16</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十六、金融支出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47</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17</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十七、援助其他地区支出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48</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18</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十八、自然资源海洋气象等支出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49</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19</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十九、住房保障支出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50</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sz w:val="13"/>
                <w:szCs w:val="16"/>
              </w:rPr>
              <w:t>208.84</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20</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二十、粮油物资储备支出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51</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21</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二十一、国有资本经营预算支出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52</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22</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二十二、灾害防治及应急管理支出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53</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23</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二十三、其他支出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54</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277.64</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24</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二十四、债务还本支出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55</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25</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二十五、债务付息支出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56</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32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26</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二十六、抗疫特别国债安排的支出</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57</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r>
              <w:rPr>
                <w:rFonts w:hint="eastAsia"/>
                <w:sz w:val="13"/>
                <w:szCs w:val="16"/>
                <w:highlight w:val="none"/>
              </w:rPr>
              <w:t>本年收入合计</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27</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本年支出合计</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58</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sz w:val="13"/>
                <w:szCs w:val="16"/>
              </w:rPr>
              <w:t>3829.11</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r>
              <w:rPr>
                <w:rFonts w:hint="eastAsia"/>
                <w:sz w:val="13"/>
                <w:szCs w:val="16"/>
                <w:highlight w:val="none"/>
              </w:rPr>
              <w:t>使用非财政拨款结余</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28</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结余分配</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59</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r>
              <w:rPr>
                <w:rFonts w:hint="eastAsia"/>
                <w:sz w:val="13"/>
                <w:szCs w:val="16"/>
                <w:highlight w:val="none"/>
              </w:rPr>
              <w:t>年初结转和结余</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29</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年末结转和结余</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60</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30</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61</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169"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6"/>
                <w:highlight w:val="none"/>
              </w:rPr>
            </w:pPr>
            <w:r>
              <w:rPr>
                <w:rFonts w:hint="eastAsia"/>
                <w:sz w:val="13"/>
                <w:szCs w:val="16"/>
                <w:highlight w:val="none"/>
              </w:rPr>
              <w:t>总计</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31</w:t>
            </w:r>
          </w:p>
        </w:tc>
        <w:tc>
          <w:tcPr>
            <w:tcW w:w="7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c>
          <w:tcPr>
            <w:tcW w:w="9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总计</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62</w:t>
            </w:r>
          </w:p>
        </w:tc>
        <w:tc>
          <w:tcPr>
            <w:tcW w:w="7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40"/>
          <w:szCs w:val="40"/>
          <w:highlight w:val="none"/>
          <w:lang w:bidi="ar"/>
        </w:rPr>
        <w:br w:type="page"/>
      </w:r>
    </w:p>
    <w:tbl>
      <w:tblPr>
        <w:tblStyle w:val="6"/>
        <w:tblW w:w="5000" w:type="pct"/>
        <w:tblInd w:w="0" w:type="dxa"/>
        <w:tblLayout w:type="autofit"/>
        <w:tblCellMar>
          <w:top w:w="0" w:type="dxa"/>
          <w:left w:w="108" w:type="dxa"/>
          <w:bottom w:w="0" w:type="dxa"/>
          <w:right w:w="108" w:type="dxa"/>
        </w:tblCellMar>
      </w:tblPr>
      <w:tblGrid>
        <w:gridCol w:w="911"/>
        <w:gridCol w:w="1013"/>
        <w:gridCol w:w="272"/>
        <w:gridCol w:w="272"/>
        <w:gridCol w:w="999"/>
        <w:gridCol w:w="851"/>
        <w:gridCol w:w="851"/>
        <w:gridCol w:w="774"/>
        <w:gridCol w:w="838"/>
        <w:gridCol w:w="845"/>
        <w:gridCol w:w="853"/>
        <w:gridCol w:w="763"/>
      </w:tblGrid>
      <w:tr>
        <w:tblPrEx>
          <w:tblCellMar>
            <w:top w:w="0" w:type="dxa"/>
            <w:left w:w="108" w:type="dxa"/>
            <w:bottom w:w="0" w:type="dxa"/>
            <w:right w:w="108" w:type="dxa"/>
          </w:tblCellMar>
        </w:tblPrEx>
        <w:trPr>
          <w:trHeight w:val="951" w:hRule="atLeast"/>
        </w:trPr>
        <w:tc>
          <w:tcPr>
            <w:tcW w:w="5000" w:type="pct"/>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103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58"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2519"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48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58"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17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本年收入合计</w:t>
            </w:r>
          </w:p>
        </w:tc>
        <w:tc>
          <w:tcPr>
            <w:tcW w:w="3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财政拨款收入</w:t>
            </w:r>
          </w:p>
        </w:tc>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上级补助收入</w:t>
            </w:r>
          </w:p>
        </w:tc>
        <w:tc>
          <w:tcPr>
            <w:tcW w:w="5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事业收入</w:t>
            </w: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经营收入</w:t>
            </w:r>
          </w:p>
        </w:tc>
        <w:tc>
          <w:tcPr>
            <w:tcW w:w="5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附属单位上缴收入</w:t>
            </w:r>
          </w:p>
        </w:tc>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其他收入</w:t>
            </w:r>
          </w:p>
        </w:tc>
      </w:tr>
      <w:tr>
        <w:tblPrEx>
          <w:tblCellMar>
            <w:top w:w="0" w:type="dxa"/>
            <w:left w:w="108" w:type="dxa"/>
            <w:bottom w:w="0" w:type="dxa"/>
            <w:right w:w="108" w:type="dxa"/>
          </w:tblCellMar>
        </w:tblPrEx>
        <w:trPr>
          <w:trHeight w:val="327" w:hRule="atLeast"/>
        </w:trPr>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功能分类科目编码</w:t>
            </w:r>
          </w:p>
        </w:tc>
        <w:tc>
          <w:tcPr>
            <w:tcW w:w="1194"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3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327" w:hRule="atLeast"/>
        </w:trPr>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194"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3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312" w:hRule="atLeast"/>
        </w:trPr>
        <w:tc>
          <w:tcPr>
            <w:tcW w:w="5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194"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3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5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327" w:hRule="atLeast"/>
        </w:trPr>
        <w:tc>
          <w:tcPr>
            <w:tcW w:w="17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栏次</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w:t>
            </w: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3</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4</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5</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7</w:t>
            </w:r>
          </w:p>
        </w:tc>
      </w:tr>
      <w:tr>
        <w:tblPrEx>
          <w:tblCellMar>
            <w:top w:w="0" w:type="dxa"/>
            <w:left w:w="108" w:type="dxa"/>
            <w:bottom w:w="0" w:type="dxa"/>
            <w:right w:w="108" w:type="dxa"/>
          </w:tblCellMar>
        </w:tblPrEx>
        <w:trPr>
          <w:trHeight w:val="456" w:hRule="atLeast"/>
        </w:trPr>
        <w:tc>
          <w:tcPr>
            <w:tcW w:w="175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合计</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3829.11</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3829.11</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2012999</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其他群众团体事务支出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38.87</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38.87</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2050201</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学前教育</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17.99</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17.99</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2050202</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小学教育</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2997.91</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2997.91</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2050299</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其他普通教育支出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6.18</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6.18</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2050999</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其他教育费附加安排的支出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2.03</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2.03</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2080505</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w:t>
            </w:r>
            <w:r>
              <w:rPr>
                <w:rFonts w:hint="default" w:ascii="宋体" w:hAnsi="宋体" w:eastAsia="宋体" w:cs="宋体"/>
                <w:color w:val="000000"/>
                <w:kern w:val="0"/>
                <w:sz w:val="11"/>
                <w:szCs w:val="11"/>
                <w:highlight w:val="none"/>
                <w:lang w:bidi="ar"/>
              </w:rPr>
              <w:t>机关事业单位基本养老保险缴费支出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279.66</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279.66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2210201</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住房公积金</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208.84</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208.84</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2296004</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w:t>
            </w:r>
            <w:r>
              <w:rPr>
                <w:rFonts w:hint="default" w:ascii="宋体" w:hAnsi="宋体" w:eastAsia="宋体" w:cs="宋体"/>
                <w:color w:val="000000"/>
                <w:kern w:val="0"/>
                <w:sz w:val="13"/>
                <w:szCs w:val="13"/>
                <w:highlight w:val="none"/>
                <w:lang w:bidi="ar"/>
              </w:rPr>
              <w:t xml:space="preserve"> 用于教育事业的彩票公益金支出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3.97</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3.97</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2299999</w:t>
            </w:r>
          </w:p>
        </w:tc>
        <w:tc>
          <w:tcPr>
            <w:tcW w:w="119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 xml:space="preserve">  其他支出</w:t>
            </w:r>
          </w:p>
        </w:tc>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273.66</w:t>
            </w:r>
          </w:p>
        </w:tc>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273.66</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5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27" w:hRule="atLeast"/>
        </w:trPr>
        <w:tc>
          <w:tcPr>
            <w:tcW w:w="5000" w:type="pct"/>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361"/>
        <w:gridCol w:w="363"/>
        <w:gridCol w:w="173"/>
        <w:gridCol w:w="1100"/>
        <w:gridCol w:w="2232"/>
        <w:gridCol w:w="857"/>
        <w:gridCol w:w="857"/>
        <w:gridCol w:w="765"/>
        <w:gridCol w:w="582"/>
        <w:gridCol w:w="582"/>
        <w:gridCol w:w="1370"/>
      </w:tblGrid>
      <w:tr>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8"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1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1"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3628" w:type="pct"/>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314"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4"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1" w:type="pct"/>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228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4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3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3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7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48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01"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485"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1"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485"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1"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228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228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3829.11</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3164.85</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664.2</w:t>
            </w:r>
            <w:r>
              <w:rPr>
                <w:rFonts w:hint="eastAsia" w:ascii="宋体" w:hAnsi="宋体" w:eastAsia="宋体" w:cs="宋体"/>
                <w:b/>
                <w:bCs/>
                <w:color w:val="000000"/>
                <w:sz w:val="22"/>
                <w:szCs w:val="22"/>
                <w:highlight w:val="none"/>
                <w:lang w:val="en-US" w:eastAsia="zh-CN"/>
              </w:rPr>
              <w:t>5</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38.87</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38.87</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17.99</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0.11</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17.88</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2997.91</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2362.68</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635.23</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6.18</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0.63</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5.55</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2.03</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279.66</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279.66</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208.84</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208.84</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3.97</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3.57</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48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180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273.66</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273.66</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2166"/>
        <w:gridCol w:w="366"/>
        <w:gridCol w:w="741"/>
        <w:gridCol w:w="2466"/>
        <w:gridCol w:w="366"/>
        <w:gridCol w:w="741"/>
        <w:gridCol w:w="741"/>
        <w:gridCol w:w="540"/>
        <w:gridCol w:w="1116"/>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4"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0"/>
                <w:szCs w:val="10"/>
                <w:highlight w:val="none"/>
              </w:rPr>
            </w:pPr>
            <w:r>
              <w:rPr>
                <w:rFonts w:hint="eastAsia" w:ascii="宋体" w:hAnsi="宋体" w:eastAsia="宋体" w:cs="宋体"/>
                <w:color w:val="000000"/>
                <w:kern w:val="0"/>
                <w:sz w:val="10"/>
                <w:szCs w:val="10"/>
                <w:highlight w:val="none"/>
                <w:lang w:bidi="ar"/>
              </w:rPr>
              <w:t>部门：</w:t>
            </w:r>
            <w:r>
              <w:rPr>
                <w:rFonts w:hint="default" w:ascii="宋体" w:hAnsi="宋体" w:eastAsia="宋体" w:cs="宋体"/>
                <w:color w:val="000000"/>
                <w:sz w:val="10"/>
                <w:szCs w:val="15"/>
                <w:u w:color="auto"/>
              </w:rPr>
              <w:t>环江毛南族自治县思恩镇中心小学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0"/>
                <w:szCs w:val="1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0"/>
                <w:szCs w:val="10"/>
                <w:highlight w:val="none"/>
              </w:rPr>
            </w:pPr>
          </w:p>
        </w:tc>
        <w:tc>
          <w:tcPr>
            <w:tcW w:w="67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0"/>
                <w:szCs w:val="10"/>
                <w:highlight w:val="none"/>
              </w:rPr>
            </w:pPr>
            <w:r>
              <w:rPr>
                <w:rFonts w:hint="eastAsia" w:ascii="宋体" w:hAnsi="宋体" w:eastAsia="宋体" w:cs="宋体"/>
                <w:color w:val="000000"/>
                <w:kern w:val="0"/>
                <w:sz w:val="10"/>
                <w:szCs w:val="10"/>
                <w:highlight w:val="none"/>
                <w:lang w:bidi="ar"/>
              </w:rPr>
              <w:t>金额单位：万元</w:t>
            </w:r>
          </w:p>
        </w:tc>
      </w:tr>
      <w:tr>
        <w:tblPrEx>
          <w:tblCellMar>
            <w:top w:w="0" w:type="dxa"/>
            <w:left w:w="108" w:type="dxa"/>
            <w:bottom w:w="0" w:type="dxa"/>
            <w:right w:w="108" w:type="dxa"/>
          </w:tblCellMar>
        </w:tblPrEx>
        <w:trPr>
          <w:trHeight w:val="268" w:hRule="atLeast"/>
        </w:trPr>
        <w:tc>
          <w:tcPr>
            <w:tcW w:w="152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收     入</w:t>
            </w:r>
          </w:p>
        </w:tc>
        <w:tc>
          <w:tcPr>
            <w:tcW w:w="347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行次</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行次</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政府性基金预算财政拨款</w:t>
            </w:r>
          </w:p>
        </w:tc>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4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38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4</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1</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3825.13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33</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38.87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38.87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2</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3.97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34</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3</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35</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4</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36</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5</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37</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3024.1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3024.1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6</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7</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39</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8</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40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279.66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279.66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9</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3"/>
                <w:szCs w:val="13"/>
                <w:highlight w:val="none"/>
              </w:rPr>
            </w:pPr>
            <w:r>
              <w:rPr>
                <w:rFonts w:hint="default" w:ascii="宋体" w:hAnsi="宋体" w:eastAsia="宋体" w:cs="宋体"/>
                <w:color w:val="000000"/>
                <w:sz w:val="13"/>
                <w:szCs w:val="13"/>
                <w:highlight w:val="none"/>
              </w:rPr>
              <w:t>41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10</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42</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11</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43</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12</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44</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13</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45</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14</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46</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15</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47</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16</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17</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49</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18</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19</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208.84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208.84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20</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52</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21</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53</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22</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54</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23</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55</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277.64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273.66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3.97</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24</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56</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25</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57</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26</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27</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59</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3825.13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3.97</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28</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60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29</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61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30</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62</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31</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63</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32</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r>
              <w:rPr>
                <w:rFonts w:hint="default" w:ascii="宋体" w:hAnsi="宋体" w:eastAsia="宋体" w:cs="宋体"/>
                <w:color w:val="000000"/>
                <w:sz w:val="15"/>
                <w:szCs w:val="15"/>
                <w:highlight w:val="none"/>
              </w:rPr>
              <w:t>64</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3829.11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3825.13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3.97</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0.00</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961"/>
        <w:gridCol w:w="262"/>
        <w:gridCol w:w="392"/>
        <w:gridCol w:w="392"/>
        <w:gridCol w:w="2230"/>
        <w:gridCol w:w="1717"/>
        <w:gridCol w:w="1672"/>
        <w:gridCol w:w="1616"/>
      </w:tblGrid>
      <w:tr>
        <w:tblPrEx>
          <w:tblCellMar>
            <w:top w:w="0" w:type="dxa"/>
            <w:left w:w="108" w:type="dxa"/>
            <w:bottom w:w="0" w:type="dxa"/>
            <w:right w:w="108" w:type="dxa"/>
          </w:tblCellMar>
        </w:tblPrEx>
        <w:trPr>
          <w:trHeight w:val="693"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793"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288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09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19"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177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w:t>
            </w:r>
          </w:p>
        </w:tc>
        <w:tc>
          <w:tcPr>
            <w:tcW w:w="32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本年支出</w:t>
            </w:r>
          </w:p>
        </w:tc>
      </w:tr>
      <w:tr>
        <w:tblPrEx>
          <w:tblCellMar>
            <w:top w:w="0" w:type="dxa"/>
            <w:left w:w="108" w:type="dxa"/>
            <w:bottom w:w="0" w:type="dxa"/>
            <w:right w:w="108" w:type="dxa"/>
          </w:tblCellMar>
        </w:tblPrEx>
        <w:trPr>
          <w:trHeight w:val="353" w:hRule="atLeast"/>
        </w:trPr>
        <w:tc>
          <w:tcPr>
            <w:tcW w:w="7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功能分类科目编码</w:t>
            </w:r>
          </w:p>
        </w:tc>
        <w:tc>
          <w:tcPr>
            <w:tcW w:w="1062"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11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小计</w:t>
            </w:r>
          </w:p>
        </w:tc>
        <w:tc>
          <w:tcPr>
            <w:tcW w:w="10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基本支出</w:t>
            </w:r>
          </w:p>
        </w:tc>
        <w:tc>
          <w:tcPr>
            <w:tcW w:w="10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项目支出</w:t>
            </w:r>
          </w:p>
        </w:tc>
      </w:tr>
      <w:tr>
        <w:tblPrEx>
          <w:tblCellMar>
            <w:top w:w="0" w:type="dxa"/>
            <w:left w:w="108" w:type="dxa"/>
            <w:bottom w:w="0" w:type="dxa"/>
            <w:right w:w="108" w:type="dxa"/>
          </w:tblCellMar>
        </w:tblPrEx>
        <w:trPr>
          <w:trHeight w:val="319" w:hRule="atLeast"/>
        </w:trPr>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62"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1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353" w:hRule="atLeast"/>
        </w:trPr>
        <w:tc>
          <w:tcPr>
            <w:tcW w:w="7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62"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11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9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c>
          <w:tcPr>
            <w:tcW w:w="10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highlight w:val="none"/>
              </w:rPr>
            </w:pPr>
          </w:p>
        </w:tc>
      </w:tr>
      <w:tr>
        <w:tblPrEx>
          <w:tblCellMar>
            <w:top w:w="0" w:type="dxa"/>
            <w:left w:w="108" w:type="dxa"/>
            <w:bottom w:w="0" w:type="dxa"/>
            <w:right w:w="108" w:type="dxa"/>
          </w:tblCellMar>
        </w:tblPrEx>
        <w:trPr>
          <w:trHeight w:val="358" w:hRule="atLeast"/>
        </w:trPr>
        <w:tc>
          <w:tcPr>
            <w:tcW w:w="177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栏次</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3</w:t>
            </w:r>
          </w:p>
        </w:tc>
      </w:tr>
      <w:tr>
        <w:tblPrEx>
          <w:tblCellMar>
            <w:top w:w="0" w:type="dxa"/>
            <w:left w:w="108" w:type="dxa"/>
            <w:bottom w:w="0" w:type="dxa"/>
            <w:right w:w="108" w:type="dxa"/>
          </w:tblCellMar>
        </w:tblPrEx>
        <w:trPr>
          <w:trHeight w:val="358" w:hRule="atLeast"/>
        </w:trPr>
        <w:tc>
          <w:tcPr>
            <w:tcW w:w="177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18"/>
                <w:szCs w:val="18"/>
                <w:highlight w:val="none"/>
              </w:rPr>
            </w:pPr>
            <w:r>
              <w:rPr>
                <w:rFonts w:hint="default" w:ascii="宋体" w:hAnsi="宋体" w:eastAsia="宋体" w:cs="宋体"/>
                <w:b/>
                <w:bCs/>
                <w:color w:val="000000"/>
                <w:sz w:val="18"/>
                <w:szCs w:val="18"/>
                <w:highlight w:val="none"/>
              </w:rPr>
              <w:t>3825.13</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3164.45</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660.68</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2012999</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其他群众团体事务支出</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38.87</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38.87</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2050201</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学前教育</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17.99</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0.11</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17.88</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2050202</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小学教育</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2997.91</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2362.68</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635.23</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2050299</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其他普通教育支出</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6.18</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0.63</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5.55</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2050999</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其他教育费附加安排的支出</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2.03</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0.00</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2.03</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2080505</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机关事业单位基本养老保险缴费支出</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279.66</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279.66</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2210201</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住房公积金</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208.84</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208.84</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0.00</w:t>
            </w:r>
          </w:p>
        </w:tc>
      </w:tr>
      <w:tr>
        <w:tblPrEx>
          <w:tblCellMar>
            <w:top w:w="0" w:type="dxa"/>
            <w:left w:w="108" w:type="dxa"/>
            <w:bottom w:w="0" w:type="dxa"/>
            <w:right w:w="108" w:type="dxa"/>
          </w:tblCellMar>
        </w:tblPrEx>
        <w:trPr>
          <w:trHeight w:val="358" w:hRule="atLeast"/>
        </w:trPr>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eastAsia" w:ascii="宋体" w:hAnsi="宋体" w:eastAsia="宋体" w:cs="宋体"/>
                <w:color w:val="000000"/>
                <w:sz w:val="18"/>
                <w:szCs w:val="18"/>
                <w:highlight w:val="none"/>
              </w:rPr>
              <w:t>2299999</w:t>
            </w:r>
          </w:p>
        </w:tc>
        <w:tc>
          <w:tcPr>
            <w:tcW w:w="106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sz w:val="18"/>
                <w:szCs w:val="18"/>
                <w:highlight w:val="none"/>
              </w:rPr>
              <w:t xml:space="preserve">  其他支出</w:t>
            </w:r>
          </w:p>
        </w:tc>
        <w:tc>
          <w:tcPr>
            <w:tcW w:w="11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273.66</w:t>
            </w:r>
          </w:p>
        </w:tc>
        <w:tc>
          <w:tcPr>
            <w:tcW w:w="10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273.66</w:t>
            </w:r>
          </w:p>
        </w:tc>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val="en-US" w:eastAsia="zh-CN" w:bidi="ar"/>
              </w:rPr>
              <w:t>0</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894"/>
        <w:gridCol w:w="1593"/>
        <w:gridCol w:w="611"/>
        <w:gridCol w:w="587"/>
        <w:gridCol w:w="1346"/>
        <w:gridCol w:w="498"/>
        <w:gridCol w:w="498"/>
        <w:gridCol w:w="2363"/>
        <w:gridCol w:w="852"/>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9"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2931"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41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6"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163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人员经费</w:t>
            </w:r>
          </w:p>
        </w:tc>
        <w:tc>
          <w:tcPr>
            <w:tcW w:w="336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公用经费</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eastAsia" w:ascii="宋体" w:hAnsi="宋体" w:eastAsia="宋体" w:cs="宋体"/>
                <w:color w:val="000000"/>
                <w:kern w:val="0"/>
                <w:sz w:val="15"/>
                <w:szCs w:val="15"/>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p>
        </w:tc>
        <w:tc>
          <w:tcPr>
            <w:tcW w:w="8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科目名称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决算数</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科目编码</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科目名称</w:t>
            </w:r>
          </w:p>
        </w:tc>
        <w:tc>
          <w:tcPr>
            <w:tcW w:w="4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决算数</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科目编码</w:t>
            </w:r>
          </w:p>
        </w:tc>
        <w:tc>
          <w:tcPr>
            <w:tcW w:w="7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科目名称</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决算数</w:t>
            </w:r>
          </w:p>
        </w:tc>
      </w:tr>
      <w:tr>
        <w:tblPrEx>
          <w:tblCellMar>
            <w:top w:w="0" w:type="dxa"/>
            <w:left w:w="108" w:type="dxa"/>
            <w:bottom w:w="0" w:type="dxa"/>
            <w:right w:w="108" w:type="dxa"/>
          </w:tblCellMar>
        </w:tblPrEx>
        <w:trPr>
          <w:trHeight w:val="1237" w:hRule="atLeast"/>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8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3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4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7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5"/>
                <w:szCs w:val="15"/>
                <w:highlight w:val="none"/>
              </w:rPr>
            </w:pP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301</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工资福利支出</w:t>
            </w:r>
            <w:bookmarkStart w:id="0" w:name="OLE_LINK4"/>
            <w:bookmarkStart w:id="1" w:name="OLE_LINK3"/>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2917.85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商品和服务支出</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38.87</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307</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债务利息及费用支出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30101</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基本工资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898.59</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30201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办公费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15"/>
                <w:szCs w:val="15"/>
                <w:highlight w:val="none"/>
                <w:lang w:eastAsia="zh-CN"/>
              </w:rPr>
            </w:pPr>
            <w:r>
              <w:rPr>
                <w:rFonts w:hint="default" w:ascii="宋体" w:hAnsi="宋体" w:eastAsia="宋体" w:cs="宋体"/>
                <w:color w:val="000000"/>
                <w:kern w:val="0"/>
                <w:sz w:val="15"/>
                <w:szCs w:val="15"/>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30701</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国内债务付息</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30102</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津贴补贴</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209.78</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30202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印刷费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30702</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国外债务付息</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30103</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奖金</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786.15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30203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咨询费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310</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资本性支出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8.06</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30106</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伙食补助费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30204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手续费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31001</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房屋建筑物购建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30107</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绩效工资</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407.61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30205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水费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default" w:ascii="宋体" w:hAnsi="宋体" w:eastAsia="宋体" w:cs="宋体"/>
                <w:color w:val="000000"/>
                <w:kern w:val="0"/>
                <w:sz w:val="15"/>
                <w:szCs w:val="15"/>
                <w:highlight w:val="none"/>
                <w:lang w:bidi="ar"/>
              </w:rPr>
              <w:t>31002</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办公设备购置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5"/>
                <w:szCs w:val="15"/>
                <w:highlight w:val="none"/>
              </w:rPr>
            </w:pPr>
            <w:r>
              <w:rPr>
                <w:rFonts w:hint="eastAsia" w:ascii="宋体" w:hAnsi="宋体" w:eastAsia="宋体" w:cs="宋体"/>
                <w:color w:val="000000"/>
                <w:sz w:val="15"/>
                <w:szCs w:val="15"/>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30108</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机关事业单位基本养老保险缴费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279.66</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30206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电费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31003</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专用设备购置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30109</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职业年金缴费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30207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邮电费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31005</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基础设施建设</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30110</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职工基本医疗保险缴费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113.21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取暖费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31006</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大型修缮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30111</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公务员医疗补助缴费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30209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物业管理费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31007</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信息网络及软件购置更新</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30112</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其他社会保障缴费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14.02</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差旅费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31008</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物资储备</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30113</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住房公积金</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208.84</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因公出国（境）费用</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31009</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土地补偿</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30114</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医疗费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维修（护）费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31010</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安置补助</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30199</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其他工资福利支出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租赁费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31011</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地上附着物和青苗补偿</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303</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对个人和家庭的补助</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207.73</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会议费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31012</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拆迁补偿</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30301</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离休费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培训费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31013</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公务用车购置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30302</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退休费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公务接待费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31019</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其他交通工具购置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30303</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退职（役）费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专用材料费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31021</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文物和陈列品购置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30304</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抚恤金</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18.67</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30224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被装购置费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default" w:ascii="宋体" w:hAnsi="宋体" w:eastAsia="宋体" w:cs="宋体"/>
                <w:color w:val="000000"/>
                <w:kern w:val="0"/>
                <w:sz w:val="13"/>
                <w:szCs w:val="13"/>
                <w:highlight w:val="none"/>
                <w:lang w:bidi="ar"/>
              </w:rPr>
              <w:t>31022</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无形资产购置</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3"/>
                <w:szCs w:val="13"/>
                <w:highlight w:val="none"/>
              </w:rPr>
            </w:pPr>
            <w:r>
              <w:rPr>
                <w:rFonts w:hint="eastAsia" w:ascii="宋体" w:hAnsi="宋体" w:eastAsia="宋体" w:cs="宋体"/>
                <w:color w:val="000000"/>
                <w:sz w:val="13"/>
                <w:szCs w:val="13"/>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30305</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生活补助</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189.01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30225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专用燃料费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31099</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其他资本性支出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30306</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救济费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default" w:ascii="宋体" w:hAnsi="宋体" w:eastAsia="宋体" w:cs="宋体"/>
                <w:color w:val="000000"/>
                <w:kern w:val="0"/>
                <w:sz w:val="21"/>
                <w:szCs w:val="21"/>
                <w:highlight w:val="none"/>
                <w:lang w:bidi="ar"/>
              </w:rPr>
              <w:t>30226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劳务费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399</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其他支出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30307</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医疗费补助</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30227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委托业务费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39907</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国家赔偿费用支出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30308</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助学金</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工会经费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38.87</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39908</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对民间非营利组织和群众性自治组织补贴</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30309</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奖励金</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30229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福利费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39909</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经常性赠与</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30310</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个人农业生产补贴</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30231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公务用车运行维护费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39910</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资本性赠与</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30311</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代缴社会保险费</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30239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其他交通费用</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39999</w:t>
            </w: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其他支出</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30399</w:t>
            </w: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其他对个人和家庭的补助</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0.05</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30240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税金及附加费用</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p>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30299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 xml:space="preserve">  其他商品和服务支出</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p>
        </w:tc>
        <w:tc>
          <w:tcPr>
            <w:tcW w:w="76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6"/>
                <w:szCs w:val="16"/>
                <w:highlight w:val="none"/>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eastAsia" w:ascii="宋体" w:hAnsi="宋体" w:eastAsia="宋体" w:cs="宋体"/>
                <w:color w:val="000000"/>
                <w:sz w:val="16"/>
                <w:szCs w:val="16"/>
                <w:highlight w:val="none"/>
              </w:rPr>
              <w:t>0.00</w:t>
            </w:r>
          </w:p>
        </w:tc>
      </w:tr>
      <w:tr>
        <w:tblPrEx>
          <w:tblCellMar>
            <w:top w:w="0" w:type="dxa"/>
            <w:left w:w="108" w:type="dxa"/>
            <w:bottom w:w="0" w:type="dxa"/>
            <w:right w:w="108" w:type="dxa"/>
          </w:tblCellMar>
        </w:tblPrEx>
        <w:trPr>
          <w:trHeight w:val="624" w:hRule="atLeast"/>
        </w:trPr>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人员经费合计</w:t>
            </w:r>
          </w:p>
          <w:bookmarkEnd w:id="0"/>
          <w:bookmarkEnd w:id="1"/>
        </w:tc>
        <w:tc>
          <w:tcPr>
            <w:tcW w:w="8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6"/>
                <w:szCs w:val="16"/>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3125.58</w:t>
            </w:r>
          </w:p>
        </w:tc>
        <w:tc>
          <w:tcPr>
            <w:tcW w:w="2893"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公用经费合计</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16"/>
                <w:szCs w:val="16"/>
                <w:highlight w:val="none"/>
              </w:rPr>
            </w:pPr>
            <w:r>
              <w:rPr>
                <w:rFonts w:hint="default" w:ascii="宋体" w:hAnsi="宋体" w:eastAsia="宋体" w:cs="宋体"/>
                <w:color w:val="000000"/>
                <w:kern w:val="0"/>
                <w:sz w:val="16"/>
                <w:szCs w:val="16"/>
                <w:highlight w:val="none"/>
                <w:lang w:bidi="ar"/>
              </w:rPr>
              <w:t>38.87</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5006" w:type="pct"/>
        <w:tblInd w:w="0" w:type="dxa"/>
        <w:tblLayout w:type="autofit"/>
        <w:tblCellMar>
          <w:top w:w="0" w:type="dxa"/>
          <w:left w:w="108" w:type="dxa"/>
          <w:bottom w:w="0" w:type="dxa"/>
          <w:right w:w="108" w:type="dxa"/>
        </w:tblCellMar>
      </w:tblPr>
      <w:tblGrid>
        <w:gridCol w:w="772"/>
        <w:gridCol w:w="222"/>
        <w:gridCol w:w="336"/>
        <w:gridCol w:w="3180"/>
        <w:gridCol w:w="660"/>
        <w:gridCol w:w="660"/>
        <w:gridCol w:w="660"/>
        <w:gridCol w:w="707"/>
        <w:gridCol w:w="718"/>
        <w:gridCol w:w="10"/>
        <w:gridCol w:w="1616"/>
        <w:gridCol w:w="3"/>
      </w:tblGrid>
      <w:tr>
        <w:tblPrEx>
          <w:tblCellMar>
            <w:top w:w="0" w:type="dxa"/>
            <w:left w:w="108" w:type="dxa"/>
            <w:bottom w:w="0" w:type="dxa"/>
            <w:right w:w="108" w:type="dxa"/>
          </w:tblCellMar>
        </w:tblPrEx>
        <w:trPr>
          <w:gridAfter w:val="1"/>
          <w:wAfter w:w="7" w:type="pct"/>
          <w:trHeight w:val="536" w:hRule="atLeast"/>
        </w:trPr>
        <w:tc>
          <w:tcPr>
            <w:tcW w:w="4992"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4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5" w:type="pct"/>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7" w:type="pct"/>
          <w:trHeight w:val="268" w:hRule="atLeast"/>
        </w:trPr>
        <w:tc>
          <w:tcPr>
            <w:tcW w:w="3122"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59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8"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69"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7" w:type="pct"/>
          <w:trHeight w:val="277" w:hRule="atLeast"/>
        </w:trPr>
        <w:tc>
          <w:tcPr>
            <w:tcW w:w="191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4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15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7" w:type="pct"/>
          <w:trHeight w:val="312" w:hRule="atLeast"/>
        </w:trPr>
        <w:tc>
          <w:tcPr>
            <w:tcW w:w="58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32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5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608"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7" w:type="pct"/>
          <w:trHeight w:val="312" w:hRule="atLeast"/>
        </w:trPr>
        <w:tc>
          <w:tcPr>
            <w:tcW w:w="58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7" w:type="pct"/>
          <w:trHeight w:val="312" w:hRule="atLeast"/>
        </w:trPr>
        <w:tc>
          <w:tcPr>
            <w:tcW w:w="58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8"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7" w:type="pct"/>
          <w:trHeight w:val="277" w:hRule="atLeast"/>
        </w:trPr>
        <w:tc>
          <w:tcPr>
            <w:tcW w:w="191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0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7" w:type="pct"/>
          <w:trHeight w:val="277" w:hRule="atLeast"/>
        </w:trPr>
        <w:tc>
          <w:tcPr>
            <w:tcW w:w="191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3.97</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3.97</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0.4</w:t>
            </w:r>
            <w:r>
              <w:rPr>
                <w:rFonts w:hint="eastAsia" w:ascii="宋体" w:hAnsi="宋体" w:eastAsia="宋体" w:cs="宋体"/>
                <w:b/>
                <w:bCs/>
                <w:color w:val="000000"/>
                <w:sz w:val="22"/>
                <w:szCs w:val="22"/>
                <w:highlight w:val="none"/>
                <w:lang w:val="en-US" w:eastAsia="zh-CN"/>
              </w:rPr>
              <w:t>0</w:t>
            </w:r>
          </w:p>
        </w:tc>
        <w:tc>
          <w:tcPr>
            <w:tcW w:w="60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3.57</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7" w:type="pct"/>
          <w:trHeight w:val="277" w:hRule="atLeast"/>
        </w:trPr>
        <w:tc>
          <w:tcPr>
            <w:tcW w:w="58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32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3.97</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3.97</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0.4</w:t>
            </w:r>
            <w:r>
              <w:rPr>
                <w:rFonts w:hint="eastAsia" w:ascii="宋体" w:hAnsi="宋体" w:eastAsia="宋体" w:cs="宋体"/>
                <w:b/>
                <w:bCs/>
                <w:color w:val="000000"/>
                <w:sz w:val="22"/>
                <w:szCs w:val="22"/>
                <w:highlight w:val="none"/>
                <w:lang w:val="en-US" w:eastAsia="zh-CN"/>
              </w:rPr>
              <w:t>0</w:t>
            </w:r>
          </w:p>
        </w:tc>
        <w:tc>
          <w:tcPr>
            <w:tcW w:w="60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3.57</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5000" w:type="pct"/>
        <w:tblInd w:w="0" w:type="dxa"/>
        <w:tblLayout w:type="autofit"/>
        <w:tblCellMar>
          <w:top w:w="0" w:type="dxa"/>
          <w:left w:w="108" w:type="dxa"/>
          <w:bottom w:w="0" w:type="dxa"/>
          <w:right w:w="108" w:type="dxa"/>
        </w:tblCellMar>
      </w:tblPr>
      <w:tblGrid>
        <w:gridCol w:w="1079"/>
        <w:gridCol w:w="325"/>
        <w:gridCol w:w="235"/>
        <w:gridCol w:w="238"/>
        <w:gridCol w:w="1296"/>
        <w:gridCol w:w="1974"/>
        <w:gridCol w:w="2067"/>
        <w:gridCol w:w="2028"/>
      </w:tblGrid>
      <w:tr>
        <w:tblPrEx>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76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9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2785"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111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171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282"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584"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132" w:type="pct"/>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6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09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58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2"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584"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2"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8"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5"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717"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1717"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58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32"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6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9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本单位</w:t>
      </w:r>
      <w:r>
        <w:rPr>
          <w:rFonts w:hint="eastAsia" w:ascii="Times New Roman" w:hAnsi="Times New Roman" w:eastAsia="宋体" w:cs="Times New Roman"/>
          <w:color w:val="auto"/>
          <w:kern w:val="2"/>
          <w:sz w:val="22"/>
          <w:szCs w:val="22"/>
          <w:lang w:val="en-US" w:eastAsia="zh-CN" w:bidi="ar"/>
        </w:rPr>
        <w:t>2023</w:t>
      </w:r>
      <w:r>
        <w:rPr>
          <w:rFonts w:hint="eastAsia" w:ascii="宋体" w:hAnsi="宋体" w:eastAsia="宋体" w:cs="宋体"/>
          <w:color w:val="auto"/>
          <w:kern w:val="2"/>
          <w:sz w:val="22"/>
          <w:szCs w:val="22"/>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4999" w:type="pct"/>
        <w:tblInd w:w="0" w:type="dxa"/>
        <w:tblLayout w:type="autofit"/>
        <w:tblCellMar>
          <w:top w:w="0" w:type="dxa"/>
          <w:left w:w="108" w:type="dxa"/>
          <w:bottom w:w="0" w:type="dxa"/>
          <w:right w:w="108" w:type="dxa"/>
        </w:tblCellMar>
      </w:tblPr>
      <w:tblGrid>
        <w:gridCol w:w="49"/>
        <w:gridCol w:w="867"/>
        <w:gridCol w:w="890"/>
        <w:gridCol w:w="673"/>
        <w:gridCol w:w="715"/>
        <w:gridCol w:w="702"/>
        <w:gridCol w:w="656"/>
        <w:gridCol w:w="656"/>
        <w:gridCol w:w="876"/>
        <w:gridCol w:w="656"/>
        <w:gridCol w:w="682"/>
        <w:gridCol w:w="702"/>
        <w:gridCol w:w="1116"/>
      </w:tblGrid>
      <w:tr>
        <w:tblPrEx>
          <w:tblCellMar>
            <w:top w:w="0" w:type="dxa"/>
            <w:left w:w="108" w:type="dxa"/>
            <w:bottom w:w="0" w:type="dxa"/>
            <w:right w:w="108" w:type="dxa"/>
          </w:tblCellMar>
        </w:tblPrEx>
        <w:trPr>
          <w:gridBefore w:val="1"/>
          <w:wBefore w:w="34" w:type="pct"/>
          <w:trHeight w:val="308" w:hRule="atLeast"/>
        </w:trPr>
        <w:tc>
          <w:tcPr>
            <w:tcW w:w="4965" w:type="pct"/>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632" w:hRule="atLeast"/>
        </w:trPr>
        <w:tc>
          <w:tcPr>
            <w:tcW w:w="4994" w:type="pct"/>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54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2630" w:type="pct"/>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环江毛南族自治县思恩镇中心小学</w:t>
            </w: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7"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26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2363"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326" w:hRule="atLeast"/>
        </w:trPr>
        <w:tc>
          <w:tcPr>
            <w:tcW w:w="54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0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206"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1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187"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8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642" w:hRule="atLeast"/>
        </w:trPr>
        <w:tc>
          <w:tcPr>
            <w:tcW w:w="54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07"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7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8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54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50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3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41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37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38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642" w:hRule="atLeast"/>
        </w:trPr>
        <w:tc>
          <w:tcPr>
            <w:tcW w:w="54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3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1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7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384"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42" w:hRule="atLeast"/>
        </w:trPr>
        <w:tc>
          <w:tcPr>
            <w:tcW w:w="4994" w:type="pct"/>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suppressLineNumbers w:val="0"/>
              <w:spacing w:before="0" w:beforeAutospacing="0" w:after="0" w:afterAutospacing="0"/>
              <w:ind w:left="0" w:right="0" w:firstLine="420" w:firstLineChars="200"/>
              <w:rPr>
                <w:rFonts w:hint="default"/>
              </w:rPr>
            </w:pPr>
            <w:r>
              <w:rPr>
                <w:rFonts w:hint="eastAsia" w:ascii="宋体" w:hAnsi="宋体" w:eastAsia="宋体" w:cs="宋体"/>
                <w:color w:val="auto"/>
                <w:kern w:val="2"/>
                <w:sz w:val="21"/>
                <w:szCs w:val="21"/>
                <w:lang w:val="en-US" w:eastAsia="zh-CN" w:bidi="ar"/>
              </w:rPr>
              <w:t>本单位</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1906" w:h="16838"/>
          <w:pgMar w:top="1803" w:right="1440" w:bottom="1803"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环江毛南族自治县思恩镇中心小学</w:t>
      </w:r>
      <w:r>
        <w:rPr>
          <w:rFonts w:hint="eastAsia" w:ascii="黑体" w:hAnsi="黑体" w:eastAsia="黑体" w:cs="黑体"/>
          <w:sz w:val="32"/>
          <w:szCs w:val="32"/>
          <w:highlight w:val="none"/>
        </w:rPr>
        <w:t>20</w:t>
      </w:r>
      <w:r>
        <w:rPr>
          <w:rFonts w:hint="eastAsia" w:ascii="黑体" w:hAnsi="黑体" w:eastAsia="黑体" w:cs="黑体"/>
          <w:sz w:val="32"/>
          <w:szCs w:val="32"/>
          <w:highlight w:val="none"/>
          <w:lang w:val="en-US" w:eastAsia="zh-CN"/>
        </w:rPr>
        <w:t>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rPr>
        <w:t>3829.11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3549.18</w:t>
      </w:r>
      <w:r>
        <w:rPr>
          <w:rFonts w:hint="eastAsia" w:ascii="仿宋" w:hAnsi="仿宋" w:eastAsia="仿宋" w:cs="仿宋"/>
          <w:sz w:val="32"/>
          <w:u w:color="auto"/>
          <w:lang w:val="en-US" w:eastAsia="zh-CN"/>
        </w:rPr>
        <w:t>增加</w:t>
      </w:r>
      <w:r>
        <w:rPr>
          <w:rFonts w:hint="eastAsia" w:ascii="仿宋" w:hAnsi="仿宋" w:eastAsia="仿宋" w:cs="仿宋"/>
          <w:sz w:val="32"/>
          <w:u w:color="auto"/>
        </w:rPr>
        <w:t>279.93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增长7.89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3829.1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3825.13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hint="default" w:ascii="宋体" w:hAnsi="宋体" w:eastAsia="宋体" w:cs="宋体"/>
          <w:color w:val="000000"/>
          <w:kern w:val="0"/>
          <w:sz w:val="28"/>
          <w:szCs w:val="28"/>
          <w:highlight w:val="none"/>
          <w:lang w:bidi="ar"/>
        </w:rPr>
        <w:t>3547.97</w:t>
      </w:r>
      <w:r>
        <w:rPr>
          <w:rFonts w:hint="eastAsia" w:ascii="宋体" w:hAnsi="宋体" w:eastAsia="宋体" w:cs="宋体"/>
          <w:color w:val="000000"/>
          <w:kern w:val="0"/>
          <w:sz w:val="32"/>
          <w:szCs w:val="32"/>
          <w:highlight w:val="none"/>
          <w:lang w:val="en-US" w:eastAsia="zh-CN" w:bidi="ar"/>
        </w:rPr>
        <w:t>万增加277.23万元</w:t>
      </w:r>
      <w:r>
        <w:rPr>
          <w:rFonts w:hint="eastAsia" w:ascii="仿宋" w:hAnsi="仿宋" w:eastAsia="仿宋" w:cs="仿宋"/>
          <w:kern w:val="2"/>
          <w:sz w:val="32"/>
          <w:szCs w:val="32"/>
          <w:highlight w:val="none"/>
          <w:lang w:val="en-US" w:eastAsia="zh-CN" w:bidi="ar"/>
        </w:rPr>
        <w:t>，</w:t>
      </w:r>
      <w:r>
        <w:rPr>
          <w:rFonts w:ascii="仿宋" w:hAnsi="仿宋" w:eastAsia="仿宋" w:cs="仿宋"/>
          <w:sz w:val="32"/>
          <w:u w:color="auto"/>
        </w:rPr>
        <w:t>增长</w:t>
      </w:r>
      <w:r>
        <w:rPr>
          <w:rFonts w:hint="eastAsia" w:ascii="仿宋" w:hAnsi="仿宋" w:eastAsia="仿宋" w:cs="仿宋"/>
          <w:sz w:val="32"/>
          <w:u w:color="auto"/>
          <w:lang w:val="en-US" w:eastAsia="zh-CN"/>
        </w:rPr>
        <w:t>7.81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教师工资福利提高</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rPr>
        <w:t>3.97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hint="default" w:ascii="宋体" w:hAnsi="宋体" w:eastAsia="宋体" w:cs="宋体"/>
          <w:color w:val="000000"/>
          <w:kern w:val="0"/>
          <w:sz w:val="28"/>
          <w:szCs w:val="28"/>
          <w:highlight w:val="none"/>
          <w:lang w:bidi="ar"/>
        </w:rPr>
        <w:t>1.21</w:t>
      </w:r>
      <w:r>
        <w:rPr>
          <w:rFonts w:ascii="仿宋" w:hAnsi="仿宋" w:eastAsia="仿宋" w:cs="仿宋"/>
          <w:sz w:val="32"/>
          <w:u w:color="auto"/>
        </w:rPr>
        <w:t>增加</w:t>
      </w:r>
      <w:r>
        <w:rPr>
          <w:rFonts w:hint="eastAsia" w:ascii="仿宋" w:hAnsi="仿宋" w:eastAsia="仿宋" w:cs="仿宋"/>
          <w:sz w:val="32"/>
          <w:u w:color="auto"/>
          <w:lang w:val="en-US" w:eastAsia="zh-CN"/>
        </w:rPr>
        <w:t>2.76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28.1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主要原因是：主要原因是：本单位是财政全额拨款单位，没有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主要原因是：主要原因是：本单位是财政全额拨款单位，没有</w:t>
      </w:r>
      <w:r>
        <w:rPr>
          <w:rFonts w:hint="eastAsia" w:ascii="仿宋" w:hAnsi="仿宋" w:eastAsia="仿宋" w:cs="仿宋"/>
          <w:color w:val="auto"/>
          <w:kern w:val="2"/>
          <w:sz w:val="32"/>
          <w:szCs w:val="32"/>
          <w:highlight w:val="none"/>
          <w:lang w:val="en-US" w:eastAsia="zh-CN" w:bidi="ar"/>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主要原因是：主要原因是：本单位是财政全额拨款单位，</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本单位从事义务教学工作，没有经营性收入。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rPr>
        <w:t>3829.11</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3829.11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3549.18</w:t>
      </w:r>
      <w:r>
        <w:rPr>
          <w:rFonts w:hint="eastAsia" w:ascii="仿宋" w:hAnsi="仿宋" w:eastAsia="仿宋" w:cs="仿宋"/>
          <w:sz w:val="32"/>
          <w:u w:color="auto"/>
          <w:lang w:val="en-US" w:eastAsia="zh-CN"/>
        </w:rPr>
        <w:t>增加</w:t>
      </w:r>
      <w:r>
        <w:rPr>
          <w:rFonts w:hint="eastAsia" w:ascii="仿宋" w:hAnsi="仿宋" w:eastAsia="仿宋" w:cs="仿宋"/>
          <w:sz w:val="32"/>
          <w:u w:color="auto"/>
        </w:rPr>
        <w:t>279.93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7.89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38.87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2023年工会经费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36.18</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2.69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7.44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3024.1</w:t>
      </w:r>
      <w:r>
        <w:rPr>
          <w:rFonts w:hint="eastAsia" w:ascii="仿宋" w:hAnsi="仿宋" w:eastAsia="仿宋" w:cs="仿宋"/>
          <w:sz w:val="32"/>
          <w:szCs w:val="32"/>
          <w:highlight w:val="none"/>
        </w:rPr>
        <w:t>万元：</w:t>
      </w:r>
      <w:r>
        <w:rPr>
          <w:rFonts w:hint="eastAsia" w:ascii="仿宋_GB2312" w:hAnsi="仿宋_GB2312" w:eastAsia="仿宋_GB2312" w:cs="仿宋_GB2312"/>
          <w:bCs/>
          <w:kern w:val="0"/>
          <w:sz w:val="32"/>
          <w:szCs w:val="32"/>
          <w:highlight w:val="none"/>
        </w:rPr>
        <w:t>主要用于本部门为保证日常运转发生的基本支出，如根据国家及自治区规定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2680.69</w:t>
      </w:r>
      <w:r>
        <w:rPr>
          <w:rFonts w:hint="eastAsia" w:ascii="仿宋" w:hAnsi="仿宋" w:eastAsia="仿宋" w:cs="仿宋"/>
          <w:sz w:val="32"/>
          <w:szCs w:val="32"/>
          <w:highlight w:val="none"/>
          <w:lang w:val="en-US" w:eastAsia="zh-CN" w:bidi="ar"/>
        </w:rPr>
        <w:t>增加343.41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增长12.81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主要原因是：提高</w:t>
      </w:r>
      <w:r>
        <w:rPr>
          <w:rFonts w:hint="eastAsia" w:ascii="仿宋" w:hAnsi="仿宋" w:eastAsia="仿宋" w:cs="仿宋"/>
          <w:color w:val="auto"/>
          <w:kern w:val="2"/>
          <w:sz w:val="32"/>
          <w:szCs w:val="32"/>
          <w:highlight w:val="none"/>
          <w:lang w:val="en-US" w:eastAsia="zh-CN" w:bidi="ar"/>
        </w:rPr>
        <w:t>在职在编教职工工资待遇。</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279.66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kern w:val="2"/>
          <w:sz w:val="32"/>
          <w:szCs w:val="32"/>
          <w:highlight w:val="none"/>
          <w:lang w:val="en-US" w:eastAsia="zh-CN" w:bidi="ar"/>
        </w:rPr>
        <w:t>在职在编教职工社会保险缴费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261.02</w:t>
      </w:r>
      <w:r>
        <w:rPr>
          <w:rFonts w:hint="eastAsia" w:ascii="仿宋" w:hAnsi="仿宋" w:eastAsia="仿宋" w:cs="仿宋"/>
          <w:sz w:val="32"/>
          <w:szCs w:val="32"/>
          <w:highlight w:val="none"/>
          <w:lang w:val="en-US" w:eastAsia="zh-CN" w:bidi="ar"/>
        </w:rPr>
        <w:t>增加18.64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增长7.14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在职在编教职工年度基数调整增加。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208.84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本部门</w:t>
      </w:r>
      <w:r>
        <w:rPr>
          <w:rFonts w:hint="eastAsia" w:ascii="仿宋" w:hAnsi="仿宋" w:eastAsia="仿宋" w:cs="仿宋"/>
          <w:color w:val="auto"/>
          <w:kern w:val="2"/>
          <w:sz w:val="32"/>
          <w:szCs w:val="32"/>
          <w:highlight w:val="none"/>
          <w:lang w:val="en-US" w:eastAsia="zh-CN" w:bidi="ar"/>
        </w:rPr>
        <w:t>在职在编教职工</w:t>
      </w:r>
      <w:r>
        <w:rPr>
          <w:rFonts w:hint="eastAsia" w:ascii="仿宋_GB2312" w:hAnsi="仿宋_GB2312" w:eastAsia="仿宋_GB2312" w:cs="仿宋_GB2312"/>
          <w:bCs/>
          <w:kern w:val="0"/>
          <w:sz w:val="32"/>
          <w:szCs w:val="32"/>
          <w:highlight w:val="none"/>
        </w:rPr>
        <w:t>按规定的比例计缴的住房公积金。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195.03</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13.81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7.08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主要原因是调整</w:t>
      </w:r>
      <w:r>
        <w:rPr>
          <w:rFonts w:hint="eastAsia" w:ascii="仿宋" w:hAnsi="仿宋" w:eastAsia="仿宋" w:cs="仿宋"/>
          <w:color w:val="auto"/>
          <w:kern w:val="2"/>
          <w:sz w:val="32"/>
          <w:szCs w:val="32"/>
          <w:highlight w:val="none"/>
          <w:lang w:val="en-US" w:eastAsia="zh-CN" w:bidi="ar"/>
        </w:rPr>
        <w:t>在职在编教职工计缴基数，计缴金额增加。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277.64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学校公用经费、寄宿生生活补助、困难学生生活补助、学生营养餐经费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376.26</w:t>
      </w:r>
      <w:r>
        <w:rPr>
          <w:rFonts w:hint="eastAsia" w:ascii="仿宋" w:hAnsi="仿宋" w:eastAsia="仿宋" w:cs="仿宋"/>
          <w:sz w:val="32"/>
          <w:szCs w:val="32"/>
          <w:highlight w:val="none"/>
          <w:lang w:val="en-US" w:eastAsia="zh-CN" w:bidi="ar"/>
        </w:rPr>
        <w:t>减少98.62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26.21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主要原因是：在校学生数减少</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20" w:firstLineChars="200"/>
        <w:jc w:val="left"/>
        <w:textAlignment w:val="auto"/>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rPr>
        <w:t>3825.13</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default" w:ascii="宋体" w:hAnsi="宋体" w:eastAsia="宋体" w:cs="宋体"/>
          <w:color w:val="000000"/>
          <w:kern w:val="0"/>
          <w:sz w:val="28"/>
          <w:szCs w:val="28"/>
          <w:highlight w:val="none"/>
          <w:lang w:bidi="ar"/>
        </w:rPr>
        <w:t>3547.97</w:t>
      </w:r>
      <w:r>
        <w:rPr>
          <w:rFonts w:hint="eastAsia" w:ascii="仿宋" w:hAnsi="仿宋" w:eastAsia="仿宋" w:cs="仿宋"/>
          <w:sz w:val="32"/>
          <w:u w:color="auto"/>
          <w:lang w:val="en-US" w:eastAsia="zh-CN"/>
        </w:rPr>
        <w:t>增加277.23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增长7.81</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3164.85</w:t>
      </w:r>
      <w:r>
        <w:rPr>
          <w:rFonts w:hint="eastAsia" w:ascii="仿宋" w:hAnsi="仿宋" w:eastAsia="仿宋" w:cs="仿宋"/>
          <w:sz w:val="32"/>
          <w:szCs w:val="32"/>
          <w:highlight w:val="none"/>
        </w:rPr>
        <w:t>万元，项目支出</w:t>
      </w:r>
      <w:r>
        <w:rPr>
          <w:rFonts w:hint="eastAsia" w:ascii="仿宋" w:hAnsi="仿宋" w:eastAsia="仿宋" w:cs="仿宋"/>
          <w:sz w:val="32"/>
          <w:u w:color="auto"/>
        </w:rPr>
        <w:t>664.25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rPr>
        <w:t>3825.13</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3825.13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类）年初预算为38.87万元，支出决算为38.87万元，完成年初预算的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2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1395"/>
        <w:gridCol w:w="1110"/>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7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38.87</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38.87</w:t>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27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lang w:val="en-US" w:eastAsia="zh-CN"/>
              </w:rPr>
              <w:t>2023年</w:t>
            </w:r>
            <w:r>
              <w:rPr>
                <w:rFonts w:hint="eastAsia" w:ascii="仿宋" w:hAnsi="仿宋" w:eastAsia="仿宋" w:cs="仿宋"/>
                <w:color w:val="auto"/>
                <w:szCs w:val="21"/>
              </w:rPr>
              <w:t>工会活动经费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38.87</w:t>
            </w:r>
          </w:p>
        </w:tc>
        <w:tc>
          <w:tcPr>
            <w:tcW w:w="13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38.87</w:t>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7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074920" cy="3272790"/>
            <wp:effectExtent l="4445" t="4445" r="6985"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28"/>
          <w:szCs w:val="28"/>
          <w:highlight w:val="none"/>
          <w:lang w:val="en-US" w:eastAsia="zh-CN"/>
        </w:rPr>
        <w:t>2149.27</w:t>
      </w:r>
      <w:r>
        <w:rPr>
          <w:rFonts w:hint="eastAsia" w:ascii="仿宋" w:hAnsi="仿宋" w:eastAsia="仿宋"/>
          <w:sz w:val="32"/>
          <w:szCs w:val="32"/>
          <w:highlight w:val="none"/>
        </w:rPr>
        <w:t>万元，支出决算为3024.1万元，完成年初预算的</w:t>
      </w:r>
      <w:r>
        <w:rPr>
          <w:rFonts w:hint="eastAsia" w:ascii="宋体" w:hAnsi="宋体" w:eastAsia="宋体" w:cs="宋体"/>
          <w:i w:val="0"/>
          <w:iCs w:val="0"/>
          <w:color w:val="000000"/>
          <w:sz w:val="22"/>
          <w:szCs w:val="22"/>
          <w:highlight w:val="none"/>
          <w:u w:val="none"/>
          <w:lang w:val="en-US" w:eastAsia="zh-CN"/>
        </w:rPr>
        <w:t>140.7</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016"/>
        <w:gridCol w:w="1216"/>
        <w:gridCol w:w="936"/>
        <w:gridCol w:w="1617"/>
        <w:gridCol w:w="2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6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60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1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44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6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60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24"/>
                <w:szCs w:val="24"/>
                <w:highlight w:val="none"/>
                <w:lang w:val="en-US" w:eastAsia="zh-CN"/>
              </w:rPr>
              <w:t>2149.27</w:t>
            </w:r>
          </w:p>
        </w:tc>
        <w:tc>
          <w:tcPr>
            <w:tcW w:w="71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sz w:val="24"/>
                <w:szCs w:val="24"/>
                <w:highlight w:val="none"/>
              </w:rPr>
              <w:t>3024.1</w:t>
            </w:r>
          </w:p>
        </w:tc>
        <w:tc>
          <w:tcPr>
            <w:tcW w:w="44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140.7%</w:t>
            </w:r>
          </w:p>
        </w:tc>
        <w:tc>
          <w:tcPr>
            <w:tcW w:w="19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教师工资福利支出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65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60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仿宋" w:hAnsi="仿宋" w:eastAsia="仿宋"/>
                <w:sz w:val="24"/>
                <w:szCs w:val="24"/>
                <w:highlight w:val="none"/>
                <w:lang w:val="en-US" w:eastAsia="zh-CN"/>
              </w:rPr>
              <w:t>2149.27</w:t>
            </w:r>
          </w:p>
        </w:tc>
        <w:tc>
          <w:tcPr>
            <w:tcW w:w="71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仿宋" w:hAnsi="仿宋" w:eastAsia="仿宋"/>
                <w:sz w:val="24"/>
                <w:szCs w:val="24"/>
                <w:highlight w:val="none"/>
              </w:rPr>
              <w:t>3024.1</w:t>
            </w:r>
          </w:p>
        </w:tc>
        <w:tc>
          <w:tcPr>
            <w:tcW w:w="44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9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28"/>
          <w:szCs w:val="28"/>
          <w:highlight w:val="none"/>
          <w:lang w:val="en-US" w:eastAsia="zh-CN"/>
        </w:rPr>
        <w:t>324.18</w:t>
      </w:r>
      <w:r>
        <w:rPr>
          <w:rFonts w:hint="eastAsia" w:ascii="仿宋" w:hAnsi="仿宋" w:eastAsia="仿宋"/>
          <w:sz w:val="32"/>
          <w:szCs w:val="32"/>
          <w:highlight w:val="none"/>
        </w:rPr>
        <w:t>万元，支出决算为279.66万元，完成年初预算的</w:t>
      </w:r>
      <w:r>
        <w:rPr>
          <w:rFonts w:hint="eastAsia" w:ascii="宋体" w:hAnsi="宋体" w:eastAsia="宋体" w:cs="宋体"/>
          <w:i w:val="0"/>
          <w:iCs w:val="0"/>
          <w:color w:val="000000"/>
          <w:sz w:val="28"/>
          <w:szCs w:val="28"/>
          <w:highlight w:val="none"/>
          <w:u w:val="none"/>
          <w:lang w:val="en-US" w:eastAsia="zh-CN"/>
        </w:rPr>
        <w:t>86.27</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2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1170"/>
        <w:gridCol w:w="1050"/>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3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highlight w:val="none"/>
                <w:u w:val="none"/>
                <w:lang w:val="en-US" w:eastAsia="zh-CN"/>
              </w:rPr>
            </w:pPr>
            <w:r>
              <w:rPr>
                <w:rFonts w:hint="eastAsia" w:ascii="仿宋" w:hAnsi="仿宋" w:eastAsia="仿宋"/>
                <w:sz w:val="20"/>
                <w:szCs w:val="20"/>
                <w:highlight w:val="none"/>
                <w:lang w:val="en-US" w:eastAsia="zh-CN"/>
              </w:rPr>
              <w:t>324.18</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0"/>
                <w:szCs w:val="10"/>
                <w:highlight w:val="none"/>
                <w:u w:val="none"/>
                <w:lang w:val="en-US" w:eastAsia="zh-CN" w:bidi="ar-SA"/>
              </w:rPr>
            </w:pPr>
            <w:r>
              <w:rPr>
                <w:rFonts w:hint="eastAsia" w:ascii="仿宋" w:hAnsi="仿宋" w:eastAsia="仿宋"/>
                <w:sz w:val="20"/>
                <w:szCs w:val="20"/>
                <w:highlight w:val="none"/>
              </w:rPr>
              <w:t>279.66</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86.27%</w:t>
            </w:r>
          </w:p>
        </w:tc>
        <w:tc>
          <w:tcPr>
            <w:tcW w:w="3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在职在编教师养老保险缴费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highlight w:val="none"/>
                <w:u w:val="none"/>
                <w:lang w:val="en-US" w:eastAsia="zh-CN"/>
              </w:rPr>
            </w:pPr>
            <w:r>
              <w:rPr>
                <w:rFonts w:hint="eastAsia" w:ascii="仿宋" w:hAnsi="仿宋" w:eastAsia="仿宋"/>
                <w:sz w:val="20"/>
                <w:szCs w:val="20"/>
                <w:highlight w:val="none"/>
                <w:lang w:val="en-US" w:eastAsia="zh-CN"/>
              </w:rPr>
              <w:t>324.18</w:t>
            </w:r>
          </w:p>
        </w:tc>
        <w:tc>
          <w:tcPr>
            <w:tcW w:w="11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0"/>
                <w:szCs w:val="10"/>
                <w:highlight w:val="none"/>
                <w:u w:val="none"/>
                <w:lang w:val="en-US" w:eastAsia="zh-CN" w:bidi="ar-SA"/>
              </w:rPr>
            </w:pPr>
            <w:r>
              <w:rPr>
                <w:rFonts w:hint="eastAsia" w:ascii="仿宋" w:hAnsi="仿宋" w:eastAsia="仿宋"/>
                <w:sz w:val="20"/>
                <w:szCs w:val="20"/>
                <w:highlight w:val="none"/>
              </w:rPr>
              <w:t>279.66</w:t>
            </w:r>
          </w:p>
        </w:tc>
        <w:tc>
          <w:tcPr>
            <w:tcW w:w="10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30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243.14</w:t>
      </w:r>
      <w:r>
        <w:rPr>
          <w:rFonts w:hint="eastAsia" w:ascii="仿宋" w:hAnsi="仿宋" w:eastAsia="仿宋"/>
          <w:sz w:val="32"/>
          <w:szCs w:val="32"/>
          <w:highlight w:val="none"/>
        </w:rPr>
        <w:t>万元，支出决算为208.84万元，完成年初预算的</w:t>
      </w:r>
      <w:r>
        <w:rPr>
          <w:rFonts w:hint="eastAsia" w:ascii="仿宋" w:hAnsi="仿宋" w:eastAsia="仿宋"/>
          <w:sz w:val="32"/>
          <w:szCs w:val="32"/>
          <w:highlight w:val="none"/>
          <w:lang w:val="en-US" w:eastAsia="zh-CN"/>
        </w:rPr>
        <w:t>85.89</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216"/>
        <w:gridCol w:w="1216"/>
        <w:gridCol w:w="756"/>
        <w:gridCol w:w="1616"/>
        <w:gridCol w:w="2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70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64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52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70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64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highlight w:val="none"/>
                <w:u w:val="none"/>
                <w:lang w:val="en-US" w:eastAsia="zh-CN"/>
              </w:rPr>
            </w:pPr>
            <w:r>
              <w:rPr>
                <w:rFonts w:hint="eastAsia" w:ascii="仿宋" w:hAnsi="仿宋" w:eastAsia="仿宋"/>
                <w:sz w:val="22"/>
                <w:szCs w:val="22"/>
                <w:highlight w:val="none"/>
                <w:lang w:val="en-US" w:eastAsia="zh-CN"/>
              </w:rPr>
              <w:t>243.14</w:t>
            </w:r>
          </w:p>
        </w:tc>
        <w:tc>
          <w:tcPr>
            <w:tcW w:w="52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208.84</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85.89%</w:t>
            </w:r>
          </w:p>
        </w:tc>
        <w:tc>
          <w:tcPr>
            <w:tcW w:w="178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rPr>
              <w:t>教职工住房公积金支出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62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702"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648"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highlight w:val="none"/>
                <w:u w:val="none"/>
                <w:lang w:val="en-US" w:eastAsia="zh-CN"/>
              </w:rPr>
            </w:pPr>
            <w:r>
              <w:rPr>
                <w:rFonts w:hint="eastAsia" w:ascii="仿宋" w:hAnsi="仿宋" w:eastAsia="仿宋"/>
                <w:sz w:val="22"/>
                <w:szCs w:val="22"/>
                <w:highlight w:val="none"/>
                <w:lang w:val="en-US" w:eastAsia="zh-CN"/>
              </w:rPr>
              <w:t>243.14</w:t>
            </w:r>
          </w:p>
        </w:tc>
        <w:tc>
          <w:tcPr>
            <w:tcW w:w="525"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208.84</w:t>
            </w:r>
          </w:p>
        </w:tc>
        <w:tc>
          <w:tcPr>
            <w:tcW w:w="716"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pct"/>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类）年初预算为277.64万元，支出决算为277.64万元，完成年初预算的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77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7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277.64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27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学校公用经费、寄宿生生活补助、困难学生生活补助、学生营养餐经费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277.64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79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rPr>
        <w:t>3164.85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3125.58</w:t>
      </w:r>
      <w:r>
        <w:rPr>
          <w:rFonts w:hint="default" w:ascii="仿宋_GB2312" w:hAnsi="微软雅黑" w:eastAsia="仿宋_GB2312" w:cs="仿宋_GB2312"/>
          <w:i w:val="0"/>
          <w:iCs w:val="0"/>
          <w:caps w:val="0"/>
          <w:color w:val="000000"/>
          <w:spacing w:val="0"/>
          <w:sz w:val="31"/>
          <w:szCs w:val="31"/>
          <w:highlight w:val="none"/>
          <w:shd w:val="clear" w:color="auto" w:fill="FFFFFF"/>
        </w:rPr>
        <w:t>万元，商品和服务支出</w:t>
      </w:r>
      <w:r>
        <w:rPr>
          <w:rFonts w:hint="eastAsia" w:ascii="仿宋" w:hAnsi="仿宋" w:eastAsia="仿宋" w:cs="仿宋"/>
          <w:sz w:val="32"/>
          <w:szCs w:val="32"/>
          <w:highlight w:val="none"/>
        </w:rPr>
        <w:t>38.87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2917.85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sz w:val="24"/>
          <w:szCs w:val="24"/>
          <w:highlight w:val="none"/>
          <w:lang w:val="en-US" w:eastAsia="zh-CN"/>
        </w:rPr>
        <w:t>支出具体情况如下</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基本工资</w:t>
      </w:r>
      <w:r>
        <w:rPr>
          <w:rFonts w:hint="eastAsia" w:ascii="仿宋" w:hAnsi="仿宋" w:eastAsia="仿宋" w:cs="仿宋"/>
          <w:sz w:val="28"/>
          <w:szCs w:val="28"/>
          <w:highlight w:val="none"/>
          <w:lang w:val="en-US" w:eastAsia="zh-CN"/>
        </w:rPr>
        <w:t>2917.85</w:t>
      </w:r>
      <w:r>
        <w:rPr>
          <w:rFonts w:hint="eastAsia" w:ascii="仿宋" w:hAnsi="仿宋" w:eastAsia="仿宋" w:cs="仿宋"/>
          <w:sz w:val="24"/>
          <w:szCs w:val="24"/>
          <w:highlight w:val="none"/>
          <w:lang w:val="en-US" w:eastAsia="zh-CN"/>
        </w:rPr>
        <w:t>万元，</w:t>
      </w:r>
      <w:r>
        <w:rPr>
          <w:rFonts w:hint="default" w:ascii="仿宋_GB2312" w:hAnsi="微软雅黑" w:eastAsia="仿宋_GB2312" w:cs="仿宋_GB2312"/>
          <w:i w:val="0"/>
          <w:iCs w:val="0"/>
          <w:caps w:val="0"/>
          <w:color w:val="000000"/>
          <w:spacing w:val="0"/>
          <w:sz w:val="24"/>
          <w:szCs w:val="24"/>
          <w:highlight w:val="none"/>
          <w:shd w:val="clear" w:color="auto" w:fill="FFFFFF"/>
        </w:rPr>
        <w:t>完成年初预算的</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w:t>
      </w:r>
      <w:r>
        <w:rPr>
          <w:rFonts w:hint="eastAsia" w:ascii="仿宋" w:hAnsi="仿宋" w:eastAsia="仿宋" w:cs="仿宋"/>
          <w:color w:val="auto"/>
          <w:kern w:val="2"/>
          <w:sz w:val="24"/>
          <w:szCs w:val="24"/>
          <w:highlight w:val="none"/>
          <w:lang w:val="en-US" w:eastAsia="zh-CN" w:bidi="ar"/>
        </w:rPr>
        <w:t>。</w:t>
      </w:r>
    </w:p>
    <w:p>
      <w:pPr>
        <w:jc w:val="left"/>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30101基本工资898.59万元；30102津贴补贴209.78万元；30103奖金786.15万元；30107绩效工资407.61万元；30108机关事业单位基本养老保险缴费279.66万元；30110职工基本医疗保险缴费113.21万元；30112其他社会保障缴费14.02万元，30113住房公积金208.84万元。</w:t>
      </w:r>
    </w:p>
    <w:p>
      <w:pPr>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38.87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28"/>
          <w:szCs w:val="28"/>
          <w:highlight w:val="none"/>
        </w:rPr>
      </w:pPr>
      <w:r>
        <w:rPr>
          <w:rFonts w:hint="eastAsia" w:ascii="仿宋" w:hAnsi="仿宋" w:eastAsia="仿宋" w:cs="仿宋"/>
          <w:sz w:val="28"/>
          <w:szCs w:val="28"/>
          <w:highlight w:val="none"/>
        </w:rPr>
        <w:t>对个人和家庭的补助</w:t>
      </w:r>
      <w:r>
        <w:rPr>
          <w:rFonts w:hint="eastAsia" w:ascii="仿宋" w:hAnsi="仿宋" w:eastAsia="仿宋" w:cs="仿宋"/>
          <w:sz w:val="28"/>
          <w:szCs w:val="22"/>
          <w:u w:color="auto"/>
        </w:rPr>
        <w:t>207.73</w:t>
      </w:r>
      <w:r>
        <w:rPr>
          <w:rFonts w:ascii="仿宋" w:hAnsi="仿宋" w:eastAsia="仿宋" w:cs="仿宋"/>
          <w:sz w:val="28"/>
          <w:szCs w:val="22"/>
          <w:u w:color="auto"/>
        </w:rPr>
        <w:t>万元，</w:t>
      </w:r>
      <w:r>
        <w:rPr>
          <w:rFonts w:hint="default" w:ascii="仿宋_GB2312" w:hAnsi="微软雅黑" w:eastAsia="仿宋_GB2312" w:cs="仿宋_GB2312"/>
          <w:i w:val="0"/>
          <w:iCs w:val="0"/>
          <w:caps w:val="0"/>
          <w:color w:val="000000"/>
          <w:spacing w:val="0"/>
          <w:sz w:val="28"/>
          <w:szCs w:val="28"/>
          <w:highlight w:val="none"/>
          <w:shd w:val="clear" w:color="auto" w:fill="FFFFFF"/>
        </w:rPr>
        <w:t>完成年初预算的</w:t>
      </w:r>
      <w:r>
        <w:rPr>
          <w:rFonts w:hint="eastAsia" w:ascii="仿宋" w:hAnsi="仿宋" w:eastAsia="仿宋" w:cs="仿宋"/>
          <w:sz w:val="28"/>
          <w:szCs w:val="28"/>
          <w:highlight w:val="none"/>
          <w:lang w:val="en-US" w:eastAsia="zh-CN"/>
        </w:rPr>
        <w:t>100</w:t>
      </w:r>
      <w:r>
        <w:rPr>
          <w:rFonts w:hint="eastAsia" w:ascii="仿宋" w:hAnsi="仿宋" w:eastAsia="仿宋" w:cs="仿宋"/>
          <w:sz w:val="28"/>
          <w:szCs w:val="28"/>
          <w:highlight w:val="none"/>
        </w:rPr>
        <w:t>%</w:t>
      </w:r>
      <w:r>
        <w:rPr>
          <w:rFonts w:hint="eastAsia" w:ascii="仿宋_GB2312" w:hAnsi="微软雅黑" w:eastAsia="仿宋_GB2312" w:cs="仿宋_GB2312"/>
          <w:i w:val="0"/>
          <w:iCs w:val="0"/>
          <w:caps w:val="0"/>
          <w:color w:val="000000"/>
          <w:spacing w:val="0"/>
          <w:sz w:val="28"/>
          <w:szCs w:val="28"/>
          <w:highlight w:val="none"/>
          <w:shd w:val="clear" w:color="auto" w:fill="FFFFFF"/>
          <w:lang w:eastAsia="zh-CN"/>
        </w:rPr>
        <w:t>。</w:t>
      </w:r>
    </w:p>
    <w:p>
      <w:pPr>
        <w:jc w:val="left"/>
        <w:rPr>
          <w:rFonts w:hint="default"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支出具体情况如下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30304抚恤金18.67万元；30305生活补助189.01万元；30399其他对个人和家庭的补助0.05万元。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原因是本单位无债务。</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原因是本单位无</w:t>
      </w:r>
      <w:r>
        <w:rPr>
          <w:rFonts w:hint="eastAsia" w:ascii="仿宋" w:hAnsi="仿宋" w:eastAsia="仿宋" w:cs="仿宋"/>
          <w:sz w:val="32"/>
          <w:szCs w:val="32"/>
          <w:highlight w:val="none"/>
        </w:rPr>
        <w:t>资本性支出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其他支出</w:t>
      </w:r>
      <w:r>
        <w:rPr>
          <w:rFonts w:ascii="仿宋" w:hAnsi="仿宋" w:eastAsia="仿宋" w:cs="仿宋"/>
          <w:sz w:val="24"/>
          <w:szCs w:val="21"/>
          <w:u w:color="auto"/>
        </w:rPr>
        <w:t>0.00万元，</w:t>
      </w:r>
      <w:r>
        <w:rPr>
          <w:rFonts w:hint="default" w:ascii="仿宋_GB2312" w:hAnsi="微软雅黑" w:eastAsia="仿宋_GB2312" w:cs="仿宋_GB2312"/>
          <w:i w:val="0"/>
          <w:iCs w:val="0"/>
          <w:caps w:val="0"/>
          <w:color w:val="000000"/>
          <w:spacing w:val="0"/>
          <w:sz w:val="24"/>
          <w:szCs w:val="24"/>
          <w:highlight w:val="none"/>
          <w:shd w:val="clear" w:color="auto" w:fill="FFFFFF"/>
        </w:rPr>
        <w:t>完成年初预算的</w:t>
      </w:r>
      <w:r>
        <w:rPr>
          <w:rFonts w:hint="eastAsia" w:ascii="仿宋" w:hAnsi="仿宋" w:eastAsia="仿宋" w:cs="仿宋"/>
          <w:sz w:val="24"/>
          <w:szCs w:val="24"/>
          <w:highlight w:val="none"/>
        </w:rPr>
        <w:t>0%</w:t>
      </w:r>
      <w:r>
        <w:rPr>
          <w:rFonts w:hint="eastAsia" w:ascii="仿宋_GB2312" w:hAnsi="微软雅黑" w:eastAsia="仿宋_GB2312" w:cs="仿宋_GB2312"/>
          <w:i w:val="0"/>
          <w:iCs w:val="0"/>
          <w:caps w:val="0"/>
          <w:color w:val="000000"/>
          <w:spacing w:val="0"/>
          <w:sz w:val="24"/>
          <w:szCs w:val="24"/>
          <w:highlight w:val="none"/>
          <w:shd w:val="clear" w:color="auto" w:fill="FFFFFF"/>
          <w:lang w:eastAsia="zh-CN"/>
        </w:rPr>
        <w:t>。</w:t>
      </w:r>
      <w:r>
        <w:rPr>
          <w:rFonts w:hint="eastAsia" w:ascii="仿宋_GB2312" w:hAnsi="微软雅黑" w:eastAsia="仿宋_GB2312" w:cs="仿宋_GB2312"/>
          <w:i w:val="0"/>
          <w:iCs w:val="0"/>
          <w:caps w:val="0"/>
          <w:color w:val="000000"/>
          <w:spacing w:val="0"/>
          <w:sz w:val="24"/>
          <w:szCs w:val="24"/>
          <w:highlight w:val="none"/>
          <w:shd w:val="clear" w:color="auto" w:fill="FFFFFF"/>
          <w:lang w:val="en-US" w:eastAsia="zh-CN"/>
        </w:rPr>
        <w:t>本单位年内没有其他支出。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年度政府性基金支出3.97万元，较202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宋体" w:hAnsi="宋体" w:eastAsia="宋体" w:cs="宋体"/>
          <w:b w:val="0"/>
          <w:bCs w:val="0"/>
          <w:color w:val="000000"/>
          <w:sz w:val="28"/>
          <w:szCs w:val="28"/>
          <w:highlight w:val="none"/>
        </w:rPr>
        <w:t>1.21</w:t>
      </w:r>
      <w:r>
        <w:rPr>
          <w:rFonts w:hint="eastAsia" w:ascii="宋体" w:hAnsi="宋体" w:eastAsia="宋体" w:cs="宋体"/>
          <w:b w:val="0"/>
          <w:bCs w:val="0"/>
          <w:color w:val="000000"/>
          <w:sz w:val="28"/>
          <w:szCs w:val="28"/>
          <w:highlight w:val="none"/>
          <w:lang w:val="en-US" w:eastAsia="zh-CN"/>
        </w:rPr>
        <w:t>增加2.76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增长28.1</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0.40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3.57</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3.97</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3.97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用于教育事业的彩票公益金支出</w:t>
      </w:r>
      <w:r>
        <w:rPr>
          <w:rFonts w:hint="eastAsia" w:ascii="仿宋" w:hAnsi="仿宋" w:eastAsia="仿宋" w:cs="仿宋"/>
          <w:color w:val="000000"/>
          <w:sz w:val="32"/>
          <w:szCs w:val="32"/>
          <w:shd w:val="clear" w:color="auto" w:fill="FFFFFF"/>
        </w:rPr>
        <w:t>（项）年初预算为</w:t>
      </w:r>
      <w:r>
        <w:rPr>
          <w:rFonts w:hint="eastAsia" w:ascii="仿宋" w:hAnsi="仿宋" w:eastAsia="仿宋" w:cs="仿宋"/>
          <w:sz w:val="32"/>
          <w:szCs w:val="32"/>
          <w:highlight w:val="none"/>
          <w:lang w:val="en-US" w:eastAsia="zh-CN"/>
        </w:rPr>
        <w:t>3.97</w:t>
      </w:r>
      <w:r>
        <w:rPr>
          <w:rFonts w:hint="eastAsia" w:ascii="仿宋" w:hAnsi="仿宋" w:eastAsia="仿宋" w:cs="仿宋"/>
          <w:color w:val="000000"/>
          <w:sz w:val="32"/>
          <w:szCs w:val="32"/>
          <w:shd w:val="clear" w:color="auto" w:fill="FFFFFF"/>
        </w:rPr>
        <w:t>万元，支出决算为</w:t>
      </w:r>
      <w:r>
        <w:rPr>
          <w:rFonts w:hint="eastAsia" w:ascii="仿宋" w:hAnsi="仿宋" w:eastAsia="仿宋" w:cs="仿宋"/>
          <w:sz w:val="32"/>
          <w:szCs w:val="32"/>
          <w:highlight w:val="none"/>
          <w:lang w:val="en-US" w:eastAsia="zh-CN"/>
        </w:rPr>
        <w:t>3.97</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bookmarkStart w:id="4" w:name="_GoBack"/>
      <w:bookmarkEnd w:id="4"/>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环江毛南族自治县思恩镇中心小学202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本单位是财政全额拨款事业单位，没有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的预决算数据。</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本单位是财政全额拨款事业单位，不属于机关运行经费范围。</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1.绩效管理工作开展情况。</w:t>
      </w:r>
    </w:p>
    <w:p>
      <w:pPr>
        <w:ind w:firstLine="640" w:firstLineChars="200"/>
        <w:jc w:val="left"/>
        <w:rPr>
          <w:rFonts w:hint="eastAsia" w:ascii="仿宋" w:hAnsi="仿宋" w:eastAsia="仿宋" w:cs="仿宋"/>
          <w:color w:val="0000FF"/>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根据财政预算管理要求，本部门组织对</w:t>
      </w: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年</w:t>
      </w:r>
      <w:r>
        <w:rPr>
          <w:rFonts w:hint="eastAsia" w:ascii="仿宋" w:hAnsi="仿宋" w:eastAsia="仿宋" w:cs="仿宋"/>
          <w:color w:val="000000" w:themeColor="text1"/>
          <w:sz w:val="32"/>
          <w:szCs w:val="32"/>
          <w:highlight w:val="none"/>
          <w14:textFill>
            <w14:solidFill>
              <w14:schemeClr w14:val="tx1"/>
            </w14:solidFill>
          </w14:textFill>
        </w:rPr>
        <w:t>度一般</w:t>
      </w:r>
      <w:r>
        <w:rPr>
          <w:rFonts w:hint="eastAsia" w:ascii="仿宋" w:hAnsi="仿宋" w:eastAsia="仿宋" w:cs="仿宋"/>
          <w:color w:val="auto"/>
          <w:sz w:val="32"/>
          <w:szCs w:val="32"/>
          <w:highlight w:val="none"/>
        </w:rPr>
        <w:t>公共预算项目支出全面开展绩效自评。其中，一</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31</w:t>
      </w:r>
      <w:r>
        <w:rPr>
          <w:rFonts w:hint="eastAsia" w:ascii="仿宋" w:hAnsi="仿宋" w:eastAsia="仿宋" w:cs="仿宋"/>
          <w:color w:val="auto"/>
          <w:sz w:val="32"/>
          <w:szCs w:val="32"/>
          <w:highlight w:val="none"/>
        </w:rPr>
        <w:t>个，二</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val="en-US" w:eastAsia="zh-CN"/>
        </w:rPr>
        <w:t>三等</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共涉及资金</w:t>
      </w:r>
      <w:r>
        <w:rPr>
          <w:rFonts w:hint="eastAsia" w:ascii="仿宋" w:hAnsi="仿宋" w:eastAsia="仿宋" w:cs="仿宋"/>
          <w:color w:val="auto"/>
          <w:sz w:val="32"/>
          <w:szCs w:val="32"/>
          <w:highlight w:val="none"/>
          <w:lang w:val="en-US" w:eastAsia="zh-CN"/>
        </w:rPr>
        <w:t>1154.28</w:t>
      </w:r>
      <w:r>
        <w:rPr>
          <w:rFonts w:hint="eastAsia" w:ascii="仿宋" w:hAnsi="仿宋" w:eastAsia="仿宋" w:cs="仿宋"/>
          <w:color w:val="auto"/>
          <w:sz w:val="32"/>
          <w:szCs w:val="32"/>
          <w:highlight w:val="none"/>
        </w:rPr>
        <w:t>万元，占一般公共预算项目支出总额的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等</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个政府性基金预算项目支出开展绩效自评，共涉及资金</w:t>
      </w:r>
      <w:r>
        <w:rPr>
          <w:rFonts w:hint="eastAsia" w:ascii="仿宋" w:hAnsi="仿宋" w:eastAsia="仿宋" w:cs="仿宋"/>
          <w:color w:val="auto"/>
          <w:sz w:val="32"/>
          <w:szCs w:val="32"/>
          <w:highlight w:val="none"/>
          <w:lang w:val="en-US" w:eastAsia="zh-CN"/>
        </w:rPr>
        <w:t>3.97</w:t>
      </w:r>
      <w:r>
        <w:rPr>
          <w:rFonts w:hint="eastAsia" w:ascii="仿宋" w:hAnsi="仿宋" w:eastAsia="仿宋" w:cs="仿宋"/>
          <w:color w:val="auto"/>
          <w:sz w:val="32"/>
          <w:szCs w:val="32"/>
          <w:highlight w:val="none"/>
        </w:rPr>
        <w:t>万元，占政府性基金预算项目支出总额的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0000FF"/>
          <w:sz w:val="32"/>
          <w:szCs w:val="32"/>
          <w:highlight w:val="none"/>
          <w:lang w:val="en-US" w:eastAsia="zh-CN"/>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w:t>
      </w:r>
      <w:r>
        <w:rPr>
          <w:rFonts w:hint="eastAsia" w:ascii="仿宋" w:hAnsi="仿宋" w:eastAsia="仿宋" w:cs="仿宋"/>
          <w:sz w:val="32"/>
          <w:u w:color="auto"/>
          <w:lang w:eastAsia="zh-CN"/>
        </w:rPr>
        <w:t>环江毛南族自治县财政局</w:t>
      </w:r>
      <w:r>
        <w:rPr>
          <w:rFonts w:ascii="仿宋" w:hAnsi="仿宋" w:eastAsia="仿宋" w:cs="仿宋"/>
          <w:sz w:val="32"/>
          <w:u w:color="auto"/>
        </w:rPr>
        <w:t>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2M2JjNjY3MzRkNmVjZTkwNzM1ZDViYTQ4NThkNW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3F5F2A"/>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1B07"/>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A1A55"/>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1B6CAE"/>
    <w:rsid w:val="01234E98"/>
    <w:rsid w:val="015F1951"/>
    <w:rsid w:val="020C171D"/>
    <w:rsid w:val="0216715F"/>
    <w:rsid w:val="02895B83"/>
    <w:rsid w:val="02E0291A"/>
    <w:rsid w:val="04826D2E"/>
    <w:rsid w:val="04E54546"/>
    <w:rsid w:val="05322502"/>
    <w:rsid w:val="053A4F12"/>
    <w:rsid w:val="05992762"/>
    <w:rsid w:val="070E34A9"/>
    <w:rsid w:val="07B0770E"/>
    <w:rsid w:val="093F0D49"/>
    <w:rsid w:val="0942143F"/>
    <w:rsid w:val="09491BC8"/>
    <w:rsid w:val="0A27015B"/>
    <w:rsid w:val="0AF73FD1"/>
    <w:rsid w:val="0D100297"/>
    <w:rsid w:val="0D202B45"/>
    <w:rsid w:val="0E6D0107"/>
    <w:rsid w:val="0F8D4C87"/>
    <w:rsid w:val="0FB6788B"/>
    <w:rsid w:val="10505FAA"/>
    <w:rsid w:val="10585A5C"/>
    <w:rsid w:val="105F7E7E"/>
    <w:rsid w:val="11E56B5B"/>
    <w:rsid w:val="125C77AB"/>
    <w:rsid w:val="12F6691D"/>
    <w:rsid w:val="13BA2040"/>
    <w:rsid w:val="14CB726E"/>
    <w:rsid w:val="17D244D2"/>
    <w:rsid w:val="17E8172E"/>
    <w:rsid w:val="17E92249"/>
    <w:rsid w:val="18D304F1"/>
    <w:rsid w:val="19E971DB"/>
    <w:rsid w:val="19F32577"/>
    <w:rsid w:val="19F45B80"/>
    <w:rsid w:val="1AA94C51"/>
    <w:rsid w:val="1B0C078D"/>
    <w:rsid w:val="1B2B31E2"/>
    <w:rsid w:val="1B4C295A"/>
    <w:rsid w:val="1B973C63"/>
    <w:rsid w:val="1BA1001E"/>
    <w:rsid w:val="1C0B70E0"/>
    <w:rsid w:val="1C4C57FF"/>
    <w:rsid w:val="1C562675"/>
    <w:rsid w:val="1D317259"/>
    <w:rsid w:val="1D4961E3"/>
    <w:rsid w:val="1E42335E"/>
    <w:rsid w:val="1E664F5B"/>
    <w:rsid w:val="1EB34BE1"/>
    <w:rsid w:val="205D447F"/>
    <w:rsid w:val="20AD0837"/>
    <w:rsid w:val="215E639F"/>
    <w:rsid w:val="21EC3183"/>
    <w:rsid w:val="225E72CD"/>
    <w:rsid w:val="22DF73CD"/>
    <w:rsid w:val="233139A1"/>
    <w:rsid w:val="246E2F77"/>
    <w:rsid w:val="254B4E2B"/>
    <w:rsid w:val="2558084C"/>
    <w:rsid w:val="26254B91"/>
    <w:rsid w:val="26997893"/>
    <w:rsid w:val="26BD5C77"/>
    <w:rsid w:val="270F7B55"/>
    <w:rsid w:val="283D7C94"/>
    <w:rsid w:val="28EB450B"/>
    <w:rsid w:val="29480E03"/>
    <w:rsid w:val="2983634D"/>
    <w:rsid w:val="2A5038E6"/>
    <w:rsid w:val="2B6F11FA"/>
    <w:rsid w:val="2BB02055"/>
    <w:rsid w:val="2C080388"/>
    <w:rsid w:val="2C575A56"/>
    <w:rsid w:val="2C7C7A3B"/>
    <w:rsid w:val="2F257714"/>
    <w:rsid w:val="2F3275E5"/>
    <w:rsid w:val="2F4800A8"/>
    <w:rsid w:val="2F4D56BE"/>
    <w:rsid w:val="2FF7387C"/>
    <w:rsid w:val="30AA08EF"/>
    <w:rsid w:val="30D23D1C"/>
    <w:rsid w:val="31221CF5"/>
    <w:rsid w:val="31377B03"/>
    <w:rsid w:val="31400178"/>
    <w:rsid w:val="314B0324"/>
    <w:rsid w:val="321D3A6E"/>
    <w:rsid w:val="321E3342"/>
    <w:rsid w:val="327759C8"/>
    <w:rsid w:val="32816197"/>
    <w:rsid w:val="32E94937"/>
    <w:rsid w:val="33185FE3"/>
    <w:rsid w:val="343E5F1E"/>
    <w:rsid w:val="34A264AC"/>
    <w:rsid w:val="34C04B85"/>
    <w:rsid w:val="34EE2E36"/>
    <w:rsid w:val="35700359"/>
    <w:rsid w:val="35A40002"/>
    <w:rsid w:val="35C44201"/>
    <w:rsid w:val="35F76384"/>
    <w:rsid w:val="3628478F"/>
    <w:rsid w:val="36777241"/>
    <w:rsid w:val="36F34D9D"/>
    <w:rsid w:val="371E78D5"/>
    <w:rsid w:val="37353608"/>
    <w:rsid w:val="38A951DB"/>
    <w:rsid w:val="38B31605"/>
    <w:rsid w:val="39003F4F"/>
    <w:rsid w:val="398F27BA"/>
    <w:rsid w:val="3C07002B"/>
    <w:rsid w:val="3D0D152A"/>
    <w:rsid w:val="3DB16BC1"/>
    <w:rsid w:val="3DEE62BF"/>
    <w:rsid w:val="3DF62756"/>
    <w:rsid w:val="3EAA07DB"/>
    <w:rsid w:val="3F1B7587"/>
    <w:rsid w:val="3F542A99"/>
    <w:rsid w:val="3F7B2E7D"/>
    <w:rsid w:val="405A7C3B"/>
    <w:rsid w:val="40E14039"/>
    <w:rsid w:val="41E57B4F"/>
    <w:rsid w:val="42DF267A"/>
    <w:rsid w:val="432F26F6"/>
    <w:rsid w:val="43880F63"/>
    <w:rsid w:val="441C5A6F"/>
    <w:rsid w:val="44C44FCC"/>
    <w:rsid w:val="44CC7369"/>
    <w:rsid w:val="457F5108"/>
    <w:rsid w:val="4597723C"/>
    <w:rsid w:val="45DB181E"/>
    <w:rsid w:val="463F1DAD"/>
    <w:rsid w:val="46951B6B"/>
    <w:rsid w:val="48806CBA"/>
    <w:rsid w:val="49A34401"/>
    <w:rsid w:val="4A3E30AB"/>
    <w:rsid w:val="4AC14DAC"/>
    <w:rsid w:val="4C5916EF"/>
    <w:rsid w:val="4D154C85"/>
    <w:rsid w:val="4D6E2F78"/>
    <w:rsid w:val="4E487C6D"/>
    <w:rsid w:val="4EB15812"/>
    <w:rsid w:val="4EB35ECE"/>
    <w:rsid w:val="4EE03A01"/>
    <w:rsid w:val="50134AE6"/>
    <w:rsid w:val="508F4E24"/>
    <w:rsid w:val="51461E90"/>
    <w:rsid w:val="51463753"/>
    <w:rsid w:val="52553A93"/>
    <w:rsid w:val="53521F8B"/>
    <w:rsid w:val="53AC7200"/>
    <w:rsid w:val="53E22F47"/>
    <w:rsid w:val="54522FF8"/>
    <w:rsid w:val="54D23DEC"/>
    <w:rsid w:val="55450629"/>
    <w:rsid w:val="56692963"/>
    <w:rsid w:val="568B0F48"/>
    <w:rsid w:val="57435475"/>
    <w:rsid w:val="5786217B"/>
    <w:rsid w:val="589F492D"/>
    <w:rsid w:val="590B5B1F"/>
    <w:rsid w:val="59337A15"/>
    <w:rsid w:val="59810274"/>
    <w:rsid w:val="59B30690"/>
    <w:rsid w:val="5B9F77DD"/>
    <w:rsid w:val="5CA96A00"/>
    <w:rsid w:val="5CB96FA9"/>
    <w:rsid w:val="5CF730BC"/>
    <w:rsid w:val="5E5F0DCE"/>
    <w:rsid w:val="5F9A6465"/>
    <w:rsid w:val="5FA40A7B"/>
    <w:rsid w:val="5FD56D29"/>
    <w:rsid w:val="5FEC7F3F"/>
    <w:rsid w:val="60085F60"/>
    <w:rsid w:val="60E47381"/>
    <w:rsid w:val="60F74BC3"/>
    <w:rsid w:val="617D3BF8"/>
    <w:rsid w:val="61841F6A"/>
    <w:rsid w:val="623007A9"/>
    <w:rsid w:val="62337EFD"/>
    <w:rsid w:val="637D7558"/>
    <w:rsid w:val="644F19AC"/>
    <w:rsid w:val="65744A4C"/>
    <w:rsid w:val="65AA4920"/>
    <w:rsid w:val="65E31D0B"/>
    <w:rsid w:val="65F22540"/>
    <w:rsid w:val="66171FA7"/>
    <w:rsid w:val="671B7A46"/>
    <w:rsid w:val="673A7FDE"/>
    <w:rsid w:val="673F7A07"/>
    <w:rsid w:val="67694F1E"/>
    <w:rsid w:val="679D472E"/>
    <w:rsid w:val="69597934"/>
    <w:rsid w:val="69E74634"/>
    <w:rsid w:val="6A3D7B02"/>
    <w:rsid w:val="6B964DDC"/>
    <w:rsid w:val="6C783074"/>
    <w:rsid w:val="6D9E65C6"/>
    <w:rsid w:val="6DA81947"/>
    <w:rsid w:val="6DD747FB"/>
    <w:rsid w:val="6EB66DE2"/>
    <w:rsid w:val="6ED3075F"/>
    <w:rsid w:val="6F2A2D4B"/>
    <w:rsid w:val="6F8A0C1E"/>
    <w:rsid w:val="703F45D4"/>
    <w:rsid w:val="71594B6E"/>
    <w:rsid w:val="715D6546"/>
    <w:rsid w:val="71BE069E"/>
    <w:rsid w:val="73953409"/>
    <w:rsid w:val="73BB6668"/>
    <w:rsid w:val="73E069A3"/>
    <w:rsid w:val="770C2D36"/>
    <w:rsid w:val="77FD4D9B"/>
    <w:rsid w:val="78104AA8"/>
    <w:rsid w:val="788259A6"/>
    <w:rsid w:val="78E257C5"/>
    <w:rsid w:val="794B35BE"/>
    <w:rsid w:val="7B0A3A31"/>
    <w:rsid w:val="7B3360ED"/>
    <w:rsid w:val="7B7B492E"/>
    <w:rsid w:val="7BDF037E"/>
    <w:rsid w:val="7BF50948"/>
    <w:rsid w:val="7C0B3F04"/>
    <w:rsid w:val="7CA823A0"/>
    <w:rsid w:val="7CE66A78"/>
    <w:rsid w:val="7D1E40CA"/>
    <w:rsid w:val="7D23564C"/>
    <w:rsid w:val="7D5E062D"/>
    <w:rsid w:val="7DF76CD8"/>
    <w:rsid w:val="7F2D4191"/>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3825.13</c:v>
                </c:pt>
                <c:pt idx="1">
                  <c:v>3.97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Sheet1!$B$2:$B$14</c:f>
              <c:numCache>
                <c:formatCode>General</c:formatCode>
                <c:ptCount val="13"/>
                <c:pt idx="0">
                  <c:v>0</c:v>
                </c:pt>
                <c:pt idx="1">
                  <c:v>0</c:v>
                </c:pt>
                <c:pt idx="2">
                  <c:v>0</c:v>
                </c:pt>
                <c:pt idx="3">
                  <c:v>18.67</c:v>
                </c:pt>
                <c:pt idx="4">
                  <c:v>189.01</c:v>
                </c:pt>
                <c:pt idx="5">
                  <c:v>0</c:v>
                </c:pt>
                <c:pt idx="6">
                  <c:v>0</c:v>
                </c:pt>
                <c:pt idx="7">
                  <c:v>0</c:v>
                </c:pt>
                <c:pt idx="8">
                  <c:v>0</c:v>
                </c:pt>
                <c:pt idx="9">
                  <c:v>0</c:v>
                </c:pt>
                <c:pt idx="10">
                  <c:v>0</c:v>
                </c:pt>
                <c:pt idx="11">
                  <c:v>0.05</c:v>
                </c:pt>
              </c:numCache>
            </c:numRef>
          </c:val>
        </c:ser>
        <c:ser>
          <c:idx val="1"/>
          <c:order val="1"/>
          <c:tx>
            <c:strRef>
              <c:f>Sheet1!$C$1</c:f>
              <c:strCache>
                <c:ptCount val="1"/>
                <c:pt idx="0">
                  <c:v>系列 2</c:v>
                </c:pt>
              </c:strCache>
            </c:strRef>
          </c:tx>
          <c:invertIfNegative val="0"/>
          <c:dLbls>
            <c:delete val="1"/>
          </c:dLbls>
          <c:cat>
            <c:numRef>
              <c:f>Sheet1!$A$2:$A$14</c:f>
              <c:numCache>
                <c:formatCode>General</c:formatCode>
                <c:ptCount val="13"/>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Sheet1!$C$2:$C$14</c:f>
              <c:numCache>
                <c:formatCode>General</c:formatCode>
                <c:ptCount val="13"/>
                <c:pt idx="0">
                  <c:v>2.4</c:v>
                </c:pt>
                <c:pt idx="1">
                  <c:v>4.4</c:v>
                </c:pt>
                <c:pt idx="2">
                  <c:v>1.8</c:v>
                </c:pt>
                <c:pt idx="3">
                  <c:v>2.8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3547.97</c:v>
                </c:pt>
                <c:pt idx="1">
                  <c:v>2680.69</c:v>
                </c:pt>
                <c:pt idx="2">
                  <c:v>261.02</c:v>
                </c:pt>
                <c:pt idx="3">
                  <c:v>195.03</c:v>
                </c:pt>
                <c:pt idx="4">
                  <c:v>376.26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3825.13</c:v>
                </c:pt>
                <c:pt idx="1">
                  <c:v>3024.1</c:v>
                </c:pt>
                <c:pt idx="2">
                  <c:v>279.66</c:v>
                </c:pt>
                <c:pt idx="3">
                  <c:v>208.84</c:v>
                </c:pt>
                <c:pt idx="4">
                  <c:v>277.64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38.87</c:v>
                </c:pt>
                <c:pt idx="1">
                  <c:v>38.87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2050201</c:v>
                </c:pt>
                <c:pt idx="1">
                  <c:v>2050202</c:v>
                </c:pt>
                <c:pt idx="2">
                  <c:v>2050299</c:v>
                </c:pt>
                <c:pt idx="3">
                  <c:v>2050999</c:v>
                </c:pt>
                <c:pt idx="4">
                  <c:v>205x</c:v>
                </c:pt>
              </c:strCache>
            </c:strRef>
          </c:cat>
          <c:val>
            <c:numRef>
              <c:f>Sheet1!$B$2:$B$6</c:f>
              <c:numCache>
                <c:formatCode>General</c:formatCode>
                <c:ptCount val="5"/>
                <c:pt idx="0">
                  <c:v>17.99</c:v>
                </c:pt>
                <c:pt idx="1">
                  <c:v>2997.91</c:v>
                </c:pt>
                <c:pt idx="2">
                  <c:v>6.18</c:v>
                </c:pt>
                <c:pt idx="3">
                  <c:v>2.03</c:v>
                </c:pt>
                <c:pt idx="4">
                  <c:v>3024.11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2080505年初预算数</c:v>
                </c:pt>
                <c:pt idx="1">
                  <c:v>2080505年终决算数</c:v>
                </c:pt>
              </c:strCache>
            </c:strRef>
          </c:cat>
          <c:val>
            <c:numRef>
              <c:f>Sheet1!$B$2:$B$3</c:f>
              <c:numCache>
                <c:formatCode>General</c:formatCode>
                <c:ptCount val="2"/>
                <c:pt idx="0">
                  <c:v>324.18</c:v>
                </c:pt>
                <c:pt idx="1">
                  <c:v>208.84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2210201年初预算数</c:v>
                </c:pt>
                <c:pt idx="1">
                  <c:v>2210201年终决算数数</c:v>
                </c:pt>
              </c:strCache>
            </c:strRef>
          </c:cat>
          <c:val>
            <c:numRef>
              <c:f>Sheet1!$B$2:$B$3</c:f>
              <c:numCache>
                <c:formatCode>General</c:formatCode>
                <c:ptCount val="2"/>
                <c:pt idx="0">
                  <c:v>243.14</c:v>
                </c:pt>
                <c:pt idx="1">
                  <c:v>277.64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277.64</c:v>
                </c:pt>
                <c:pt idx="1">
                  <c:v>277.64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898.59</c:v>
                </c:pt>
                <c:pt idx="1">
                  <c:v>209.78</c:v>
                </c:pt>
                <c:pt idx="2">
                  <c:v>786.15</c:v>
                </c:pt>
                <c:pt idx="4">
                  <c:v>407.61</c:v>
                </c:pt>
                <c:pt idx="5">
                  <c:v>279.66</c:v>
                </c:pt>
                <c:pt idx="7">
                  <c:v>113.21</c:v>
                </c:pt>
                <c:pt idx="9">
                  <c:v>14.02</c:v>
                </c:pt>
                <c:pt idx="10">
                  <c:v>208.84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38.87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2378</Words>
  <Characters>3239</Characters>
  <Lines>90</Lines>
  <Paragraphs>25</Paragraphs>
  <TotalTime>20</TotalTime>
  <ScaleCrop>false</ScaleCrop>
  <LinksUpToDate>false</LinksUpToDate>
  <CharactersWithSpaces>3316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2025-01-07T08:27:33Z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eyJoZGlkIjoiOWI2M2JjNjY3MzRkNmVjZTkwNzM1ZDViYTQ4NThkNWEiLCJ1c2VySWQiOiIzODgyMzY5MDYifQ==</vt:lpwstr>
  </property>
</Properties>
</file>