
<file path=[Content_Types].xml><?xml version="1.0" encoding="utf-8"?>
<Types xmlns="http://schemas.openxmlformats.org/package/2006/content-types">
  <Default Extension="xlsx" ContentType="application/vnd.openxmlformats-officedocument.spreadsheetml.shee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 xml:space="preserve"> </w:t>
      </w:r>
    </w:p>
    <w:p>
      <w:pPr>
        <w:jc w:val="center"/>
        <w:rPr>
          <w:rFonts w:ascii="黑体" w:hAnsi="黑体" w:eastAsia="黑体" w:cs="黑体"/>
          <w:b/>
          <w:bCs/>
          <w:sz w:val="52"/>
          <w:szCs w:val="52"/>
          <w:highlight w:val="none"/>
        </w:rPr>
      </w:pPr>
      <w:r>
        <w:rPr>
          <w:rFonts w:hint="eastAsia" w:ascii="黑体" w:hAnsi="黑体" w:eastAsia="黑体" w:cs="黑体"/>
          <w:b/>
          <w:bCs/>
          <w:sz w:val="52"/>
          <w:szCs w:val="52"/>
          <w:highlight w:val="none"/>
        </w:rPr>
        <w:t>环江毛南族自治县长美学校202</w:t>
      </w:r>
      <w:r>
        <w:rPr>
          <w:rFonts w:hint="eastAsia" w:ascii="黑体" w:hAnsi="黑体" w:eastAsia="黑体" w:cs="黑体"/>
          <w:b/>
          <w:bCs/>
          <w:sz w:val="52"/>
          <w:szCs w:val="52"/>
          <w:highlight w:val="none"/>
          <w:lang w:val="en-US" w:eastAsia="zh-CN"/>
        </w:rPr>
        <w:t>3</w:t>
      </w:r>
      <w:r>
        <w:rPr>
          <w:rFonts w:hint="eastAsia" w:ascii="黑体" w:hAnsi="黑体" w:eastAsia="黑体" w:cs="黑体"/>
          <w:b/>
          <w:bCs/>
          <w:sz w:val="52"/>
          <w:szCs w:val="52"/>
          <w:highlight w:val="none"/>
        </w:rPr>
        <w:t>年度部门决算</w:t>
      </w:r>
    </w:p>
    <w:p>
      <w:pPr>
        <w:jc w:val="center"/>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bookmarkStart w:id="3" w:name="_GoBack"/>
      <w:bookmarkEnd w:id="3"/>
    </w:p>
    <w:p>
      <w:pPr>
        <w:jc w:val="center"/>
        <w:rPr>
          <w:rFonts w:hint="eastAsia" w:ascii="黑体" w:eastAsia="黑体" w:cs="黑体"/>
          <w:kern w:val="0"/>
          <w:sz w:val="44"/>
          <w:szCs w:val="44"/>
        </w:rPr>
      </w:pPr>
    </w:p>
    <w:p>
      <w:pPr>
        <w:jc w:val="center"/>
        <w:rPr>
          <w:rFonts w:hint="eastAsia" w:ascii="华文行楷" w:hAnsi="华文行楷" w:eastAsia="华文行楷" w:cs="华文行楷"/>
          <w:kern w:val="0"/>
          <w:sz w:val="44"/>
          <w:szCs w:val="44"/>
          <w:lang w:val="en-US" w:eastAsia="zh-CN"/>
        </w:rPr>
      </w:pPr>
      <w:r>
        <w:rPr>
          <w:rFonts w:hint="eastAsia" w:ascii="黑体" w:eastAsia="黑体" w:cs="黑体"/>
          <w:kern w:val="0"/>
          <w:sz w:val="44"/>
          <w:szCs w:val="44"/>
        </w:rPr>
        <w:t>单位负责人：</w:t>
      </w:r>
      <w:r>
        <w:rPr>
          <w:rFonts w:hint="eastAsia" w:ascii="华文行楷" w:hAnsi="华文行楷" w:eastAsia="华文行楷" w:cs="华文行楷"/>
          <w:kern w:val="0"/>
          <w:sz w:val="44"/>
          <w:szCs w:val="44"/>
          <w:lang w:val="en-US" w:eastAsia="zh-CN"/>
        </w:rPr>
        <w:t>蒙圣</w:t>
      </w:r>
    </w:p>
    <w:p>
      <w:pPr>
        <w:jc w:val="center"/>
        <w:rPr>
          <w:rFonts w:hint="eastAsia" w:ascii="黑体" w:eastAsia="黑体" w:cs="黑体"/>
          <w:kern w:val="0"/>
          <w:sz w:val="44"/>
          <w:szCs w:val="44"/>
        </w:rPr>
      </w:pPr>
      <w:r>
        <w:rPr>
          <w:rFonts w:hint="eastAsia" w:ascii="黑体" w:eastAsia="黑体" w:cs="黑体"/>
          <w:kern w:val="0"/>
          <w:sz w:val="44"/>
          <w:szCs w:val="44"/>
        </w:rPr>
        <w:t>20</w:t>
      </w:r>
      <w:r>
        <w:rPr>
          <w:rFonts w:hint="eastAsia" w:ascii="黑体" w:eastAsia="黑体" w:cs="黑体"/>
          <w:kern w:val="0"/>
          <w:sz w:val="44"/>
          <w:szCs w:val="44"/>
          <w:lang w:val="en-US" w:eastAsia="zh-CN"/>
        </w:rPr>
        <w:t>24</w:t>
      </w:r>
      <w:r>
        <w:rPr>
          <w:rFonts w:hint="eastAsia" w:ascii="黑体" w:eastAsia="黑体" w:cs="黑体"/>
          <w:kern w:val="0"/>
          <w:sz w:val="44"/>
          <w:szCs w:val="44"/>
        </w:rPr>
        <w:t>年</w:t>
      </w:r>
      <w:r>
        <w:rPr>
          <w:rFonts w:hint="eastAsia" w:ascii="黑体" w:eastAsia="黑体" w:cs="黑体"/>
          <w:kern w:val="0"/>
          <w:sz w:val="44"/>
          <w:szCs w:val="44"/>
          <w:lang w:val="en-US" w:eastAsia="zh-CN"/>
        </w:rPr>
        <w:t>12</w:t>
      </w:r>
      <w:r>
        <w:rPr>
          <w:rFonts w:hint="eastAsia" w:ascii="黑体" w:eastAsia="黑体" w:cs="黑体"/>
          <w:kern w:val="0"/>
          <w:sz w:val="44"/>
          <w:szCs w:val="44"/>
        </w:rPr>
        <w:t>月</w:t>
      </w:r>
      <w:r>
        <w:rPr>
          <w:rFonts w:hint="eastAsia" w:ascii="黑体" w:eastAsia="黑体" w:cs="黑体"/>
          <w:kern w:val="0"/>
          <w:sz w:val="44"/>
          <w:szCs w:val="44"/>
          <w:lang w:val="en-US" w:eastAsia="zh-CN"/>
        </w:rPr>
        <w:t>03</w:t>
      </w:r>
      <w:r>
        <w:rPr>
          <w:rFonts w:hint="eastAsia" w:ascii="黑体" w:eastAsia="黑体" w:cs="黑体"/>
          <w:kern w:val="0"/>
          <w:sz w:val="44"/>
          <w:szCs w:val="44"/>
        </w:rPr>
        <w:t>日</w:t>
      </w:r>
    </w:p>
    <w:p>
      <w:pPr>
        <w:rPr>
          <w:rFonts w:ascii="仿宋" w:hAnsi="仿宋" w:eastAsia="仿宋" w:cs="仿宋"/>
          <w:sz w:val="32"/>
          <w:szCs w:val="32"/>
          <w:highlight w:val="none"/>
        </w:rPr>
      </w:pPr>
      <w:r>
        <w:rPr>
          <w:rFonts w:ascii="仿宋" w:hAnsi="仿宋" w:eastAsia="仿宋" w:cs="仿宋"/>
          <w:sz w:val="32"/>
          <w:szCs w:val="32"/>
          <w:highlight w:val="none"/>
        </w:rPr>
        <w:br w:type="page"/>
      </w:r>
    </w:p>
    <w:p>
      <w:pPr>
        <w:jc w:val="center"/>
        <w:rPr>
          <w:rFonts w:ascii="黑体" w:hAnsi="黑体" w:eastAsia="黑体" w:cs="黑体"/>
          <w:b/>
          <w:bCs/>
          <w:sz w:val="36"/>
          <w:szCs w:val="36"/>
          <w:highlight w:val="none"/>
        </w:rPr>
      </w:pPr>
      <w:r>
        <w:rPr>
          <w:rFonts w:hint="eastAsia" w:ascii="黑体" w:hAnsi="黑体" w:eastAsia="黑体" w:cs="黑体"/>
          <w:b/>
          <w:bCs/>
          <w:sz w:val="36"/>
          <w:szCs w:val="36"/>
          <w:highlight w:val="none"/>
        </w:rPr>
        <w:t>目</w:t>
      </w:r>
      <w:r>
        <w:rPr>
          <w:rFonts w:hint="eastAsia" w:ascii="黑体" w:hAnsi="黑体" w:eastAsia="黑体" w:cs="黑体"/>
          <w:b/>
          <w:bCs/>
          <w:sz w:val="36"/>
          <w:szCs w:val="36"/>
          <w:highlight w:val="none"/>
          <w:lang w:val="en-US" w:eastAsia="zh-CN"/>
        </w:rPr>
        <w:t xml:space="preserve">  </w:t>
      </w:r>
      <w:r>
        <w:rPr>
          <w:rFonts w:hint="eastAsia" w:ascii="黑体" w:hAnsi="黑体" w:eastAsia="黑体" w:cs="黑体"/>
          <w:b/>
          <w:bCs/>
          <w:sz w:val="36"/>
          <w:szCs w:val="36"/>
          <w:highlight w:val="none"/>
        </w:rPr>
        <w:t xml:space="preserve"> 录</w:t>
      </w:r>
    </w:p>
    <w:p>
      <w:pPr>
        <w:jc w:val="left"/>
        <w:rPr>
          <w:rFonts w:ascii="黑体" w:hAnsi="黑体" w:eastAsia="黑体" w:cs="黑体"/>
          <w:b/>
          <w:bCs/>
          <w:sz w:val="36"/>
          <w:szCs w:val="36"/>
          <w:highlight w:val="none"/>
        </w:rPr>
      </w:pPr>
    </w:p>
    <w:p>
      <w:pPr>
        <w:jc w:val="left"/>
        <w:rPr>
          <w:rFonts w:ascii="仿宋" w:hAnsi="仿宋" w:eastAsia="仿宋" w:cs="仿宋"/>
          <w:sz w:val="32"/>
          <w:szCs w:val="32"/>
          <w:highlight w:val="none"/>
        </w:rPr>
      </w:pPr>
      <w:r>
        <w:rPr>
          <w:rFonts w:hint="eastAsia" w:ascii="黑体" w:hAnsi="黑体" w:eastAsia="黑体" w:cs="黑体"/>
          <w:sz w:val="32"/>
          <w:szCs w:val="32"/>
          <w:highlight w:val="none"/>
        </w:rPr>
        <w:t>第一部分：</w:t>
      </w:r>
      <w:r>
        <w:rPr>
          <w:rFonts w:ascii="黑体" w:hAnsi="黑体" w:eastAsia="黑体" w:cs="黑体"/>
          <w:sz w:val="32"/>
          <w:u w:color="auto"/>
        </w:rPr>
        <w:t>环江毛南族自治县长美学校</w:t>
      </w:r>
      <w:r>
        <w:rPr>
          <w:rFonts w:hint="eastAsia" w:ascii="黑体" w:hAnsi="黑体" w:eastAsia="黑体" w:cs="黑体"/>
          <w:sz w:val="32"/>
          <w:szCs w:val="32"/>
          <w:highlight w:val="none"/>
        </w:rPr>
        <w:t>概况</w:t>
      </w:r>
    </w:p>
    <w:p>
      <w:pPr>
        <w:jc w:val="left"/>
        <w:rPr>
          <w:rFonts w:ascii="仿宋" w:hAnsi="仿宋" w:eastAsia="仿宋" w:cs="仿宋"/>
          <w:sz w:val="32"/>
          <w:szCs w:val="32"/>
          <w:highlight w:val="none"/>
        </w:rPr>
      </w:pPr>
      <w:r>
        <w:rPr>
          <w:rFonts w:hint="eastAsia" w:ascii="仿宋" w:hAnsi="仿宋" w:eastAsia="仿宋" w:cs="仿宋"/>
          <w:sz w:val="32"/>
          <w:szCs w:val="32"/>
          <w:highlight w:val="none"/>
        </w:rPr>
        <w:t>一、主要职能</w:t>
      </w:r>
    </w:p>
    <w:p>
      <w:pPr>
        <w:jc w:val="left"/>
        <w:rPr>
          <w:rFonts w:ascii="仿宋" w:hAnsi="仿宋" w:eastAsia="仿宋" w:cs="仿宋"/>
          <w:sz w:val="32"/>
          <w:szCs w:val="32"/>
          <w:highlight w:val="none"/>
        </w:rPr>
      </w:pPr>
      <w:r>
        <w:rPr>
          <w:rFonts w:hint="eastAsia" w:ascii="仿宋" w:hAnsi="仿宋" w:eastAsia="仿宋" w:cs="仿宋"/>
          <w:sz w:val="32"/>
          <w:szCs w:val="32"/>
          <w:highlight w:val="none"/>
        </w:rPr>
        <w:t>二、部门决算单位构成</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第二部分：</w:t>
      </w:r>
      <w:r>
        <w:rPr>
          <w:rFonts w:ascii="黑体" w:hAnsi="黑体" w:eastAsia="黑体" w:cs="黑体"/>
          <w:sz w:val="32"/>
          <w:u w:color="auto"/>
        </w:rPr>
        <w:t>环江毛南族自治县长美学校</w:t>
      </w:r>
      <w:r>
        <w:rPr>
          <w:rFonts w:hint="eastAsia" w:ascii="黑体" w:hAnsi="黑体" w:eastAsia="黑体" w:cs="黑体"/>
          <w:sz w:val="32"/>
          <w:szCs w:val="32"/>
          <w:highlight w:val="none"/>
        </w:rPr>
        <w:t>202</w:t>
      </w:r>
      <w:r>
        <w:rPr>
          <w:rFonts w:hint="eastAsia" w:ascii="黑体" w:hAnsi="黑体" w:eastAsia="黑体" w:cs="黑体"/>
          <w:sz w:val="32"/>
          <w:szCs w:val="32"/>
          <w:highlight w:val="none"/>
          <w:lang w:val="en-US" w:eastAsia="zh-CN"/>
        </w:rPr>
        <w:t>3</w:t>
      </w:r>
      <w:r>
        <w:rPr>
          <w:rFonts w:hint="eastAsia" w:ascii="黑体" w:hAnsi="黑体" w:eastAsia="黑体" w:cs="黑体"/>
          <w:sz w:val="32"/>
          <w:szCs w:val="32"/>
          <w:highlight w:val="none"/>
        </w:rPr>
        <w:t>年度部门决算报表</w:t>
      </w:r>
    </w:p>
    <w:p>
      <w:pPr>
        <w:rPr>
          <w:rFonts w:hint="eastAsia" w:ascii="仿宋_GB2312" w:eastAsia="仿宋_GB2312"/>
          <w:sz w:val="32"/>
          <w:szCs w:val="32"/>
          <w:highlight w:val="none"/>
        </w:rPr>
      </w:pPr>
      <w:r>
        <w:rPr>
          <w:rFonts w:hint="eastAsia" w:ascii="仿宋_GB2312" w:eastAsia="仿宋_GB2312"/>
          <w:sz w:val="32"/>
          <w:szCs w:val="32"/>
          <w:highlight w:val="none"/>
        </w:rPr>
        <w:t>表一：收入支出决算总表</w:t>
      </w:r>
    </w:p>
    <w:p>
      <w:pPr>
        <w:rPr>
          <w:rFonts w:hint="eastAsia" w:ascii="仿宋_GB2312" w:eastAsia="仿宋_GB2312"/>
          <w:sz w:val="32"/>
          <w:szCs w:val="32"/>
          <w:highlight w:val="none"/>
        </w:rPr>
      </w:pPr>
      <w:r>
        <w:rPr>
          <w:rFonts w:hint="eastAsia" w:ascii="仿宋_GB2312" w:eastAsia="仿宋_GB2312"/>
          <w:sz w:val="32"/>
          <w:szCs w:val="32"/>
          <w:highlight w:val="none"/>
        </w:rPr>
        <w:t>表二：收入决算表</w:t>
      </w:r>
    </w:p>
    <w:p>
      <w:pPr>
        <w:rPr>
          <w:rFonts w:hint="eastAsia" w:ascii="仿宋_GB2312" w:eastAsia="仿宋_GB2312"/>
          <w:sz w:val="32"/>
          <w:szCs w:val="32"/>
          <w:highlight w:val="none"/>
        </w:rPr>
      </w:pPr>
      <w:r>
        <w:rPr>
          <w:rFonts w:hint="eastAsia" w:ascii="仿宋_GB2312" w:eastAsia="仿宋_GB2312"/>
          <w:sz w:val="32"/>
          <w:szCs w:val="32"/>
          <w:highlight w:val="none"/>
        </w:rPr>
        <w:t>表三：支出决算表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表四：财政拨款收入支出决算总表</w:t>
      </w:r>
    </w:p>
    <w:p>
      <w:pPr>
        <w:rPr>
          <w:rFonts w:hint="eastAsia" w:ascii="仿宋_GB2312" w:eastAsia="仿宋_GB2312"/>
          <w:sz w:val="32"/>
          <w:szCs w:val="32"/>
          <w:highlight w:val="none"/>
        </w:rPr>
      </w:pPr>
      <w:r>
        <w:rPr>
          <w:rFonts w:hint="eastAsia" w:ascii="仿宋_GB2312" w:eastAsia="仿宋_GB2312"/>
          <w:sz w:val="32"/>
          <w:szCs w:val="32"/>
          <w:highlight w:val="none"/>
        </w:rPr>
        <w:t>表五：一般公共预算财政拨款支出决算表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表六：一般公共预算财政拨款基本支出决算明细表</w:t>
      </w:r>
    </w:p>
    <w:p>
      <w:pPr>
        <w:rPr>
          <w:rFonts w:hint="eastAsia" w:ascii="仿宋_GB2312" w:eastAsia="仿宋_GB2312"/>
          <w:sz w:val="32"/>
          <w:szCs w:val="32"/>
          <w:highlight w:val="none"/>
        </w:rPr>
      </w:pPr>
      <w:r>
        <w:rPr>
          <w:rFonts w:hint="eastAsia" w:ascii="仿宋_GB2312" w:eastAsia="仿宋_GB2312"/>
          <w:sz w:val="32"/>
          <w:szCs w:val="32"/>
          <w:highlight w:val="none"/>
        </w:rPr>
        <w:t>表七：政府性基金</w:t>
      </w:r>
      <w:r>
        <w:rPr>
          <w:rFonts w:hint="eastAsia" w:ascii="仿宋_GB2312" w:hAnsi="黑体" w:eastAsia="仿宋_GB2312"/>
          <w:sz w:val="32"/>
          <w:szCs w:val="32"/>
          <w:highlight w:val="none"/>
        </w:rPr>
        <w:t>预算财政拨款</w:t>
      </w:r>
      <w:r>
        <w:rPr>
          <w:rFonts w:hint="eastAsia" w:ascii="仿宋_GB2312" w:eastAsia="仿宋_GB2312"/>
          <w:sz w:val="32"/>
          <w:szCs w:val="32"/>
          <w:highlight w:val="none"/>
        </w:rPr>
        <w:t>收入支出决算表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表八：国有资本经营预算</w:t>
      </w:r>
      <w:r>
        <w:rPr>
          <w:rFonts w:hint="eastAsia" w:ascii="仿宋_GB2312" w:hAnsi="黑体" w:eastAsia="仿宋_GB2312"/>
          <w:sz w:val="32"/>
          <w:szCs w:val="32"/>
          <w:highlight w:val="none"/>
        </w:rPr>
        <w:t>财政拨款</w:t>
      </w:r>
      <w:r>
        <w:rPr>
          <w:rFonts w:hint="eastAsia" w:ascii="仿宋_GB2312" w:eastAsia="仿宋_GB2312"/>
          <w:sz w:val="32"/>
          <w:szCs w:val="32"/>
          <w:highlight w:val="none"/>
        </w:rPr>
        <w:t>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表九：财政拨款“三公”经费支出决算表</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第三部分：</w:t>
      </w:r>
      <w:r>
        <w:rPr>
          <w:rFonts w:ascii="黑体" w:hAnsi="黑体" w:eastAsia="黑体" w:cs="黑体"/>
          <w:sz w:val="32"/>
          <w:u w:color="auto"/>
        </w:rPr>
        <w:t>环江毛南族自治县长美学校</w:t>
      </w:r>
      <w:r>
        <w:rPr>
          <w:rFonts w:hint="eastAsia" w:ascii="黑体" w:hAnsi="黑体" w:eastAsia="黑体" w:cs="黑体"/>
          <w:sz w:val="32"/>
          <w:szCs w:val="32"/>
          <w:highlight w:val="none"/>
        </w:rPr>
        <w:t>202</w:t>
      </w:r>
      <w:r>
        <w:rPr>
          <w:rFonts w:hint="eastAsia" w:ascii="黑体" w:hAnsi="黑体" w:eastAsia="黑体" w:cs="黑体"/>
          <w:sz w:val="32"/>
          <w:szCs w:val="32"/>
          <w:highlight w:val="none"/>
          <w:lang w:val="en-US" w:eastAsia="zh-CN"/>
        </w:rPr>
        <w:t>3</w:t>
      </w:r>
      <w:r>
        <w:rPr>
          <w:rFonts w:hint="eastAsia" w:ascii="黑体" w:hAnsi="黑体" w:eastAsia="黑体" w:cs="黑体"/>
          <w:sz w:val="32"/>
          <w:szCs w:val="32"/>
          <w:highlight w:val="none"/>
        </w:rPr>
        <w:t>年度部门决算情况说明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一、</w:t>
      </w:r>
      <w:r>
        <w:rPr>
          <w:rFonts w:hint="eastAsia" w:ascii="仿宋_GB2312" w:eastAsia="仿宋_GB2312"/>
          <w:kern w:val="0"/>
          <w:sz w:val="32"/>
          <w:szCs w:val="32"/>
          <w:highlight w:val="none"/>
        </w:rPr>
        <w:t>202</w:t>
      </w:r>
      <w:r>
        <w:rPr>
          <w:rFonts w:hint="eastAsia" w:ascii="仿宋_GB2312" w:eastAsia="仿宋_GB2312"/>
          <w:kern w:val="0"/>
          <w:sz w:val="32"/>
          <w:szCs w:val="32"/>
          <w:highlight w:val="none"/>
          <w:lang w:val="en-US" w:eastAsia="zh-CN"/>
        </w:rPr>
        <w:t>3</w:t>
      </w:r>
      <w:r>
        <w:rPr>
          <w:rFonts w:hint="eastAsia" w:ascii="仿宋_GB2312" w:eastAsia="仿宋_GB2312" w:cs="仿宋_GB2312"/>
          <w:kern w:val="0"/>
          <w:sz w:val="32"/>
          <w:szCs w:val="32"/>
          <w:highlight w:val="none"/>
        </w:rPr>
        <w:t>年度收入支出决算总体情况。</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二、</w:t>
      </w:r>
      <w:r>
        <w:rPr>
          <w:rFonts w:hint="eastAsia" w:ascii="仿宋_GB2312" w:eastAsia="仿宋_GB2312"/>
          <w:kern w:val="0"/>
          <w:sz w:val="32"/>
          <w:szCs w:val="32"/>
          <w:highlight w:val="none"/>
        </w:rPr>
        <w:t>20</w:t>
      </w:r>
      <w:r>
        <w:rPr>
          <w:rFonts w:hint="eastAsia" w:ascii="仿宋_GB2312" w:eastAsia="仿宋_GB2312"/>
          <w:kern w:val="0"/>
          <w:sz w:val="32"/>
          <w:szCs w:val="32"/>
          <w:highlight w:val="none"/>
          <w:lang w:val="en-US" w:eastAsia="zh-CN"/>
        </w:rPr>
        <w:t>23</w:t>
      </w:r>
      <w:r>
        <w:rPr>
          <w:rFonts w:hint="eastAsia" w:ascii="仿宋_GB2312" w:eastAsia="仿宋_GB2312" w:cs="仿宋_GB2312"/>
          <w:kern w:val="0"/>
          <w:sz w:val="32"/>
          <w:szCs w:val="32"/>
          <w:highlight w:val="none"/>
        </w:rPr>
        <w:t>年度</w:t>
      </w:r>
      <w:r>
        <w:rPr>
          <w:rFonts w:hint="eastAsia" w:ascii="仿宋_GB2312" w:eastAsia="仿宋_GB2312"/>
          <w:sz w:val="32"/>
          <w:szCs w:val="32"/>
          <w:highlight w:val="none"/>
        </w:rPr>
        <w:t>一般</w:t>
      </w:r>
      <w:r>
        <w:rPr>
          <w:rFonts w:hint="eastAsia" w:ascii="仿宋_GB2312" w:eastAsia="仿宋_GB2312" w:cs="仿宋_GB2312"/>
          <w:kern w:val="0"/>
          <w:sz w:val="32"/>
          <w:szCs w:val="32"/>
          <w:highlight w:val="none"/>
        </w:rPr>
        <w:t>公共预算财政拨款支出决算情况。</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三、20</w:t>
      </w:r>
      <w:r>
        <w:rPr>
          <w:rFonts w:hint="eastAsia" w:ascii="仿宋_GB2312" w:eastAsia="仿宋_GB2312" w:cs="仿宋_GB2312"/>
          <w:kern w:val="0"/>
          <w:sz w:val="32"/>
          <w:szCs w:val="32"/>
          <w:highlight w:val="none"/>
          <w:lang w:val="en-US" w:eastAsia="zh-CN"/>
        </w:rPr>
        <w:t>23</w:t>
      </w:r>
      <w:r>
        <w:rPr>
          <w:rFonts w:hint="eastAsia" w:ascii="仿宋_GB2312" w:eastAsia="仿宋_GB2312" w:cs="仿宋_GB2312"/>
          <w:kern w:val="0"/>
          <w:sz w:val="32"/>
          <w:szCs w:val="32"/>
          <w:highlight w:val="none"/>
        </w:rPr>
        <w:t>年度一般公共预算财政拨款基本支出决算情况说明。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四、</w:t>
      </w:r>
      <w:r>
        <w:rPr>
          <w:rFonts w:hint="eastAsia" w:ascii="仿宋_GB2312" w:eastAsia="仿宋_GB2312"/>
          <w:kern w:val="0"/>
          <w:sz w:val="32"/>
          <w:szCs w:val="32"/>
          <w:highlight w:val="none"/>
        </w:rPr>
        <w:t>20</w:t>
      </w:r>
      <w:r>
        <w:rPr>
          <w:rFonts w:hint="eastAsia" w:ascii="仿宋_GB2312" w:eastAsia="仿宋_GB2312"/>
          <w:kern w:val="0"/>
          <w:sz w:val="32"/>
          <w:szCs w:val="32"/>
          <w:highlight w:val="none"/>
          <w:lang w:val="en-US" w:eastAsia="zh-CN"/>
        </w:rPr>
        <w:t>23</w:t>
      </w:r>
      <w:r>
        <w:rPr>
          <w:rFonts w:hint="eastAsia" w:ascii="仿宋_GB2312" w:eastAsia="仿宋_GB2312" w:cs="仿宋_GB2312"/>
          <w:kern w:val="0"/>
          <w:sz w:val="32"/>
          <w:szCs w:val="32"/>
          <w:highlight w:val="none"/>
        </w:rPr>
        <w:t>年度政府性基金支出决算情况。</w:t>
      </w:r>
    </w:p>
    <w:p>
      <w:pPr>
        <w:autoSpaceDE w:val="0"/>
        <w:autoSpaceDN w:val="0"/>
        <w:adjustRightInd w:val="0"/>
        <w:jc w:val="left"/>
        <w:rPr>
          <w:rFonts w:hint="eastAsia" w:ascii="仿宋_GB2312" w:eastAsia="仿宋_GB2312" w:cs="仿宋_GB2312"/>
          <w:kern w:val="0"/>
          <w:sz w:val="32"/>
          <w:szCs w:val="32"/>
          <w:highlight w:val="none"/>
          <w:lang w:eastAsia="zh-CN"/>
        </w:rPr>
      </w:pPr>
      <w:r>
        <w:rPr>
          <w:rFonts w:hint="eastAsia" w:ascii="仿宋_GB2312" w:eastAsia="仿宋_GB2312" w:cs="仿宋_GB2312"/>
          <w:kern w:val="0"/>
          <w:sz w:val="32"/>
          <w:szCs w:val="32"/>
          <w:highlight w:val="none"/>
        </w:rPr>
        <w:t>五、20</w:t>
      </w:r>
      <w:r>
        <w:rPr>
          <w:rFonts w:hint="eastAsia" w:ascii="仿宋_GB2312" w:eastAsia="仿宋_GB2312" w:cs="仿宋_GB2312"/>
          <w:kern w:val="0"/>
          <w:sz w:val="32"/>
          <w:szCs w:val="32"/>
          <w:highlight w:val="none"/>
          <w:lang w:val="en-US" w:eastAsia="zh-CN"/>
        </w:rPr>
        <w:t>23</w:t>
      </w:r>
      <w:r>
        <w:rPr>
          <w:rFonts w:hint="eastAsia" w:ascii="仿宋_GB2312" w:eastAsia="仿宋_GB2312" w:cs="仿宋_GB2312"/>
          <w:kern w:val="0"/>
          <w:sz w:val="32"/>
          <w:szCs w:val="32"/>
          <w:highlight w:val="none"/>
        </w:rPr>
        <w:t>年度国有资本经营预算支出决算情况</w:t>
      </w:r>
      <w:r>
        <w:rPr>
          <w:rFonts w:hint="eastAsia" w:ascii="仿宋_GB2312" w:eastAsia="仿宋_GB2312" w:cs="仿宋_GB2312"/>
          <w:kern w:val="0"/>
          <w:sz w:val="32"/>
          <w:szCs w:val="32"/>
          <w:highlight w:val="none"/>
          <w:lang w:eastAsia="zh-CN"/>
        </w:rPr>
        <w:t>。</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六、财政拨款“三公”经费支出决算情况说明。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七、其他重要事项情况说明。</w:t>
      </w:r>
    </w:p>
    <w:p>
      <w:pPr>
        <w:jc w:val="left"/>
        <w:rPr>
          <w:rFonts w:hint="eastAsia" w:ascii="仿宋_GB2312" w:eastAsia="仿宋_GB2312" w:cs="仿宋_GB2312"/>
          <w:kern w:val="0"/>
          <w:sz w:val="32"/>
          <w:szCs w:val="32"/>
          <w:highlight w:val="none"/>
          <w:lang w:eastAsia="zh-CN"/>
        </w:rPr>
      </w:pPr>
      <w:r>
        <w:rPr>
          <w:rFonts w:hint="default" w:ascii="仿宋_GB2312" w:eastAsia="仿宋_GB2312" w:cs="仿宋_GB2312"/>
          <w:kern w:val="0"/>
          <w:sz w:val="32"/>
          <w:szCs w:val="32"/>
          <w:highlight w:val="none"/>
        </w:rPr>
        <w:t>八、预算绩效管理工作开展情况</w:t>
      </w:r>
      <w:r>
        <w:rPr>
          <w:rFonts w:hint="eastAsia" w:ascii="仿宋_GB2312" w:eastAsia="仿宋_GB2312" w:cs="仿宋_GB2312"/>
          <w:kern w:val="0"/>
          <w:sz w:val="32"/>
          <w:szCs w:val="32"/>
          <w:highlight w:val="none"/>
          <w:lang w:eastAsia="zh-CN"/>
        </w:rPr>
        <w:t>。</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第四部分：名词解释</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br w:type="page"/>
      </w:r>
    </w:p>
    <w:p>
      <w:pPr>
        <w:jc w:val="center"/>
        <w:rPr>
          <w:rFonts w:ascii="仿宋" w:hAnsi="仿宋" w:eastAsia="仿宋" w:cs="仿宋"/>
          <w:sz w:val="32"/>
          <w:szCs w:val="32"/>
          <w:highlight w:val="none"/>
        </w:rPr>
      </w:pPr>
      <w:r>
        <w:rPr>
          <w:rFonts w:hint="eastAsia" w:ascii="黑体" w:hAnsi="黑体" w:eastAsia="黑体" w:cs="黑体"/>
          <w:b/>
          <w:bCs/>
          <w:sz w:val="32"/>
          <w:szCs w:val="32"/>
          <w:highlight w:val="none"/>
        </w:rPr>
        <w:t>第一部分：</w:t>
      </w:r>
      <w:r>
        <w:rPr>
          <w:rFonts w:ascii="黑体" w:hAnsi="黑体" w:eastAsia="黑体" w:cs="黑体"/>
          <w:b/>
          <w:sz w:val="32"/>
          <w:u w:color="auto"/>
        </w:rPr>
        <w:t>环江毛南族自治县长美学校</w:t>
      </w:r>
      <w:r>
        <w:rPr>
          <w:rFonts w:hint="eastAsia" w:ascii="黑体" w:hAnsi="黑体" w:eastAsia="黑体" w:cs="黑体"/>
          <w:b/>
          <w:bCs/>
          <w:sz w:val="32"/>
          <w:szCs w:val="32"/>
          <w:highlight w:val="none"/>
        </w:rPr>
        <w:t>概况</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一、主要职能</w:t>
      </w:r>
    </w:p>
    <w:p>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left"/>
        <w:textAlignment w:val="auto"/>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rPr>
        <w:t>（一）贯彻执行党和国家的教育方针、政策和法律法规；拟订全</w:t>
      </w:r>
      <w:r>
        <w:rPr>
          <w:rFonts w:hint="eastAsia" w:ascii="仿宋_GB2312" w:eastAsia="仿宋_GB2312" w:cs="仿宋_GB2312"/>
          <w:kern w:val="0"/>
          <w:sz w:val="32"/>
          <w:szCs w:val="32"/>
          <w:lang w:eastAsia="zh-CN"/>
        </w:rPr>
        <w:t>乡</w:t>
      </w:r>
      <w:r>
        <w:rPr>
          <w:rFonts w:hint="eastAsia" w:ascii="仿宋_GB2312" w:eastAsia="仿宋_GB2312" w:cs="仿宋_GB2312"/>
          <w:kern w:val="0"/>
          <w:sz w:val="32"/>
          <w:szCs w:val="32"/>
        </w:rPr>
        <w:t>教育改革与发展规划并组织实施。</w:t>
      </w:r>
    </w:p>
    <w:p>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left"/>
        <w:textAlignment w:val="auto"/>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rPr>
        <w:t> （二）编制本</w:t>
      </w:r>
      <w:r>
        <w:rPr>
          <w:rFonts w:hint="eastAsia" w:ascii="仿宋_GB2312" w:eastAsia="仿宋_GB2312" w:cs="仿宋_GB2312"/>
          <w:kern w:val="0"/>
          <w:sz w:val="32"/>
          <w:szCs w:val="32"/>
          <w:lang w:val="en-US" w:eastAsia="zh-CN"/>
        </w:rPr>
        <w:t>乡</w:t>
      </w:r>
      <w:r>
        <w:rPr>
          <w:rFonts w:hint="eastAsia" w:ascii="仿宋_GB2312" w:eastAsia="仿宋_GB2312" w:cs="仿宋_GB2312"/>
          <w:kern w:val="0"/>
          <w:sz w:val="32"/>
          <w:szCs w:val="32"/>
        </w:rPr>
        <w:t>教育事业发展规划并检查实施情况，向自治县</w:t>
      </w:r>
      <w:r>
        <w:rPr>
          <w:rFonts w:hint="eastAsia" w:ascii="仿宋_GB2312" w:eastAsia="仿宋_GB2312" w:cs="仿宋_GB2312"/>
          <w:kern w:val="0"/>
          <w:sz w:val="32"/>
          <w:szCs w:val="32"/>
          <w:lang w:val="en-US" w:eastAsia="zh-CN"/>
        </w:rPr>
        <w:t>教育局</w:t>
      </w:r>
      <w:r>
        <w:rPr>
          <w:rFonts w:hint="eastAsia" w:ascii="仿宋_GB2312" w:eastAsia="仿宋_GB2312" w:cs="仿宋_GB2312"/>
          <w:kern w:val="0"/>
          <w:sz w:val="32"/>
          <w:szCs w:val="32"/>
        </w:rPr>
        <w:t>和上级教育部门作出报告。</w:t>
      </w:r>
    </w:p>
    <w:p>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left"/>
        <w:textAlignment w:val="auto"/>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rPr>
        <w:t> （三）督促检查全</w:t>
      </w:r>
      <w:r>
        <w:rPr>
          <w:rFonts w:hint="eastAsia" w:ascii="仿宋_GB2312" w:eastAsia="仿宋_GB2312" w:cs="仿宋_GB2312"/>
          <w:kern w:val="0"/>
          <w:sz w:val="32"/>
          <w:szCs w:val="32"/>
          <w:lang w:eastAsia="zh-CN"/>
        </w:rPr>
        <w:t>乡</w:t>
      </w:r>
      <w:r>
        <w:rPr>
          <w:rFonts w:hint="eastAsia" w:ascii="仿宋_GB2312" w:eastAsia="仿宋_GB2312" w:cs="仿宋_GB2312"/>
          <w:kern w:val="0"/>
          <w:sz w:val="32"/>
          <w:szCs w:val="32"/>
        </w:rPr>
        <w:t>贯彻执行教育方针、政策、法令、法规和上级的各项规定；评估指导全</w:t>
      </w:r>
      <w:r>
        <w:rPr>
          <w:rFonts w:hint="eastAsia" w:ascii="仿宋_GB2312" w:eastAsia="仿宋_GB2312" w:cs="仿宋_GB2312"/>
          <w:kern w:val="0"/>
          <w:sz w:val="32"/>
          <w:szCs w:val="32"/>
          <w:lang w:eastAsia="zh-CN"/>
        </w:rPr>
        <w:t>乡</w:t>
      </w:r>
      <w:r>
        <w:rPr>
          <w:rFonts w:hint="eastAsia" w:ascii="仿宋_GB2312" w:eastAsia="仿宋_GB2312" w:cs="仿宋_GB2312"/>
          <w:kern w:val="0"/>
          <w:sz w:val="32"/>
          <w:szCs w:val="32"/>
        </w:rPr>
        <w:t>教育教学工作。</w:t>
      </w:r>
    </w:p>
    <w:p>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left"/>
        <w:textAlignment w:val="auto"/>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rPr>
        <w:t>  （四）负责推进义务教育均衡发展和促进教育公平，负责义务教育的宏观指导与协调。</w:t>
      </w:r>
    </w:p>
    <w:p>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left"/>
        <w:textAlignment w:val="auto"/>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rPr>
        <w:t>  （五）负责全</w:t>
      </w:r>
      <w:r>
        <w:rPr>
          <w:rFonts w:hint="eastAsia" w:ascii="仿宋_GB2312" w:eastAsia="仿宋_GB2312" w:cs="仿宋_GB2312"/>
          <w:kern w:val="0"/>
          <w:sz w:val="32"/>
          <w:szCs w:val="32"/>
          <w:lang w:eastAsia="zh-CN"/>
        </w:rPr>
        <w:t>乡</w:t>
      </w:r>
      <w:r>
        <w:rPr>
          <w:rFonts w:hint="eastAsia" w:ascii="仿宋_GB2312" w:eastAsia="仿宋_GB2312" w:cs="仿宋_GB2312"/>
          <w:kern w:val="0"/>
          <w:sz w:val="32"/>
          <w:szCs w:val="32"/>
        </w:rPr>
        <w:t>教育系统校长队伍、人才队伍和教师队伍建设，包括校长岗位培训、后备干部队伍建设、教师学历教育、继续教育等。</w:t>
      </w:r>
    </w:p>
    <w:p>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left"/>
        <w:textAlignment w:val="auto"/>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rPr>
        <w:t> （六）负责组织全</w:t>
      </w:r>
      <w:r>
        <w:rPr>
          <w:rFonts w:hint="eastAsia" w:ascii="仿宋_GB2312" w:eastAsia="仿宋_GB2312" w:cs="仿宋_GB2312"/>
          <w:kern w:val="0"/>
          <w:sz w:val="32"/>
          <w:szCs w:val="32"/>
          <w:lang w:eastAsia="zh-CN"/>
        </w:rPr>
        <w:t>乡</w:t>
      </w:r>
      <w:r>
        <w:rPr>
          <w:rFonts w:hint="eastAsia" w:ascii="仿宋_GB2312" w:eastAsia="仿宋_GB2312" w:cs="仿宋_GB2312"/>
          <w:kern w:val="0"/>
          <w:sz w:val="32"/>
          <w:szCs w:val="32"/>
        </w:rPr>
        <w:t>做好中考、招生录取工作和中小学学籍管理工作。</w:t>
      </w:r>
    </w:p>
    <w:p>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left"/>
        <w:textAlignment w:val="auto"/>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rPr>
        <w:t>  （七）按照中央关于全面推进素质教育要求，负责教育教学管理、教育教学改革及教育教学科学研究工作，检查指导全</w:t>
      </w:r>
      <w:r>
        <w:rPr>
          <w:rFonts w:hint="eastAsia" w:ascii="仿宋_GB2312" w:eastAsia="仿宋_GB2312" w:cs="仿宋_GB2312"/>
          <w:kern w:val="0"/>
          <w:sz w:val="32"/>
          <w:szCs w:val="32"/>
          <w:lang w:eastAsia="zh-CN"/>
        </w:rPr>
        <w:t>乡</w:t>
      </w:r>
      <w:r>
        <w:rPr>
          <w:rFonts w:hint="eastAsia" w:ascii="仿宋_GB2312" w:eastAsia="仿宋_GB2312" w:cs="仿宋_GB2312"/>
          <w:kern w:val="0"/>
          <w:sz w:val="32"/>
          <w:szCs w:val="32"/>
        </w:rPr>
        <w:t>实施素质教育工作，并组织推广先进的教育教学经验。</w:t>
      </w:r>
    </w:p>
    <w:p>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left"/>
        <w:textAlignment w:val="auto"/>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rPr>
        <w:t>  （八）检查指导学校教育教学设备的装备、管理和使用工作。</w:t>
      </w:r>
    </w:p>
    <w:p>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left"/>
        <w:textAlignment w:val="auto"/>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rPr>
        <w:t> （九）检查指导全</w:t>
      </w:r>
      <w:r>
        <w:rPr>
          <w:rFonts w:hint="eastAsia" w:ascii="仿宋_GB2312" w:eastAsia="仿宋_GB2312" w:cs="仿宋_GB2312"/>
          <w:kern w:val="0"/>
          <w:sz w:val="32"/>
          <w:szCs w:val="32"/>
          <w:lang w:eastAsia="zh-CN"/>
        </w:rPr>
        <w:t>乡</w:t>
      </w:r>
      <w:r>
        <w:rPr>
          <w:rFonts w:hint="eastAsia" w:ascii="仿宋_GB2312" w:eastAsia="仿宋_GB2312" w:cs="仿宋_GB2312"/>
          <w:kern w:val="0"/>
          <w:sz w:val="32"/>
          <w:szCs w:val="32"/>
        </w:rPr>
        <w:t>开展电化教育和信息化教学工作。</w:t>
      </w:r>
    </w:p>
    <w:p>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left"/>
        <w:textAlignment w:val="auto"/>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rPr>
        <w:t>  （十）负责全</w:t>
      </w:r>
      <w:r>
        <w:rPr>
          <w:rFonts w:hint="eastAsia" w:ascii="仿宋_GB2312" w:eastAsia="仿宋_GB2312" w:cs="仿宋_GB2312"/>
          <w:kern w:val="0"/>
          <w:sz w:val="32"/>
          <w:szCs w:val="32"/>
          <w:lang w:eastAsia="zh-CN"/>
        </w:rPr>
        <w:t>乡</w:t>
      </w:r>
      <w:r>
        <w:rPr>
          <w:rFonts w:hint="eastAsia" w:ascii="仿宋_GB2312" w:eastAsia="仿宋_GB2312" w:cs="仿宋_GB2312"/>
          <w:kern w:val="0"/>
          <w:sz w:val="32"/>
          <w:szCs w:val="32"/>
        </w:rPr>
        <w:t>教师初级专业技术职务资格的评审，中、高级专业技术职务资格的申报工作。按照管理权限对教师进行考核、聘任、奖惩、晋升等工作。</w:t>
      </w:r>
    </w:p>
    <w:p>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left"/>
        <w:textAlignment w:val="auto"/>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rPr>
        <w:t>  （十一）负责监督</w:t>
      </w:r>
      <w:r>
        <w:rPr>
          <w:rFonts w:hint="eastAsia" w:ascii="仿宋_GB2312" w:eastAsia="仿宋_GB2312" w:cs="仿宋_GB2312"/>
          <w:kern w:val="0"/>
          <w:sz w:val="32"/>
          <w:szCs w:val="32"/>
          <w:lang w:val="en-US" w:eastAsia="zh-CN"/>
        </w:rPr>
        <w:t>全乡</w:t>
      </w:r>
      <w:r>
        <w:rPr>
          <w:rFonts w:hint="eastAsia" w:ascii="仿宋_GB2312" w:eastAsia="仿宋_GB2312" w:cs="仿宋_GB2312"/>
          <w:kern w:val="0"/>
          <w:sz w:val="32"/>
          <w:szCs w:val="32"/>
        </w:rPr>
        <w:t>教育经费和教育基建经费拨付及教育附加费和教育费附加的征收、管理与使用工作。</w:t>
      </w:r>
    </w:p>
    <w:p>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left"/>
        <w:textAlignment w:val="auto"/>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rPr>
        <w:t>  （十二）负责全</w:t>
      </w:r>
      <w:r>
        <w:rPr>
          <w:rFonts w:hint="eastAsia" w:ascii="仿宋_GB2312" w:eastAsia="仿宋_GB2312" w:cs="仿宋_GB2312"/>
          <w:kern w:val="0"/>
          <w:sz w:val="32"/>
          <w:szCs w:val="32"/>
          <w:lang w:eastAsia="zh-CN"/>
        </w:rPr>
        <w:t>乡</w:t>
      </w:r>
      <w:r>
        <w:rPr>
          <w:rFonts w:hint="eastAsia" w:ascii="仿宋_GB2312" w:eastAsia="仿宋_GB2312" w:cs="仿宋_GB2312"/>
          <w:kern w:val="0"/>
          <w:sz w:val="32"/>
          <w:szCs w:val="32"/>
        </w:rPr>
        <w:t>中小学校教学教育常规管理评估工作，指导全</w:t>
      </w:r>
      <w:r>
        <w:rPr>
          <w:rFonts w:hint="eastAsia" w:ascii="仿宋_GB2312" w:eastAsia="仿宋_GB2312" w:cs="仿宋_GB2312"/>
          <w:kern w:val="0"/>
          <w:sz w:val="32"/>
          <w:szCs w:val="32"/>
          <w:lang w:eastAsia="zh-CN"/>
        </w:rPr>
        <w:t>乡</w:t>
      </w:r>
      <w:r>
        <w:rPr>
          <w:rFonts w:hint="eastAsia" w:ascii="仿宋_GB2312" w:eastAsia="仿宋_GB2312" w:cs="仿宋_GB2312"/>
          <w:kern w:val="0"/>
          <w:sz w:val="32"/>
          <w:szCs w:val="32"/>
        </w:rPr>
        <w:t>中小学、中职学校德育、体育、卫生、艺术、安全工作以及团组织和少先队工作。</w:t>
      </w:r>
    </w:p>
    <w:p>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left"/>
        <w:textAlignment w:val="auto"/>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rPr>
        <w:t>  （十三）指导全</w:t>
      </w:r>
      <w:r>
        <w:rPr>
          <w:rFonts w:hint="eastAsia" w:ascii="仿宋_GB2312" w:eastAsia="仿宋_GB2312" w:cs="仿宋_GB2312"/>
          <w:kern w:val="0"/>
          <w:sz w:val="32"/>
          <w:szCs w:val="32"/>
          <w:lang w:eastAsia="zh-CN"/>
        </w:rPr>
        <w:t>乡</w:t>
      </w:r>
      <w:r>
        <w:rPr>
          <w:rFonts w:hint="eastAsia" w:ascii="仿宋_GB2312" w:eastAsia="仿宋_GB2312" w:cs="仿宋_GB2312"/>
          <w:kern w:val="0"/>
          <w:sz w:val="32"/>
          <w:szCs w:val="32"/>
        </w:rPr>
        <w:t>的教育督导工作，组织和指导对</w:t>
      </w:r>
      <w:r>
        <w:rPr>
          <w:rFonts w:hint="eastAsia" w:ascii="仿宋_GB2312" w:eastAsia="仿宋_GB2312" w:cs="仿宋_GB2312"/>
          <w:kern w:val="0"/>
          <w:sz w:val="32"/>
          <w:szCs w:val="32"/>
          <w:lang w:val="en-US" w:eastAsia="zh-CN"/>
        </w:rPr>
        <w:t>基础</w:t>
      </w:r>
      <w:r>
        <w:rPr>
          <w:rFonts w:hint="eastAsia" w:ascii="仿宋_GB2312" w:eastAsia="仿宋_GB2312" w:cs="仿宋_GB2312"/>
          <w:kern w:val="0"/>
          <w:sz w:val="32"/>
          <w:szCs w:val="32"/>
        </w:rPr>
        <w:t>教育，扫除青壮年文盲工作的督导检查和评估工作，指导基础教育发展水平、质量的监测工作。</w:t>
      </w:r>
    </w:p>
    <w:p>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left"/>
        <w:textAlignment w:val="auto"/>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rPr>
        <w:t>（十</w:t>
      </w:r>
      <w:r>
        <w:rPr>
          <w:rFonts w:hint="eastAsia" w:ascii="仿宋_GB2312" w:eastAsia="仿宋_GB2312" w:cs="仿宋_GB2312"/>
          <w:kern w:val="0"/>
          <w:sz w:val="32"/>
          <w:szCs w:val="32"/>
          <w:lang w:val="en-US" w:eastAsia="zh-CN"/>
        </w:rPr>
        <w:t>四</w:t>
      </w:r>
      <w:r>
        <w:rPr>
          <w:rFonts w:hint="eastAsia" w:ascii="仿宋_GB2312" w:eastAsia="仿宋_GB2312" w:cs="仿宋_GB2312"/>
          <w:kern w:val="0"/>
          <w:sz w:val="32"/>
          <w:szCs w:val="32"/>
        </w:rPr>
        <w:t>）负责指导全</w:t>
      </w:r>
      <w:r>
        <w:rPr>
          <w:rFonts w:hint="eastAsia" w:ascii="仿宋_GB2312" w:eastAsia="仿宋_GB2312" w:cs="仿宋_GB2312"/>
          <w:kern w:val="0"/>
          <w:sz w:val="32"/>
          <w:szCs w:val="32"/>
          <w:lang w:eastAsia="zh-CN"/>
        </w:rPr>
        <w:t>乡</w:t>
      </w:r>
      <w:r>
        <w:rPr>
          <w:rFonts w:hint="eastAsia" w:ascii="仿宋_GB2312" w:eastAsia="仿宋_GB2312" w:cs="仿宋_GB2312"/>
          <w:kern w:val="0"/>
          <w:sz w:val="32"/>
          <w:szCs w:val="32"/>
        </w:rPr>
        <w:t>学生资助管理工作。</w:t>
      </w:r>
    </w:p>
    <w:p>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left"/>
        <w:textAlignment w:val="auto"/>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rPr>
        <w:t>（十</w:t>
      </w:r>
      <w:r>
        <w:rPr>
          <w:rFonts w:hint="eastAsia" w:ascii="仿宋_GB2312" w:eastAsia="仿宋_GB2312" w:cs="仿宋_GB2312"/>
          <w:kern w:val="0"/>
          <w:sz w:val="32"/>
          <w:szCs w:val="32"/>
          <w:lang w:val="en-US" w:eastAsia="zh-CN"/>
        </w:rPr>
        <w:t>五</w:t>
      </w:r>
      <w:r>
        <w:rPr>
          <w:rFonts w:hint="eastAsia" w:ascii="仿宋_GB2312" w:eastAsia="仿宋_GB2312" w:cs="仿宋_GB2312"/>
          <w:kern w:val="0"/>
          <w:sz w:val="32"/>
          <w:szCs w:val="32"/>
        </w:rPr>
        <w:t>）负责语言文字和指导推广普通话工作。</w:t>
      </w:r>
    </w:p>
    <w:p>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left"/>
        <w:textAlignment w:val="auto"/>
        <w:rPr>
          <w:rFonts w:hint="eastAsia" w:ascii="仿宋_GB2312" w:eastAsia="仿宋_GB2312" w:cs="仿宋_GB2312"/>
          <w:kern w:val="0"/>
          <w:sz w:val="32"/>
          <w:szCs w:val="32"/>
        </w:rPr>
      </w:pPr>
      <w:r>
        <w:rPr>
          <w:rFonts w:hint="eastAsia" w:ascii="仿宋_GB2312" w:eastAsia="仿宋_GB2312" w:cs="仿宋_GB2312"/>
          <w:kern w:val="0"/>
          <w:sz w:val="32"/>
          <w:szCs w:val="32"/>
        </w:rPr>
        <w:t>（十</w:t>
      </w:r>
      <w:r>
        <w:rPr>
          <w:rFonts w:hint="eastAsia" w:ascii="仿宋_GB2312" w:eastAsia="仿宋_GB2312" w:cs="仿宋_GB2312"/>
          <w:kern w:val="0"/>
          <w:sz w:val="32"/>
          <w:szCs w:val="32"/>
          <w:lang w:val="en-US" w:eastAsia="zh-CN"/>
        </w:rPr>
        <w:t>六</w:t>
      </w:r>
      <w:r>
        <w:rPr>
          <w:rFonts w:hint="eastAsia" w:ascii="仿宋_GB2312" w:eastAsia="仿宋_GB2312" w:cs="仿宋_GB2312"/>
          <w:kern w:val="0"/>
          <w:sz w:val="32"/>
          <w:szCs w:val="32"/>
        </w:rPr>
        <w:t>）完成自治县</w:t>
      </w:r>
      <w:r>
        <w:rPr>
          <w:rFonts w:hint="eastAsia" w:ascii="仿宋_GB2312" w:eastAsia="仿宋_GB2312" w:cs="仿宋_GB2312"/>
          <w:kern w:val="0"/>
          <w:sz w:val="32"/>
          <w:szCs w:val="32"/>
          <w:lang w:val="en-US" w:eastAsia="zh-CN"/>
        </w:rPr>
        <w:t>教育局</w:t>
      </w:r>
      <w:r>
        <w:rPr>
          <w:rFonts w:hint="eastAsia" w:ascii="仿宋_GB2312" w:eastAsia="仿宋_GB2312" w:cs="仿宋_GB2312"/>
          <w:kern w:val="0"/>
          <w:sz w:val="32"/>
          <w:szCs w:val="32"/>
        </w:rPr>
        <w:t>交办的其他工作。</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二、部门决算单位构成</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55" w:lineRule="atLeast"/>
        <w:ind w:left="0" w:right="0" w:firstLine="640" w:firstLineChars="200"/>
        <w:jc w:val="left"/>
        <w:textAlignment w:val="auto"/>
        <w:rPr>
          <w:rFonts w:hint="eastAsia" w:ascii="仿宋" w:hAnsi="仿宋" w:eastAsia="仿宋" w:cs="仿宋"/>
          <w:sz w:val="32"/>
          <w:szCs w:val="32"/>
          <w:highlight w:val="none"/>
          <w:lang w:val="en-US" w:eastAsia="zh-CN"/>
        </w:rPr>
      </w:pPr>
      <w:r>
        <w:rPr>
          <w:rFonts w:hint="eastAsia" w:ascii="仿宋_GB2312" w:eastAsia="仿宋_GB2312"/>
          <w:sz w:val="32"/>
          <w:szCs w:val="32"/>
        </w:rPr>
        <w:t>人员编制总数为</w:t>
      </w:r>
      <w:r>
        <w:rPr>
          <w:rFonts w:hint="eastAsia" w:ascii="仿宋_GB2312" w:eastAsia="仿宋_GB2312"/>
          <w:sz w:val="32"/>
          <w:szCs w:val="32"/>
          <w:lang w:val="en-US" w:eastAsia="zh-CN"/>
        </w:rPr>
        <w:t>77</w:t>
      </w:r>
      <w:r>
        <w:rPr>
          <w:rFonts w:hint="eastAsia" w:ascii="仿宋_GB2312" w:eastAsia="仿宋_GB2312"/>
          <w:sz w:val="32"/>
          <w:szCs w:val="32"/>
        </w:rPr>
        <w:t>人，其中行政编制</w:t>
      </w:r>
      <w:r>
        <w:rPr>
          <w:rFonts w:hint="eastAsia" w:ascii="仿宋_GB2312" w:eastAsia="仿宋_GB2312"/>
          <w:sz w:val="32"/>
          <w:szCs w:val="32"/>
          <w:lang w:val="en-US" w:eastAsia="zh-CN"/>
        </w:rPr>
        <w:t>0</w:t>
      </w:r>
      <w:r>
        <w:rPr>
          <w:rFonts w:hint="eastAsia" w:ascii="仿宋_GB2312" w:eastAsia="仿宋_GB2312"/>
          <w:sz w:val="32"/>
          <w:szCs w:val="32"/>
        </w:rPr>
        <w:t>人，事业编制</w:t>
      </w:r>
      <w:r>
        <w:rPr>
          <w:rFonts w:hint="eastAsia" w:ascii="仿宋_GB2312" w:eastAsia="仿宋_GB2312"/>
          <w:sz w:val="32"/>
          <w:szCs w:val="32"/>
          <w:lang w:val="en-US" w:eastAsia="zh-CN"/>
        </w:rPr>
        <w:t>63</w:t>
      </w:r>
      <w:r>
        <w:rPr>
          <w:rFonts w:hint="eastAsia" w:ascii="仿宋_GB2312" w:eastAsia="仿宋_GB2312"/>
          <w:sz w:val="32"/>
          <w:szCs w:val="32"/>
        </w:rPr>
        <w:t>人，聘用</w:t>
      </w:r>
      <w:r>
        <w:rPr>
          <w:rFonts w:hint="eastAsia" w:ascii="仿宋_GB2312" w:eastAsia="仿宋_GB2312"/>
          <w:sz w:val="32"/>
          <w:szCs w:val="32"/>
          <w:lang w:val="en-US" w:eastAsia="zh-CN"/>
        </w:rPr>
        <w:t>教师</w:t>
      </w:r>
      <w:r>
        <w:rPr>
          <w:rFonts w:hint="eastAsia" w:ascii="仿宋_GB2312" w:eastAsia="仿宋_GB2312"/>
          <w:sz w:val="32"/>
          <w:szCs w:val="32"/>
        </w:rPr>
        <w:t>控制数</w:t>
      </w:r>
      <w:r>
        <w:rPr>
          <w:rFonts w:hint="eastAsia" w:ascii="仿宋_GB2312" w:eastAsia="仿宋_GB2312"/>
          <w:sz w:val="32"/>
          <w:szCs w:val="32"/>
          <w:lang w:val="en-US" w:eastAsia="zh-CN"/>
        </w:rPr>
        <w:t>14</w:t>
      </w:r>
      <w:r>
        <w:rPr>
          <w:rFonts w:hint="eastAsia" w:ascii="仿宋_GB2312" w:eastAsia="仿宋_GB2312"/>
          <w:sz w:val="32"/>
          <w:szCs w:val="32"/>
        </w:rPr>
        <w:t>人。实有财政供养人数</w:t>
      </w:r>
      <w:r>
        <w:rPr>
          <w:rFonts w:hint="eastAsia" w:ascii="仿宋_GB2312" w:eastAsia="仿宋_GB2312"/>
          <w:sz w:val="32"/>
          <w:szCs w:val="32"/>
          <w:lang w:val="en-US" w:eastAsia="zh-CN"/>
        </w:rPr>
        <w:t>120</w:t>
      </w:r>
      <w:r>
        <w:rPr>
          <w:rFonts w:hint="eastAsia" w:ascii="仿宋_GB2312" w:eastAsia="仿宋_GB2312"/>
          <w:sz w:val="32"/>
          <w:szCs w:val="32"/>
        </w:rPr>
        <w:t>人，其中行政在职</w:t>
      </w:r>
      <w:r>
        <w:rPr>
          <w:rFonts w:hint="eastAsia" w:ascii="仿宋_GB2312" w:eastAsia="仿宋_GB2312"/>
          <w:sz w:val="32"/>
          <w:szCs w:val="32"/>
          <w:lang w:val="en-US" w:eastAsia="zh-CN"/>
        </w:rPr>
        <w:t>0</w:t>
      </w:r>
      <w:r>
        <w:rPr>
          <w:rFonts w:hint="eastAsia" w:ascii="仿宋_GB2312" w:eastAsia="仿宋_GB2312"/>
          <w:sz w:val="32"/>
          <w:szCs w:val="32"/>
        </w:rPr>
        <w:t>人，事业在职</w:t>
      </w:r>
      <w:r>
        <w:rPr>
          <w:rFonts w:hint="eastAsia" w:ascii="仿宋_GB2312" w:eastAsia="仿宋_GB2312"/>
          <w:sz w:val="32"/>
          <w:szCs w:val="32"/>
          <w:lang w:val="en-US" w:eastAsia="zh-CN"/>
        </w:rPr>
        <w:t>76</w:t>
      </w:r>
      <w:r>
        <w:rPr>
          <w:rFonts w:hint="eastAsia" w:ascii="仿宋_GB2312" w:eastAsia="仿宋_GB2312"/>
          <w:sz w:val="32"/>
          <w:szCs w:val="32"/>
        </w:rPr>
        <w:t>人，离退休人员</w:t>
      </w:r>
      <w:r>
        <w:rPr>
          <w:rFonts w:hint="eastAsia" w:ascii="仿宋_GB2312" w:eastAsia="仿宋_GB2312"/>
          <w:sz w:val="32"/>
          <w:szCs w:val="32"/>
          <w:lang w:val="en-US" w:eastAsia="zh-CN"/>
        </w:rPr>
        <w:t>37</w:t>
      </w:r>
      <w:r>
        <w:rPr>
          <w:rFonts w:hint="eastAsia" w:ascii="仿宋_GB2312" w:eastAsia="仿宋_GB2312"/>
          <w:sz w:val="32"/>
          <w:szCs w:val="32"/>
        </w:rPr>
        <w:t>人（其中离休</w:t>
      </w:r>
      <w:r>
        <w:rPr>
          <w:rFonts w:hint="eastAsia" w:ascii="仿宋_GB2312" w:eastAsia="仿宋_GB2312"/>
          <w:sz w:val="32"/>
          <w:szCs w:val="32"/>
          <w:lang w:val="en-US" w:eastAsia="zh-CN"/>
        </w:rPr>
        <w:t>0</w:t>
      </w:r>
      <w:r>
        <w:rPr>
          <w:rFonts w:hint="eastAsia" w:ascii="仿宋_GB2312" w:eastAsia="仿宋_GB2312"/>
          <w:sz w:val="32"/>
          <w:szCs w:val="32"/>
        </w:rPr>
        <w:t>人）</w:t>
      </w:r>
      <w:r>
        <w:rPr>
          <w:rFonts w:hint="eastAsia" w:ascii="仿宋_GB2312" w:eastAsia="仿宋_GB2312"/>
          <w:sz w:val="32"/>
          <w:szCs w:val="32"/>
          <w:lang w:eastAsia="zh-CN"/>
        </w:rPr>
        <w:t>，</w:t>
      </w:r>
      <w:r>
        <w:rPr>
          <w:rFonts w:hint="eastAsia" w:ascii="仿宋_GB2312" w:eastAsia="仿宋_GB2312"/>
          <w:sz w:val="32"/>
          <w:szCs w:val="32"/>
          <w:lang w:val="en-US" w:eastAsia="zh-CN"/>
        </w:rPr>
        <w:t>特岗教师</w:t>
      </w:r>
      <w:r>
        <w:rPr>
          <w:rFonts w:hint="eastAsia" w:ascii="仿宋_GB2312" w:eastAsia="仿宋_GB2312"/>
          <w:sz w:val="32"/>
          <w:szCs w:val="32"/>
        </w:rPr>
        <w:t>实有人数</w:t>
      </w:r>
      <w:r>
        <w:rPr>
          <w:rFonts w:hint="eastAsia" w:ascii="仿宋_GB2312" w:eastAsia="仿宋_GB2312"/>
          <w:sz w:val="32"/>
          <w:szCs w:val="32"/>
          <w:lang w:val="en-US" w:eastAsia="zh-CN"/>
        </w:rPr>
        <w:t>7</w:t>
      </w:r>
      <w:r>
        <w:rPr>
          <w:rFonts w:hint="eastAsia" w:ascii="仿宋_GB2312" w:eastAsia="仿宋_GB2312"/>
          <w:sz w:val="32"/>
          <w:szCs w:val="32"/>
        </w:rPr>
        <w:t>人。</w:t>
      </w:r>
      <w:r>
        <w:rPr>
          <w:rFonts w:hint="eastAsia" w:ascii="仿宋_GB2312" w:hAnsi="宋体" w:eastAsia="仿宋_GB2312" w:cs="宋体"/>
          <w:sz w:val="32"/>
          <w:szCs w:val="32"/>
          <w:lang w:eastAsia="zh-CN"/>
        </w:rPr>
        <w:t>学校专职保安人员</w:t>
      </w:r>
      <w:r>
        <w:rPr>
          <w:rFonts w:hint="eastAsia" w:ascii="仿宋_GB2312" w:hAnsi="宋体" w:eastAsia="仿宋_GB2312" w:cs="宋体"/>
          <w:sz w:val="32"/>
          <w:szCs w:val="32"/>
          <w:lang w:val="en-US" w:eastAsia="zh-CN"/>
        </w:rPr>
        <w:t>7</w:t>
      </w:r>
      <w:r>
        <w:rPr>
          <w:rFonts w:hint="eastAsia" w:ascii="仿宋_GB2312" w:hAnsi="宋体" w:eastAsia="仿宋_GB2312" w:cs="宋体"/>
          <w:sz w:val="32"/>
          <w:szCs w:val="32"/>
          <w:lang w:eastAsia="zh-CN"/>
        </w:rPr>
        <w:t>人，兼职协管人员</w:t>
      </w:r>
      <w:r>
        <w:rPr>
          <w:rFonts w:hint="eastAsia" w:ascii="仿宋_GB2312" w:hAnsi="宋体" w:eastAsia="仿宋_GB2312" w:cs="宋体"/>
          <w:sz w:val="32"/>
          <w:szCs w:val="32"/>
          <w:lang w:val="en-US" w:eastAsia="zh-CN"/>
        </w:rPr>
        <w:t>4</w:t>
      </w:r>
      <w:r>
        <w:rPr>
          <w:rFonts w:hint="eastAsia" w:ascii="仿宋_GB2312" w:hAnsi="宋体" w:eastAsia="仿宋_GB2312" w:cs="宋体"/>
          <w:sz w:val="32"/>
          <w:szCs w:val="32"/>
          <w:lang w:eastAsia="zh-CN"/>
        </w:rPr>
        <w:t>人，食堂钟点工</w:t>
      </w:r>
      <w:r>
        <w:rPr>
          <w:rFonts w:hint="eastAsia" w:ascii="仿宋_GB2312" w:hAnsi="宋体" w:eastAsia="仿宋_GB2312" w:cs="宋体"/>
          <w:sz w:val="32"/>
          <w:szCs w:val="32"/>
          <w:lang w:val="en-US" w:eastAsia="zh-CN"/>
        </w:rPr>
        <w:t>12</w:t>
      </w:r>
      <w:r>
        <w:rPr>
          <w:rFonts w:hint="eastAsia" w:ascii="仿宋_GB2312" w:hAnsi="宋体" w:eastAsia="仿宋_GB2312" w:cs="宋体"/>
          <w:sz w:val="32"/>
          <w:szCs w:val="32"/>
          <w:lang w:eastAsia="zh-CN"/>
        </w:rPr>
        <w:t>人。</w:t>
      </w:r>
    </w:p>
    <w:p>
      <w:pPr>
        <w:jc w:val="center"/>
        <w:rPr>
          <w:rFonts w:hint="eastAsia" w:ascii="黑体" w:hAnsi="黑体" w:eastAsia="黑体" w:cs="黑体"/>
          <w:sz w:val="32"/>
          <w:szCs w:val="32"/>
          <w:highlight w:val="none"/>
          <w:lang w:val="en-US" w:eastAsia="zh-CN"/>
        </w:rPr>
        <w:sectPr>
          <w:pgSz w:w="11906" w:h="16838"/>
          <w:pgMar w:top="1157" w:right="1123" w:bottom="1157" w:left="1123" w:header="851" w:footer="992" w:gutter="0"/>
          <w:cols w:space="0" w:num="1"/>
          <w:rtlGutter w:val="0"/>
          <w:docGrid w:type="lines" w:linePitch="312" w:charSpace="0"/>
        </w:sectPr>
      </w:pPr>
    </w:p>
    <w:p>
      <w:pPr>
        <w:jc w:val="center"/>
        <w:rPr>
          <w:rFonts w:ascii="黑体" w:hAnsi="黑体" w:eastAsia="黑体" w:cs="黑体"/>
          <w:sz w:val="32"/>
          <w:szCs w:val="32"/>
          <w:highlight w:val="none"/>
        </w:rPr>
      </w:pPr>
      <w:r>
        <w:rPr>
          <w:rFonts w:hint="eastAsia" w:ascii="黑体" w:hAnsi="黑体" w:eastAsia="黑体" w:cs="黑体"/>
          <w:sz w:val="32"/>
          <w:szCs w:val="32"/>
          <w:highlight w:val="none"/>
        </w:rPr>
        <w:t>第二部分：</w:t>
      </w:r>
      <w:r>
        <w:rPr>
          <w:rFonts w:ascii="黑体" w:hAnsi="黑体" w:eastAsia="黑体" w:cs="黑体"/>
          <w:sz w:val="32"/>
          <w:u w:color="auto"/>
        </w:rPr>
        <w:t>环江毛南族自治县长美学校</w:t>
      </w:r>
      <w:r>
        <w:rPr>
          <w:rFonts w:hint="eastAsia" w:ascii="黑体" w:hAnsi="黑体" w:eastAsia="黑体" w:cs="黑体"/>
          <w:sz w:val="32"/>
          <w:szCs w:val="32"/>
          <w:highlight w:val="none"/>
        </w:rPr>
        <w:t xml:space="preserve"> 202</w:t>
      </w:r>
      <w:r>
        <w:rPr>
          <w:rFonts w:hint="eastAsia" w:ascii="黑体" w:hAnsi="黑体" w:eastAsia="黑体" w:cs="黑体"/>
          <w:sz w:val="32"/>
          <w:szCs w:val="32"/>
          <w:highlight w:val="none"/>
          <w:lang w:val="en-US" w:eastAsia="zh-CN"/>
        </w:rPr>
        <w:t>3</w:t>
      </w:r>
      <w:r>
        <w:rPr>
          <w:rFonts w:hint="eastAsia" w:ascii="黑体" w:hAnsi="黑体" w:eastAsia="黑体" w:cs="黑体"/>
          <w:sz w:val="32"/>
          <w:szCs w:val="32"/>
          <w:highlight w:val="none"/>
        </w:rPr>
        <w:t>年度部门决算报表</w:t>
      </w:r>
    </w:p>
    <w:tbl>
      <w:tblPr>
        <w:tblStyle w:val="6"/>
        <w:tblW w:w="13839" w:type="dxa"/>
        <w:tblInd w:w="0" w:type="dxa"/>
        <w:tblLayout w:type="fixed"/>
        <w:tblCellMar>
          <w:top w:w="0" w:type="dxa"/>
          <w:left w:w="108" w:type="dxa"/>
          <w:bottom w:w="0" w:type="dxa"/>
          <w:right w:w="108" w:type="dxa"/>
        </w:tblCellMar>
      </w:tblPr>
      <w:tblGrid>
        <w:gridCol w:w="90"/>
        <w:gridCol w:w="2387"/>
        <w:gridCol w:w="1030"/>
        <w:gridCol w:w="615"/>
        <w:gridCol w:w="601"/>
        <w:gridCol w:w="2094"/>
        <w:gridCol w:w="206"/>
        <w:gridCol w:w="2300"/>
        <w:gridCol w:w="1001"/>
        <w:gridCol w:w="615"/>
        <w:gridCol w:w="451"/>
        <w:gridCol w:w="1788"/>
        <w:gridCol w:w="661"/>
      </w:tblGrid>
      <w:tr>
        <w:tblPrEx>
          <w:tblCellMar>
            <w:top w:w="0" w:type="dxa"/>
            <w:left w:w="108" w:type="dxa"/>
            <w:bottom w:w="0" w:type="dxa"/>
            <w:right w:w="108" w:type="dxa"/>
          </w:tblCellMar>
        </w:tblPrEx>
        <w:trPr>
          <w:gridBefore w:val="1"/>
          <w:gridAfter w:val="1"/>
          <w:wBefore w:w="90" w:type="dxa"/>
          <w:wAfter w:w="661" w:type="dxa"/>
          <w:trHeight w:val="1152" w:hRule="atLeast"/>
        </w:trPr>
        <w:tc>
          <w:tcPr>
            <w:tcW w:w="13088" w:type="dxa"/>
            <w:gridSpan w:val="11"/>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eastAsia" w:ascii="仿宋" w:hAnsi="仿宋" w:eastAsia="仿宋" w:cs="仿宋"/>
                <w:sz w:val="24"/>
                <w:highlight w:val="none"/>
              </w:rPr>
            </w:pPr>
            <w:r>
              <w:rPr>
                <w:rFonts w:hint="eastAsia" w:ascii="仿宋" w:hAnsi="仿宋" w:eastAsia="仿宋" w:cs="仿宋"/>
                <w:sz w:val="24"/>
                <w:highlight w:val="none"/>
              </w:rPr>
              <w:t>表一：收入支出决算总表</w:t>
            </w:r>
          </w:p>
          <w:p>
            <w:pPr>
              <w:keepNext w:val="0"/>
              <w:keepLines w:val="0"/>
              <w:suppressLineNumbers w:val="0"/>
              <w:spacing w:before="0" w:beforeAutospacing="0" w:after="0" w:afterAutospacing="0"/>
              <w:ind w:left="0" w:right="0"/>
              <w:jc w:val="left"/>
              <w:rPr>
                <w:rFonts w:hint="default" w:ascii="仿宋" w:hAnsi="仿宋" w:eastAsia="仿宋" w:cs="仿宋"/>
                <w:sz w:val="24"/>
                <w:highlight w:val="none"/>
              </w:rPr>
            </w:pP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收入支出决算总表</w:t>
            </w:r>
          </w:p>
        </w:tc>
      </w:tr>
      <w:tr>
        <w:tblPrEx>
          <w:tblCellMar>
            <w:top w:w="0" w:type="dxa"/>
            <w:left w:w="108" w:type="dxa"/>
            <w:bottom w:w="0" w:type="dxa"/>
            <w:right w:w="108" w:type="dxa"/>
          </w:tblCellMar>
        </w:tblPrEx>
        <w:trPr>
          <w:gridBefore w:val="1"/>
          <w:gridAfter w:val="1"/>
          <w:wBefore w:w="90" w:type="dxa"/>
          <w:wAfter w:w="661" w:type="dxa"/>
          <w:trHeight w:val="288" w:hRule="atLeast"/>
        </w:trPr>
        <w:tc>
          <w:tcPr>
            <w:tcW w:w="238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46" w:type="dxa"/>
            <w:gridSpan w:val="3"/>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094"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506"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067" w:type="dxa"/>
            <w:gridSpan w:val="3"/>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88"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公开01表</w:t>
            </w:r>
          </w:p>
        </w:tc>
      </w:tr>
      <w:tr>
        <w:tblPrEx>
          <w:tblCellMar>
            <w:top w:w="0" w:type="dxa"/>
            <w:left w:w="108" w:type="dxa"/>
            <w:bottom w:w="0" w:type="dxa"/>
            <w:right w:w="108" w:type="dxa"/>
          </w:tblCellMar>
        </w:tblPrEx>
        <w:trPr>
          <w:gridBefore w:val="1"/>
          <w:gridAfter w:val="1"/>
          <w:wBefore w:w="90" w:type="dxa"/>
          <w:wAfter w:w="661" w:type="dxa"/>
          <w:trHeight w:val="288" w:hRule="atLeast"/>
        </w:trPr>
        <w:tc>
          <w:tcPr>
            <w:tcW w:w="6727" w:type="dxa"/>
            <w:gridSpan w:val="5"/>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环江毛南族自治县长美学校</w:t>
            </w:r>
          </w:p>
        </w:tc>
        <w:tc>
          <w:tcPr>
            <w:tcW w:w="2506" w:type="dxa"/>
            <w:gridSpan w:val="2"/>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067" w:type="dxa"/>
            <w:gridSpan w:val="3"/>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88" w:type="dxa"/>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8" w:hRule="atLeast"/>
        </w:trPr>
        <w:tc>
          <w:tcPr>
            <w:tcW w:w="7023" w:type="dxa"/>
            <w:gridSpan w:val="7"/>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收入</w:t>
            </w:r>
          </w:p>
        </w:tc>
        <w:tc>
          <w:tcPr>
            <w:tcW w:w="6816" w:type="dxa"/>
            <w:gridSpan w:val="6"/>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8" w:hRule="atLeast"/>
        </w:trPr>
        <w:tc>
          <w:tcPr>
            <w:tcW w:w="3507"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61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2901"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3301"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61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2900"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8" w:hRule="atLeast"/>
        </w:trPr>
        <w:tc>
          <w:tcPr>
            <w:tcW w:w="3507"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61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901"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301"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61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900"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8" w:hRule="atLeast"/>
        </w:trPr>
        <w:tc>
          <w:tcPr>
            <w:tcW w:w="3507"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一、一般公共预算财政拨款收入</w:t>
            </w:r>
          </w:p>
        </w:tc>
        <w:tc>
          <w:tcPr>
            <w:tcW w:w="61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901"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1,857.77</w:t>
            </w:r>
          </w:p>
        </w:tc>
        <w:tc>
          <w:tcPr>
            <w:tcW w:w="3301"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61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2900"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8" w:hRule="atLeast"/>
        </w:trPr>
        <w:tc>
          <w:tcPr>
            <w:tcW w:w="3507"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二、政府性基金预算财政拨款收入</w:t>
            </w:r>
          </w:p>
        </w:tc>
        <w:tc>
          <w:tcPr>
            <w:tcW w:w="61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901"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w:t>
            </w:r>
          </w:p>
        </w:tc>
        <w:tc>
          <w:tcPr>
            <w:tcW w:w="3301"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61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2900"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8" w:hRule="atLeast"/>
        </w:trPr>
        <w:tc>
          <w:tcPr>
            <w:tcW w:w="3507"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三、国有资本经营预算财政拨款收入</w:t>
            </w:r>
          </w:p>
        </w:tc>
        <w:tc>
          <w:tcPr>
            <w:tcW w:w="61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901"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301"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61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2900"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8" w:hRule="atLeast"/>
        </w:trPr>
        <w:tc>
          <w:tcPr>
            <w:tcW w:w="3507"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四、上级补助收入</w:t>
            </w:r>
          </w:p>
        </w:tc>
        <w:tc>
          <w:tcPr>
            <w:tcW w:w="61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901"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301"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61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2900"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8" w:hRule="atLeast"/>
        </w:trPr>
        <w:tc>
          <w:tcPr>
            <w:tcW w:w="3507"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五、事业收入</w:t>
            </w:r>
          </w:p>
        </w:tc>
        <w:tc>
          <w:tcPr>
            <w:tcW w:w="61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901"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301"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61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2900"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1,448.29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8" w:hRule="atLeast"/>
        </w:trPr>
        <w:tc>
          <w:tcPr>
            <w:tcW w:w="3507"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六、经营收入</w:t>
            </w:r>
          </w:p>
        </w:tc>
        <w:tc>
          <w:tcPr>
            <w:tcW w:w="61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901"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301"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61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2900"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8" w:hRule="atLeast"/>
        </w:trPr>
        <w:tc>
          <w:tcPr>
            <w:tcW w:w="3507"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七、附属单位上缴收入</w:t>
            </w:r>
          </w:p>
        </w:tc>
        <w:tc>
          <w:tcPr>
            <w:tcW w:w="61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2901"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301"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61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2900"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8" w:hRule="atLeast"/>
        </w:trPr>
        <w:tc>
          <w:tcPr>
            <w:tcW w:w="3507"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八、其他收入</w:t>
            </w:r>
          </w:p>
        </w:tc>
        <w:tc>
          <w:tcPr>
            <w:tcW w:w="61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2901"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301"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61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2900"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8" w:hRule="atLeast"/>
        </w:trPr>
        <w:tc>
          <w:tcPr>
            <w:tcW w:w="3507"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2901"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301"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61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2900"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8" w:hRule="atLeast"/>
        </w:trPr>
        <w:tc>
          <w:tcPr>
            <w:tcW w:w="3507"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901"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301"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61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2900"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8" w:hRule="atLeast"/>
        </w:trPr>
        <w:tc>
          <w:tcPr>
            <w:tcW w:w="3507"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2901"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301"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61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2900"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98" w:hRule="atLeast"/>
        </w:trPr>
        <w:tc>
          <w:tcPr>
            <w:tcW w:w="3507"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2901"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301"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61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2900"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8" w:hRule="atLeast"/>
        </w:trPr>
        <w:tc>
          <w:tcPr>
            <w:tcW w:w="3507"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2901"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301"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61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2900"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8" w:hRule="atLeast"/>
        </w:trPr>
        <w:tc>
          <w:tcPr>
            <w:tcW w:w="3507"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2901"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301"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61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2900"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8" w:hRule="atLeast"/>
        </w:trPr>
        <w:tc>
          <w:tcPr>
            <w:tcW w:w="3507"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2901"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301"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61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2900"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8" w:hRule="atLeast"/>
        </w:trPr>
        <w:tc>
          <w:tcPr>
            <w:tcW w:w="3507"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2901"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301"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61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2900"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8" w:hRule="atLeast"/>
        </w:trPr>
        <w:tc>
          <w:tcPr>
            <w:tcW w:w="3507"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2901"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301"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61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2900"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8" w:hRule="atLeast"/>
        </w:trPr>
        <w:tc>
          <w:tcPr>
            <w:tcW w:w="3507"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2901"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301"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61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2900"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8" w:hRule="atLeast"/>
        </w:trPr>
        <w:tc>
          <w:tcPr>
            <w:tcW w:w="3507"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2901"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301"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61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2900"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8" w:hRule="atLeast"/>
        </w:trPr>
        <w:tc>
          <w:tcPr>
            <w:tcW w:w="3507"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901"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301"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61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2900"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8" w:hRule="atLeast"/>
        </w:trPr>
        <w:tc>
          <w:tcPr>
            <w:tcW w:w="3507"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2901"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301"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61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2900"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8" w:hRule="atLeast"/>
        </w:trPr>
        <w:tc>
          <w:tcPr>
            <w:tcW w:w="3507"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2901"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301"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61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2900"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8" w:hRule="atLeast"/>
        </w:trPr>
        <w:tc>
          <w:tcPr>
            <w:tcW w:w="3507"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2901"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301"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61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2900"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8" w:hRule="atLeast"/>
        </w:trPr>
        <w:tc>
          <w:tcPr>
            <w:tcW w:w="3507"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0"/>
                <w:szCs w:val="20"/>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2901"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3301"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61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2900"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8" w:hRule="atLeast"/>
        </w:trPr>
        <w:tc>
          <w:tcPr>
            <w:tcW w:w="3507"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2901"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3301"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61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2900"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8" w:hRule="atLeast"/>
        </w:trPr>
        <w:tc>
          <w:tcPr>
            <w:tcW w:w="3507"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2901"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3301"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61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2900"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8" w:hRule="atLeast"/>
        </w:trPr>
        <w:tc>
          <w:tcPr>
            <w:tcW w:w="3507"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61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2901"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1,860.27</w:t>
            </w:r>
          </w:p>
        </w:tc>
        <w:tc>
          <w:tcPr>
            <w:tcW w:w="3301"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61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2900"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1,860.27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8" w:hRule="atLeast"/>
        </w:trPr>
        <w:tc>
          <w:tcPr>
            <w:tcW w:w="3507"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使用非财政拨款结余（含专用结余）</w:t>
            </w:r>
          </w:p>
        </w:tc>
        <w:tc>
          <w:tcPr>
            <w:tcW w:w="61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2901"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301"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结余分配</w:t>
            </w:r>
          </w:p>
        </w:tc>
        <w:tc>
          <w:tcPr>
            <w:tcW w:w="61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2900"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8" w:hRule="atLeast"/>
        </w:trPr>
        <w:tc>
          <w:tcPr>
            <w:tcW w:w="3507"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61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2901"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301"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c>
          <w:tcPr>
            <w:tcW w:w="61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2900"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8" w:hRule="atLeast"/>
        </w:trPr>
        <w:tc>
          <w:tcPr>
            <w:tcW w:w="3507"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2901"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301"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2900"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7" w:hRule="atLeast"/>
        </w:trPr>
        <w:tc>
          <w:tcPr>
            <w:tcW w:w="3507"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61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2901"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1,860.27</w:t>
            </w:r>
          </w:p>
        </w:tc>
        <w:tc>
          <w:tcPr>
            <w:tcW w:w="3301"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61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2900"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1,860.27</w:t>
            </w:r>
          </w:p>
        </w:tc>
      </w:tr>
    </w:tbl>
    <w:p>
      <w:pPr>
        <w:rPr>
          <w:rFonts w:ascii="宋体" w:hAnsi="宋体" w:eastAsia="宋体" w:cs="宋体"/>
          <w:color w:val="000000"/>
          <w:kern w:val="0"/>
          <w:sz w:val="30"/>
          <w:szCs w:val="30"/>
          <w:highlight w:val="none"/>
          <w:lang w:bidi="ar"/>
        </w:rPr>
      </w:pPr>
    </w:p>
    <w:p>
      <w:pPr>
        <w:rPr>
          <w:rFonts w:ascii="宋体" w:hAnsi="宋体" w:eastAsia="宋体" w:cs="宋体"/>
          <w:color w:val="000000"/>
          <w:kern w:val="0"/>
          <w:sz w:val="30"/>
          <w:szCs w:val="30"/>
          <w:highlight w:val="none"/>
          <w:lang w:bidi="ar"/>
        </w:rPr>
      </w:pPr>
    </w:p>
    <w:p>
      <w:pPr>
        <w:rPr>
          <w:rFonts w:ascii="宋体" w:hAnsi="宋体" w:eastAsia="宋体" w:cs="宋体"/>
          <w:color w:val="000000"/>
          <w:kern w:val="0"/>
          <w:sz w:val="30"/>
          <w:szCs w:val="30"/>
          <w:highlight w:val="none"/>
          <w:lang w:bidi="ar"/>
        </w:rPr>
      </w:pPr>
    </w:p>
    <w:p>
      <w:pPr>
        <w:rPr>
          <w:rFonts w:ascii="宋体" w:hAnsi="宋体" w:eastAsia="宋体" w:cs="宋体"/>
          <w:color w:val="000000"/>
          <w:kern w:val="0"/>
          <w:sz w:val="30"/>
          <w:szCs w:val="30"/>
          <w:highlight w:val="none"/>
          <w:lang w:bidi="ar"/>
        </w:rPr>
      </w:pPr>
    </w:p>
    <w:p>
      <w:pPr>
        <w:rPr>
          <w:rFonts w:ascii="宋体" w:hAnsi="宋体" w:eastAsia="宋体" w:cs="宋体"/>
          <w:color w:val="000000"/>
          <w:kern w:val="0"/>
          <w:sz w:val="30"/>
          <w:szCs w:val="30"/>
          <w:highlight w:val="none"/>
          <w:lang w:bidi="ar"/>
        </w:rPr>
      </w:pPr>
    </w:p>
    <w:p>
      <w:pPr>
        <w:rPr>
          <w:rFonts w:ascii="宋体" w:hAnsi="宋体" w:eastAsia="宋体" w:cs="宋体"/>
          <w:color w:val="000000"/>
          <w:kern w:val="0"/>
          <w:sz w:val="30"/>
          <w:szCs w:val="30"/>
          <w:highlight w:val="none"/>
          <w:lang w:bidi="ar"/>
        </w:rPr>
      </w:pPr>
    </w:p>
    <w:p>
      <w:pPr>
        <w:rPr>
          <w:rFonts w:ascii="宋体" w:hAnsi="宋体" w:eastAsia="宋体" w:cs="宋体"/>
          <w:color w:val="000000"/>
          <w:kern w:val="0"/>
          <w:sz w:val="30"/>
          <w:szCs w:val="30"/>
          <w:highlight w:val="none"/>
          <w:lang w:bidi="ar"/>
        </w:rPr>
      </w:pPr>
    </w:p>
    <w:p>
      <w:pPr>
        <w:rPr>
          <w:rFonts w:ascii="宋体" w:hAnsi="宋体" w:eastAsia="宋体" w:cs="宋体"/>
          <w:color w:val="000000"/>
          <w:kern w:val="0"/>
          <w:sz w:val="30"/>
          <w:szCs w:val="30"/>
          <w:highlight w:val="none"/>
          <w:lang w:bidi="ar"/>
        </w:rPr>
      </w:pPr>
    </w:p>
    <w:tbl>
      <w:tblPr>
        <w:tblStyle w:val="6"/>
        <w:tblW w:w="14319" w:type="dxa"/>
        <w:tblInd w:w="0" w:type="dxa"/>
        <w:tblLayout w:type="fixed"/>
        <w:tblCellMar>
          <w:top w:w="0" w:type="dxa"/>
          <w:left w:w="108" w:type="dxa"/>
          <w:bottom w:w="0" w:type="dxa"/>
          <w:right w:w="108" w:type="dxa"/>
        </w:tblCellMar>
      </w:tblPr>
      <w:tblGrid>
        <w:gridCol w:w="75"/>
        <w:gridCol w:w="928"/>
        <w:gridCol w:w="1481"/>
        <w:gridCol w:w="240"/>
        <w:gridCol w:w="240"/>
        <w:gridCol w:w="425"/>
        <w:gridCol w:w="704"/>
        <w:gridCol w:w="523"/>
        <w:gridCol w:w="936"/>
        <w:gridCol w:w="245"/>
        <w:gridCol w:w="1118"/>
        <w:gridCol w:w="95"/>
        <w:gridCol w:w="1096"/>
        <w:gridCol w:w="364"/>
        <w:gridCol w:w="838"/>
        <w:gridCol w:w="622"/>
        <w:gridCol w:w="1463"/>
        <w:gridCol w:w="1457"/>
        <w:gridCol w:w="1460"/>
        <w:gridCol w:w="9"/>
      </w:tblGrid>
      <w:tr>
        <w:tblPrEx>
          <w:tblCellMar>
            <w:top w:w="0" w:type="dxa"/>
            <w:left w:w="108" w:type="dxa"/>
            <w:bottom w:w="0" w:type="dxa"/>
            <w:right w:w="108" w:type="dxa"/>
          </w:tblCellMar>
        </w:tblPrEx>
        <w:trPr>
          <w:gridBefore w:val="1"/>
          <w:wBefore w:w="75" w:type="dxa"/>
          <w:trHeight w:val="1471" w:hRule="atLeast"/>
        </w:trPr>
        <w:tc>
          <w:tcPr>
            <w:tcW w:w="14244" w:type="dxa"/>
            <w:gridSpan w:val="19"/>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eastAsia" w:ascii="仿宋" w:hAnsi="仿宋" w:eastAsia="仿宋" w:cs="仿宋"/>
                <w:sz w:val="24"/>
                <w:highlight w:val="none"/>
              </w:rPr>
            </w:pPr>
            <w:r>
              <w:rPr>
                <w:rFonts w:hint="eastAsia" w:ascii="仿宋" w:hAnsi="仿宋" w:eastAsia="仿宋" w:cs="仿宋"/>
                <w:sz w:val="24"/>
                <w:highlight w:val="none"/>
              </w:rPr>
              <w:t>表二：收入决算表</w:t>
            </w:r>
          </w:p>
          <w:p>
            <w:pPr>
              <w:keepNext w:val="0"/>
              <w:keepLines w:val="0"/>
              <w:suppressLineNumbers w:val="0"/>
              <w:spacing w:before="0" w:beforeAutospacing="0" w:after="0" w:afterAutospacing="0"/>
              <w:ind w:left="0" w:right="0"/>
              <w:jc w:val="left"/>
              <w:rPr>
                <w:rFonts w:hint="default" w:ascii="仿宋" w:hAnsi="仿宋" w:eastAsia="仿宋" w:cs="仿宋"/>
                <w:sz w:val="24"/>
                <w:highlight w:val="none"/>
              </w:rPr>
            </w:pP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收入决算表</w:t>
            </w:r>
          </w:p>
        </w:tc>
      </w:tr>
      <w:tr>
        <w:tblPrEx>
          <w:tblCellMar>
            <w:top w:w="0" w:type="dxa"/>
            <w:left w:w="108" w:type="dxa"/>
            <w:bottom w:w="0" w:type="dxa"/>
            <w:right w:w="108" w:type="dxa"/>
          </w:tblCellMar>
        </w:tblPrEx>
        <w:trPr>
          <w:gridBefore w:val="1"/>
          <w:wBefore w:w="75" w:type="dxa"/>
          <w:trHeight w:val="374" w:hRule="atLeast"/>
        </w:trPr>
        <w:tc>
          <w:tcPr>
            <w:tcW w:w="2409"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4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4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42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227"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81"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1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91"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202"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5011" w:type="dxa"/>
            <w:gridSpan w:val="5"/>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公开02表</w:t>
            </w:r>
          </w:p>
        </w:tc>
      </w:tr>
      <w:tr>
        <w:tblPrEx>
          <w:tblCellMar>
            <w:top w:w="0" w:type="dxa"/>
            <w:left w:w="108" w:type="dxa"/>
            <w:bottom w:w="0" w:type="dxa"/>
            <w:right w:w="108" w:type="dxa"/>
          </w:tblCellMar>
        </w:tblPrEx>
        <w:trPr>
          <w:gridBefore w:val="1"/>
          <w:wBefore w:w="75" w:type="dxa"/>
          <w:trHeight w:val="374" w:hRule="atLeast"/>
        </w:trPr>
        <w:tc>
          <w:tcPr>
            <w:tcW w:w="5722" w:type="dxa"/>
            <w:gridSpan w:val="9"/>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环江毛南族自治县长美学校</w:t>
            </w:r>
          </w:p>
        </w:tc>
        <w:tc>
          <w:tcPr>
            <w:tcW w:w="1118"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91" w:type="dxa"/>
            <w:gridSpan w:val="2"/>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202" w:type="dxa"/>
            <w:gridSpan w:val="2"/>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5011" w:type="dxa"/>
            <w:gridSpan w:val="5"/>
            <w:tcBorders>
              <w:top w:val="nil"/>
              <w:left w:val="nil"/>
              <w:bottom w:val="single" w:color="auto" w:sz="4" w:space="0"/>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4093" w:type="dxa"/>
            <w:gridSpan w:val="7"/>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459" w:type="dxa"/>
            <w:gridSpan w:val="2"/>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本年收入合计</w:t>
            </w:r>
          </w:p>
        </w:tc>
        <w:tc>
          <w:tcPr>
            <w:tcW w:w="1458" w:type="dxa"/>
            <w:gridSpan w:val="3"/>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财政拨款收入</w:t>
            </w:r>
          </w:p>
        </w:tc>
        <w:tc>
          <w:tcPr>
            <w:tcW w:w="1460" w:type="dxa"/>
            <w:gridSpan w:val="2"/>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上级补助收入</w:t>
            </w:r>
          </w:p>
        </w:tc>
        <w:tc>
          <w:tcPr>
            <w:tcW w:w="1460" w:type="dxa"/>
            <w:gridSpan w:val="2"/>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事业收入</w:t>
            </w:r>
          </w:p>
        </w:tc>
        <w:tc>
          <w:tcPr>
            <w:tcW w:w="1463"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经营收入</w:t>
            </w:r>
          </w:p>
        </w:tc>
        <w:tc>
          <w:tcPr>
            <w:tcW w:w="1457"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附属单位上缴收入</w:t>
            </w:r>
          </w:p>
        </w:tc>
        <w:tc>
          <w:tcPr>
            <w:tcW w:w="1469" w:type="dxa"/>
            <w:gridSpan w:val="2"/>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trPr>
        <w:tc>
          <w:tcPr>
            <w:tcW w:w="1003" w:type="dxa"/>
            <w:gridSpan w:val="2"/>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3090" w:type="dxa"/>
            <w:gridSpan w:val="5"/>
            <w:vMerge w:val="restar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459" w:type="dxa"/>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458" w:type="dxa"/>
            <w:gridSpan w:val="3"/>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460" w:type="dxa"/>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460" w:type="dxa"/>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463"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457"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469" w:type="dxa"/>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trPr>
        <w:tc>
          <w:tcPr>
            <w:tcW w:w="1003" w:type="dxa"/>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090" w:type="dxa"/>
            <w:gridSpan w:val="5"/>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459" w:type="dxa"/>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458" w:type="dxa"/>
            <w:gridSpan w:val="3"/>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460" w:type="dxa"/>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460" w:type="dxa"/>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463"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457"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469" w:type="dxa"/>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trPr>
        <w:tc>
          <w:tcPr>
            <w:tcW w:w="1003" w:type="dxa"/>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090" w:type="dxa"/>
            <w:gridSpan w:val="5"/>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459" w:type="dxa"/>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458" w:type="dxa"/>
            <w:gridSpan w:val="3"/>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460" w:type="dxa"/>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460" w:type="dxa"/>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463"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457"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469" w:type="dxa"/>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1" w:hRule="atLeast"/>
        </w:trPr>
        <w:tc>
          <w:tcPr>
            <w:tcW w:w="4093" w:type="dxa"/>
            <w:gridSpan w:val="7"/>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459" w:type="dxa"/>
            <w:gridSpan w:val="2"/>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58" w:type="dxa"/>
            <w:gridSpan w:val="3"/>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460" w:type="dxa"/>
            <w:gridSpan w:val="2"/>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460" w:type="dxa"/>
            <w:gridSpan w:val="2"/>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463"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457"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469" w:type="dxa"/>
            <w:gridSpan w:val="2"/>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1" w:hRule="atLeast"/>
        </w:trPr>
        <w:tc>
          <w:tcPr>
            <w:tcW w:w="4093" w:type="dxa"/>
            <w:gridSpan w:val="7"/>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459"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1,860.27</w:t>
            </w:r>
          </w:p>
        </w:tc>
        <w:tc>
          <w:tcPr>
            <w:tcW w:w="1458"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1,860.27</w:t>
            </w:r>
          </w:p>
        </w:tc>
        <w:tc>
          <w:tcPr>
            <w:tcW w:w="146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c>
          <w:tcPr>
            <w:tcW w:w="146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c>
          <w:tcPr>
            <w:tcW w:w="14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c>
          <w:tcPr>
            <w:tcW w:w="1469"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4" w:hRule="atLeast"/>
        </w:trPr>
        <w:tc>
          <w:tcPr>
            <w:tcW w:w="1003"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2012999</w:t>
            </w:r>
          </w:p>
        </w:tc>
        <w:tc>
          <w:tcPr>
            <w:tcW w:w="3090" w:type="dxa"/>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其他群众团体事务支出</w:t>
            </w:r>
          </w:p>
        </w:tc>
        <w:tc>
          <w:tcPr>
            <w:tcW w:w="1459"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18.86</w:t>
            </w:r>
          </w:p>
        </w:tc>
        <w:tc>
          <w:tcPr>
            <w:tcW w:w="1458"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18.86</w:t>
            </w:r>
          </w:p>
        </w:tc>
        <w:tc>
          <w:tcPr>
            <w:tcW w:w="146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46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4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469"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4" w:hRule="atLeast"/>
        </w:trPr>
        <w:tc>
          <w:tcPr>
            <w:tcW w:w="1003"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2050202</w:t>
            </w:r>
          </w:p>
        </w:tc>
        <w:tc>
          <w:tcPr>
            <w:tcW w:w="3090" w:type="dxa"/>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小学教育</w:t>
            </w:r>
          </w:p>
        </w:tc>
        <w:tc>
          <w:tcPr>
            <w:tcW w:w="1459"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984.94</w:t>
            </w:r>
          </w:p>
        </w:tc>
        <w:tc>
          <w:tcPr>
            <w:tcW w:w="1458"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984.94</w:t>
            </w:r>
          </w:p>
        </w:tc>
        <w:tc>
          <w:tcPr>
            <w:tcW w:w="146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c>
          <w:tcPr>
            <w:tcW w:w="146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4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469"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4" w:hRule="atLeast"/>
        </w:trPr>
        <w:tc>
          <w:tcPr>
            <w:tcW w:w="1003"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2050203</w:t>
            </w:r>
          </w:p>
        </w:tc>
        <w:tc>
          <w:tcPr>
            <w:tcW w:w="3090" w:type="dxa"/>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初中教育</w:t>
            </w:r>
          </w:p>
        </w:tc>
        <w:tc>
          <w:tcPr>
            <w:tcW w:w="1459"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455.91</w:t>
            </w:r>
          </w:p>
        </w:tc>
        <w:tc>
          <w:tcPr>
            <w:tcW w:w="1458"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455.91</w:t>
            </w:r>
          </w:p>
        </w:tc>
        <w:tc>
          <w:tcPr>
            <w:tcW w:w="146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46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4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469"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4" w:hRule="atLeast"/>
        </w:trPr>
        <w:tc>
          <w:tcPr>
            <w:tcW w:w="1003"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2050299</w:t>
            </w:r>
          </w:p>
        </w:tc>
        <w:tc>
          <w:tcPr>
            <w:tcW w:w="3090" w:type="dxa"/>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其他普通教育支出</w:t>
            </w:r>
          </w:p>
        </w:tc>
        <w:tc>
          <w:tcPr>
            <w:tcW w:w="1459"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2.72</w:t>
            </w:r>
          </w:p>
        </w:tc>
        <w:tc>
          <w:tcPr>
            <w:tcW w:w="1458"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2.72</w:t>
            </w:r>
          </w:p>
        </w:tc>
        <w:tc>
          <w:tcPr>
            <w:tcW w:w="146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c>
          <w:tcPr>
            <w:tcW w:w="146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4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469"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4" w:hRule="atLeast"/>
        </w:trPr>
        <w:tc>
          <w:tcPr>
            <w:tcW w:w="1003"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2050701</w:t>
            </w:r>
          </w:p>
        </w:tc>
        <w:tc>
          <w:tcPr>
            <w:tcW w:w="3090" w:type="dxa"/>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特殊学校教育</w:t>
            </w:r>
          </w:p>
        </w:tc>
        <w:tc>
          <w:tcPr>
            <w:tcW w:w="1459"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2.57</w:t>
            </w:r>
          </w:p>
        </w:tc>
        <w:tc>
          <w:tcPr>
            <w:tcW w:w="1458"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2.57</w:t>
            </w:r>
          </w:p>
        </w:tc>
        <w:tc>
          <w:tcPr>
            <w:tcW w:w="146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46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4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469"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4" w:hRule="atLeast"/>
        </w:trPr>
        <w:tc>
          <w:tcPr>
            <w:tcW w:w="1003"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2050999</w:t>
            </w:r>
          </w:p>
        </w:tc>
        <w:tc>
          <w:tcPr>
            <w:tcW w:w="3090" w:type="dxa"/>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其他教育费附加安排的支出</w:t>
            </w:r>
          </w:p>
        </w:tc>
        <w:tc>
          <w:tcPr>
            <w:tcW w:w="1459"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w:t>
            </w:r>
          </w:p>
        </w:tc>
        <w:tc>
          <w:tcPr>
            <w:tcW w:w="1458"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w:t>
            </w:r>
          </w:p>
        </w:tc>
        <w:tc>
          <w:tcPr>
            <w:tcW w:w="146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c>
          <w:tcPr>
            <w:tcW w:w="146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4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469"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9" w:hRule="atLeast"/>
        </w:trPr>
        <w:tc>
          <w:tcPr>
            <w:tcW w:w="1003"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3090" w:type="dxa"/>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1459"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138.17</w:t>
            </w:r>
          </w:p>
        </w:tc>
        <w:tc>
          <w:tcPr>
            <w:tcW w:w="1458"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138.17</w:t>
            </w:r>
          </w:p>
        </w:tc>
        <w:tc>
          <w:tcPr>
            <w:tcW w:w="146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46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4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469"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4" w:hRule="atLeast"/>
        </w:trPr>
        <w:tc>
          <w:tcPr>
            <w:tcW w:w="1003"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3090" w:type="dxa"/>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住房公积金</w:t>
            </w:r>
          </w:p>
        </w:tc>
        <w:tc>
          <w:tcPr>
            <w:tcW w:w="1459"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103.57</w:t>
            </w:r>
          </w:p>
        </w:tc>
        <w:tc>
          <w:tcPr>
            <w:tcW w:w="1458"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103.57</w:t>
            </w:r>
          </w:p>
        </w:tc>
        <w:tc>
          <w:tcPr>
            <w:tcW w:w="146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c>
          <w:tcPr>
            <w:tcW w:w="146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4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469"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4" w:hRule="atLeast"/>
        </w:trPr>
        <w:tc>
          <w:tcPr>
            <w:tcW w:w="1003"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2296004</w:t>
            </w:r>
          </w:p>
        </w:tc>
        <w:tc>
          <w:tcPr>
            <w:tcW w:w="3090" w:type="dxa"/>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用于教育事业的彩票公益金支出</w:t>
            </w:r>
          </w:p>
        </w:tc>
        <w:tc>
          <w:tcPr>
            <w:tcW w:w="1459"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w:t>
            </w:r>
          </w:p>
        </w:tc>
        <w:tc>
          <w:tcPr>
            <w:tcW w:w="1458"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w:t>
            </w:r>
          </w:p>
        </w:tc>
        <w:tc>
          <w:tcPr>
            <w:tcW w:w="146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46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4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469"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4" w:hRule="atLeast"/>
        </w:trPr>
        <w:tc>
          <w:tcPr>
            <w:tcW w:w="1003"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2299999</w:t>
            </w:r>
          </w:p>
        </w:tc>
        <w:tc>
          <w:tcPr>
            <w:tcW w:w="3090" w:type="dxa"/>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1459"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148.90</w:t>
            </w:r>
          </w:p>
        </w:tc>
        <w:tc>
          <w:tcPr>
            <w:tcW w:w="1458"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148.90</w:t>
            </w:r>
          </w:p>
        </w:tc>
        <w:tc>
          <w:tcPr>
            <w:tcW w:w="146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c>
          <w:tcPr>
            <w:tcW w:w="146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4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469"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400" w:hRule="atLeast"/>
        </w:trPr>
        <w:tc>
          <w:tcPr>
            <w:tcW w:w="14310" w:type="dxa"/>
            <w:gridSpan w:val="19"/>
            <w:tcBorders>
              <w:top w:val="single" w:color="000000" w:sz="4" w:space="0"/>
              <w:left w:val="nil"/>
              <w:bottom w:val="nil"/>
              <w:right w:val="nil"/>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注：本表反映部门本年度取得的各项收入情况。</w:t>
            </w:r>
          </w:p>
        </w:tc>
      </w:tr>
    </w:tbl>
    <w:p>
      <w:pPr>
        <w:rPr>
          <w:rFonts w:ascii="仿宋" w:hAnsi="仿宋" w:eastAsia="仿宋" w:cs="仿宋"/>
          <w:sz w:val="24"/>
          <w:highlight w:val="none"/>
        </w:rPr>
      </w:pPr>
    </w:p>
    <w:p>
      <w:pPr>
        <w:jc w:val="center"/>
        <w:rPr>
          <w:rFonts w:ascii="仿宋" w:hAnsi="仿宋" w:eastAsia="仿宋" w:cs="仿宋"/>
          <w:sz w:val="24"/>
          <w:highlight w:val="none"/>
        </w:rPr>
      </w:pPr>
    </w:p>
    <w:p>
      <w:pPr>
        <w:jc w:val="center"/>
        <w:rPr>
          <w:rFonts w:ascii="仿宋" w:hAnsi="仿宋" w:eastAsia="仿宋" w:cs="仿宋"/>
          <w:sz w:val="24"/>
          <w:highlight w:val="none"/>
        </w:rPr>
      </w:pPr>
    </w:p>
    <w:p>
      <w:pPr>
        <w:jc w:val="center"/>
        <w:rPr>
          <w:rFonts w:ascii="仿宋" w:hAnsi="仿宋" w:eastAsia="仿宋" w:cs="仿宋"/>
          <w:sz w:val="24"/>
          <w:highlight w:val="none"/>
        </w:rPr>
      </w:pPr>
    </w:p>
    <w:p>
      <w:pPr>
        <w:jc w:val="center"/>
        <w:rPr>
          <w:rFonts w:ascii="仿宋" w:hAnsi="仿宋" w:eastAsia="仿宋" w:cs="仿宋"/>
          <w:sz w:val="24"/>
          <w:highlight w:val="none"/>
        </w:rPr>
      </w:pPr>
    </w:p>
    <w:p>
      <w:pPr>
        <w:jc w:val="center"/>
        <w:rPr>
          <w:rFonts w:ascii="仿宋" w:hAnsi="仿宋" w:eastAsia="仿宋" w:cs="仿宋"/>
          <w:sz w:val="24"/>
          <w:highlight w:val="none"/>
        </w:rPr>
      </w:pPr>
    </w:p>
    <w:p>
      <w:pPr>
        <w:jc w:val="center"/>
        <w:rPr>
          <w:rFonts w:ascii="仿宋" w:hAnsi="仿宋" w:eastAsia="仿宋" w:cs="仿宋"/>
          <w:sz w:val="24"/>
          <w:highlight w:val="none"/>
        </w:rPr>
      </w:pPr>
    </w:p>
    <w:p>
      <w:pPr>
        <w:jc w:val="center"/>
        <w:rPr>
          <w:rFonts w:ascii="仿宋" w:hAnsi="仿宋" w:eastAsia="仿宋" w:cs="仿宋"/>
          <w:sz w:val="24"/>
          <w:highlight w:val="none"/>
        </w:rPr>
      </w:pPr>
    </w:p>
    <w:p>
      <w:pPr>
        <w:jc w:val="center"/>
        <w:rPr>
          <w:rFonts w:ascii="仿宋" w:hAnsi="仿宋" w:eastAsia="仿宋" w:cs="仿宋"/>
          <w:sz w:val="24"/>
          <w:highlight w:val="none"/>
        </w:rPr>
      </w:pPr>
    </w:p>
    <w:p>
      <w:pPr>
        <w:jc w:val="center"/>
        <w:rPr>
          <w:rFonts w:ascii="仿宋" w:hAnsi="仿宋" w:eastAsia="仿宋" w:cs="仿宋"/>
          <w:sz w:val="24"/>
          <w:highlight w:val="none"/>
        </w:rPr>
      </w:pPr>
    </w:p>
    <w:p>
      <w:pPr>
        <w:jc w:val="center"/>
        <w:rPr>
          <w:rFonts w:ascii="仿宋" w:hAnsi="仿宋" w:eastAsia="仿宋" w:cs="仿宋"/>
          <w:sz w:val="24"/>
          <w:highlight w:val="none"/>
        </w:rPr>
      </w:pPr>
    </w:p>
    <w:p>
      <w:pPr>
        <w:jc w:val="center"/>
        <w:rPr>
          <w:rFonts w:ascii="仿宋" w:hAnsi="仿宋" w:eastAsia="仿宋" w:cs="仿宋"/>
          <w:sz w:val="24"/>
          <w:highlight w:val="none"/>
        </w:rPr>
      </w:pPr>
    </w:p>
    <w:p>
      <w:pPr>
        <w:jc w:val="center"/>
        <w:rPr>
          <w:rFonts w:ascii="仿宋" w:hAnsi="仿宋" w:eastAsia="仿宋" w:cs="仿宋"/>
          <w:sz w:val="24"/>
          <w:highlight w:val="none"/>
        </w:rPr>
      </w:pPr>
    </w:p>
    <w:p>
      <w:pPr>
        <w:jc w:val="center"/>
        <w:rPr>
          <w:rFonts w:ascii="仿宋" w:hAnsi="仿宋" w:eastAsia="仿宋" w:cs="仿宋"/>
          <w:sz w:val="24"/>
          <w:highlight w:val="none"/>
        </w:rPr>
      </w:pPr>
    </w:p>
    <w:p>
      <w:pPr>
        <w:jc w:val="center"/>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表三：支出决算表</w:t>
      </w:r>
    </w:p>
    <w:p>
      <w:pPr>
        <w:jc w:val="left"/>
        <w:rPr>
          <w:rFonts w:hint="eastAsia" w:ascii="仿宋" w:hAnsi="仿宋" w:eastAsia="仿宋" w:cs="仿宋"/>
          <w:sz w:val="24"/>
          <w:highlight w:val="none"/>
        </w:rPr>
      </w:pPr>
    </w:p>
    <w:tbl>
      <w:tblPr>
        <w:tblStyle w:val="6"/>
        <w:tblW w:w="14389" w:type="dxa"/>
        <w:tblInd w:w="0" w:type="dxa"/>
        <w:tblLayout w:type="fixed"/>
        <w:tblCellMar>
          <w:top w:w="0" w:type="dxa"/>
          <w:left w:w="108" w:type="dxa"/>
          <w:bottom w:w="0" w:type="dxa"/>
          <w:right w:w="108" w:type="dxa"/>
        </w:tblCellMar>
      </w:tblPr>
      <w:tblGrid>
        <w:gridCol w:w="86"/>
        <w:gridCol w:w="1044"/>
        <w:gridCol w:w="236"/>
        <w:gridCol w:w="276"/>
        <w:gridCol w:w="2034"/>
        <w:gridCol w:w="841"/>
        <w:gridCol w:w="1"/>
        <w:gridCol w:w="645"/>
        <w:gridCol w:w="998"/>
        <w:gridCol w:w="1"/>
        <w:gridCol w:w="536"/>
        <w:gridCol w:w="1107"/>
        <w:gridCol w:w="1"/>
        <w:gridCol w:w="501"/>
        <w:gridCol w:w="1142"/>
        <w:gridCol w:w="1"/>
        <w:gridCol w:w="368"/>
        <w:gridCol w:w="1275"/>
        <w:gridCol w:w="1"/>
        <w:gridCol w:w="236"/>
        <w:gridCol w:w="1407"/>
        <w:gridCol w:w="1"/>
        <w:gridCol w:w="1643"/>
        <w:gridCol w:w="1"/>
        <w:gridCol w:w="7"/>
      </w:tblGrid>
      <w:tr>
        <w:tblPrEx>
          <w:tblCellMar>
            <w:top w:w="0" w:type="dxa"/>
            <w:left w:w="108" w:type="dxa"/>
            <w:bottom w:w="0" w:type="dxa"/>
            <w:right w:w="108" w:type="dxa"/>
          </w:tblCellMar>
        </w:tblPrEx>
        <w:trPr>
          <w:gridBefore w:val="1"/>
          <w:gridAfter w:val="1"/>
          <w:wBefore w:w="86" w:type="dxa"/>
          <w:wAfter w:w="7" w:type="dxa"/>
          <w:trHeight w:val="611" w:hRule="atLeast"/>
        </w:trPr>
        <w:tc>
          <w:tcPr>
            <w:tcW w:w="14296" w:type="dxa"/>
            <w:gridSpan w:val="23"/>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支出决算表</w:t>
            </w:r>
          </w:p>
        </w:tc>
      </w:tr>
      <w:tr>
        <w:tblPrEx>
          <w:tblCellMar>
            <w:top w:w="0" w:type="dxa"/>
            <w:left w:w="108" w:type="dxa"/>
            <w:bottom w:w="0" w:type="dxa"/>
            <w:right w:w="108" w:type="dxa"/>
          </w:tblCellMar>
        </w:tblPrEx>
        <w:trPr>
          <w:gridBefore w:val="1"/>
          <w:gridAfter w:val="1"/>
          <w:wBefore w:w="86" w:type="dxa"/>
          <w:wAfter w:w="7" w:type="dxa"/>
          <w:trHeight w:val="306" w:hRule="atLeast"/>
        </w:trPr>
        <w:tc>
          <w:tcPr>
            <w:tcW w:w="1044"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76"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034"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87" w:type="dxa"/>
            <w:gridSpan w:val="3"/>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535" w:type="dxa"/>
            <w:gridSpan w:val="3"/>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09" w:type="dxa"/>
            <w:gridSpan w:val="3"/>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511" w:type="dxa"/>
            <w:gridSpan w:val="3"/>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512" w:type="dxa"/>
            <w:gridSpan w:val="3"/>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52" w:type="dxa"/>
            <w:gridSpan w:val="4"/>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公开03表</w:t>
            </w:r>
          </w:p>
        </w:tc>
      </w:tr>
      <w:tr>
        <w:tblPrEx>
          <w:tblCellMar>
            <w:top w:w="0" w:type="dxa"/>
            <w:left w:w="108" w:type="dxa"/>
            <w:bottom w:w="0" w:type="dxa"/>
            <w:right w:w="108" w:type="dxa"/>
          </w:tblCellMar>
        </w:tblPrEx>
        <w:trPr>
          <w:gridBefore w:val="1"/>
          <w:gridAfter w:val="1"/>
          <w:wBefore w:w="86" w:type="dxa"/>
          <w:wAfter w:w="7" w:type="dxa"/>
          <w:trHeight w:val="306" w:hRule="atLeast"/>
        </w:trPr>
        <w:tc>
          <w:tcPr>
            <w:tcW w:w="8221" w:type="dxa"/>
            <w:gridSpan w:val="13"/>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环江毛南族自治县长美学校</w:t>
            </w:r>
          </w:p>
        </w:tc>
        <w:tc>
          <w:tcPr>
            <w:tcW w:w="1511" w:type="dxa"/>
            <w:gridSpan w:val="3"/>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512" w:type="dxa"/>
            <w:gridSpan w:val="3"/>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52" w:type="dxa"/>
            <w:gridSpan w:val="4"/>
            <w:tcBorders>
              <w:top w:val="nil"/>
              <w:left w:val="nil"/>
              <w:bottom w:val="single" w:color="auto"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7" w:type="dxa"/>
          <w:trHeight w:val="315" w:hRule="atLeast"/>
        </w:trPr>
        <w:tc>
          <w:tcPr>
            <w:tcW w:w="4518" w:type="dxa"/>
            <w:gridSpan w:val="7"/>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644" w:type="dxa"/>
            <w:gridSpan w:val="3"/>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本年支出合计</w:t>
            </w:r>
          </w:p>
        </w:tc>
        <w:tc>
          <w:tcPr>
            <w:tcW w:w="1644" w:type="dxa"/>
            <w:gridSpan w:val="3"/>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644" w:type="dxa"/>
            <w:gridSpan w:val="3"/>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1644" w:type="dxa"/>
            <w:gridSpan w:val="3"/>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上缴上级支出</w:t>
            </w:r>
          </w:p>
        </w:tc>
        <w:tc>
          <w:tcPr>
            <w:tcW w:w="1644" w:type="dxa"/>
            <w:gridSpan w:val="3"/>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经营支出</w:t>
            </w:r>
          </w:p>
        </w:tc>
        <w:tc>
          <w:tcPr>
            <w:tcW w:w="1644" w:type="dxa"/>
            <w:gridSpan w:val="2"/>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8" w:type="dxa"/>
          <w:trHeight w:val="312" w:hRule="atLeast"/>
        </w:trPr>
        <w:tc>
          <w:tcPr>
            <w:tcW w:w="1130" w:type="dxa"/>
            <w:gridSpan w:val="2"/>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3387" w:type="dxa"/>
            <w:gridSpan w:val="4"/>
            <w:vMerge w:val="restar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644" w:type="dxa"/>
            <w:gridSpan w:val="3"/>
            <w:vMerge w:val="restart"/>
            <w:tcBorders>
              <w:top w:val="single" w:color="000000" w:sz="4" w:space="0"/>
              <w:left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644" w:type="dxa"/>
            <w:gridSpan w:val="3"/>
            <w:vMerge w:val="restart"/>
            <w:tcBorders>
              <w:top w:val="single" w:color="000000" w:sz="4" w:space="0"/>
              <w:left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644" w:type="dxa"/>
            <w:gridSpan w:val="3"/>
            <w:vMerge w:val="restart"/>
            <w:tcBorders>
              <w:top w:val="single" w:color="000000" w:sz="4" w:space="0"/>
              <w:left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644" w:type="dxa"/>
            <w:gridSpan w:val="3"/>
            <w:vMerge w:val="restart"/>
            <w:tcBorders>
              <w:top w:val="single" w:color="000000" w:sz="4" w:space="0"/>
              <w:left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644" w:type="dxa"/>
            <w:gridSpan w:val="3"/>
            <w:vMerge w:val="restart"/>
            <w:tcBorders>
              <w:top w:val="single" w:color="000000" w:sz="4" w:space="0"/>
              <w:left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644" w:type="dxa"/>
            <w:gridSpan w:val="2"/>
            <w:vMerge w:val="restart"/>
            <w:tcBorders>
              <w:top w:val="single" w:color="000000" w:sz="4" w:space="0"/>
              <w:left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8" w:type="dxa"/>
          <w:trHeight w:val="312" w:hRule="atLeast"/>
        </w:trPr>
        <w:tc>
          <w:tcPr>
            <w:tcW w:w="1130" w:type="dxa"/>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387" w:type="dxa"/>
            <w:gridSpan w:val="4"/>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644" w:type="dxa"/>
            <w:gridSpan w:val="3"/>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644" w:type="dxa"/>
            <w:gridSpan w:val="3"/>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644" w:type="dxa"/>
            <w:gridSpan w:val="3"/>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644" w:type="dxa"/>
            <w:gridSpan w:val="3"/>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644" w:type="dxa"/>
            <w:gridSpan w:val="3"/>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644" w:type="dxa"/>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8" w:type="dxa"/>
          <w:trHeight w:val="312" w:hRule="atLeast"/>
        </w:trPr>
        <w:tc>
          <w:tcPr>
            <w:tcW w:w="1130" w:type="dxa"/>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387" w:type="dxa"/>
            <w:gridSpan w:val="4"/>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644" w:type="dxa"/>
            <w:gridSpan w:val="3"/>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644" w:type="dxa"/>
            <w:gridSpan w:val="3"/>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644" w:type="dxa"/>
            <w:gridSpan w:val="3"/>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644" w:type="dxa"/>
            <w:gridSpan w:val="3"/>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644" w:type="dxa"/>
            <w:gridSpan w:val="3"/>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644" w:type="dxa"/>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7" w:type="dxa"/>
          <w:trHeight w:val="315" w:hRule="atLeast"/>
        </w:trPr>
        <w:tc>
          <w:tcPr>
            <w:tcW w:w="4518" w:type="dxa"/>
            <w:gridSpan w:val="7"/>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644" w:type="dxa"/>
            <w:gridSpan w:val="3"/>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44" w:type="dxa"/>
            <w:gridSpan w:val="3"/>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644" w:type="dxa"/>
            <w:gridSpan w:val="3"/>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644" w:type="dxa"/>
            <w:gridSpan w:val="3"/>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644" w:type="dxa"/>
            <w:gridSpan w:val="3"/>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644" w:type="dxa"/>
            <w:gridSpan w:val="2"/>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7" w:type="dxa"/>
          <w:trHeight w:val="315" w:hRule="atLeast"/>
        </w:trPr>
        <w:tc>
          <w:tcPr>
            <w:tcW w:w="4518" w:type="dxa"/>
            <w:gridSpan w:val="7"/>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644"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1,860.27</w:t>
            </w:r>
          </w:p>
        </w:tc>
        <w:tc>
          <w:tcPr>
            <w:tcW w:w="1644"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1,531.61</w:t>
            </w:r>
          </w:p>
        </w:tc>
        <w:tc>
          <w:tcPr>
            <w:tcW w:w="1644"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328.66</w:t>
            </w:r>
          </w:p>
        </w:tc>
        <w:tc>
          <w:tcPr>
            <w:tcW w:w="1644"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c>
          <w:tcPr>
            <w:tcW w:w="1644"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c>
          <w:tcPr>
            <w:tcW w:w="1644"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8" w:type="dxa"/>
          <w:trHeight w:val="315" w:hRule="atLeast"/>
        </w:trPr>
        <w:tc>
          <w:tcPr>
            <w:tcW w:w="113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2012999</w:t>
            </w:r>
          </w:p>
        </w:tc>
        <w:tc>
          <w:tcPr>
            <w:tcW w:w="3387"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其他群众团体事务支出</w:t>
            </w:r>
          </w:p>
        </w:tc>
        <w:tc>
          <w:tcPr>
            <w:tcW w:w="1644"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18.86</w:t>
            </w:r>
          </w:p>
        </w:tc>
        <w:tc>
          <w:tcPr>
            <w:tcW w:w="1644"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18.86</w:t>
            </w:r>
          </w:p>
        </w:tc>
        <w:tc>
          <w:tcPr>
            <w:tcW w:w="1644"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44"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644"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644"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8" w:type="dxa"/>
          <w:trHeight w:val="315" w:hRule="atLeast"/>
        </w:trPr>
        <w:tc>
          <w:tcPr>
            <w:tcW w:w="113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2050202</w:t>
            </w:r>
          </w:p>
        </w:tc>
        <w:tc>
          <w:tcPr>
            <w:tcW w:w="3387"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小学教育</w:t>
            </w:r>
          </w:p>
        </w:tc>
        <w:tc>
          <w:tcPr>
            <w:tcW w:w="1644"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984.94</w:t>
            </w:r>
          </w:p>
        </w:tc>
        <w:tc>
          <w:tcPr>
            <w:tcW w:w="1644"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757.91</w:t>
            </w:r>
          </w:p>
        </w:tc>
        <w:tc>
          <w:tcPr>
            <w:tcW w:w="1644"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227.03</w:t>
            </w:r>
          </w:p>
        </w:tc>
        <w:tc>
          <w:tcPr>
            <w:tcW w:w="1644"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644"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c>
          <w:tcPr>
            <w:tcW w:w="1644"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8" w:type="dxa"/>
          <w:trHeight w:val="315" w:hRule="atLeast"/>
        </w:trPr>
        <w:tc>
          <w:tcPr>
            <w:tcW w:w="113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2050203</w:t>
            </w:r>
          </w:p>
        </w:tc>
        <w:tc>
          <w:tcPr>
            <w:tcW w:w="3387"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初中教育</w:t>
            </w:r>
          </w:p>
        </w:tc>
        <w:tc>
          <w:tcPr>
            <w:tcW w:w="1644"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455.91</w:t>
            </w:r>
          </w:p>
        </w:tc>
        <w:tc>
          <w:tcPr>
            <w:tcW w:w="1644"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363.63</w:t>
            </w:r>
          </w:p>
        </w:tc>
        <w:tc>
          <w:tcPr>
            <w:tcW w:w="1644"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92.29</w:t>
            </w:r>
          </w:p>
        </w:tc>
        <w:tc>
          <w:tcPr>
            <w:tcW w:w="1644"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644"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644"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8" w:type="dxa"/>
          <w:trHeight w:val="315" w:hRule="atLeast"/>
        </w:trPr>
        <w:tc>
          <w:tcPr>
            <w:tcW w:w="113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2050299</w:t>
            </w:r>
          </w:p>
        </w:tc>
        <w:tc>
          <w:tcPr>
            <w:tcW w:w="3387"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其他普通教育支出</w:t>
            </w:r>
          </w:p>
        </w:tc>
        <w:tc>
          <w:tcPr>
            <w:tcW w:w="1644"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2.72</w:t>
            </w:r>
          </w:p>
        </w:tc>
        <w:tc>
          <w:tcPr>
            <w:tcW w:w="1644"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0.60</w:t>
            </w:r>
          </w:p>
        </w:tc>
        <w:tc>
          <w:tcPr>
            <w:tcW w:w="1644"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w:t>
            </w:r>
          </w:p>
        </w:tc>
        <w:tc>
          <w:tcPr>
            <w:tcW w:w="1644"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644"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c>
          <w:tcPr>
            <w:tcW w:w="1644"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8" w:type="dxa"/>
          <w:trHeight w:val="315" w:hRule="atLeast"/>
        </w:trPr>
        <w:tc>
          <w:tcPr>
            <w:tcW w:w="113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2050701</w:t>
            </w:r>
          </w:p>
        </w:tc>
        <w:tc>
          <w:tcPr>
            <w:tcW w:w="3387"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特殊学校教育</w:t>
            </w:r>
          </w:p>
        </w:tc>
        <w:tc>
          <w:tcPr>
            <w:tcW w:w="1644"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2.57</w:t>
            </w:r>
          </w:p>
        </w:tc>
        <w:tc>
          <w:tcPr>
            <w:tcW w:w="1644"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44"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2.57</w:t>
            </w:r>
          </w:p>
        </w:tc>
        <w:tc>
          <w:tcPr>
            <w:tcW w:w="1644"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644"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644"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8" w:type="dxa"/>
          <w:trHeight w:val="315" w:hRule="atLeast"/>
        </w:trPr>
        <w:tc>
          <w:tcPr>
            <w:tcW w:w="113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2050999</w:t>
            </w:r>
          </w:p>
        </w:tc>
        <w:tc>
          <w:tcPr>
            <w:tcW w:w="3387"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其他教育费附加安排的支出</w:t>
            </w:r>
          </w:p>
        </w:tc>
        <w:tc>
          <w:tcPr>
            <w:tcW w:w="1644"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w:t>
            </w:r>
          </w:p>
        </w:tc>
        <w:tc>
          <w:tcPr>
            <w:tcW w:w="1644"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44"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w:t>
            </w:r>
          </w:p>
        </w:tc>
        <w:tc>
          <w:tcPr>
            <w:tcW w:w="1644"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644"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c>
          <w:tcPr>
            <w:tcW w:w="1644"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8" w:type="dxa"/>
          <w:trHeight w:val="315" w:hRule="atLeast"/>
        </w:trPr>
        <w:tc>
          <w:tcPr>
            <w:tcW w:w="113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3387"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1644"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138.17</w:t>
            </w:r>
          </w:p>
        </w:tc>
        <w:tc>
          <w:tcPr>
            <w:tcW w:w="1644"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138.17</w:t>
            </w:r>
          </w:p>
        </w:tc>
        <w:tc>
          <w:tcPr>
            <w:tcW w:w="1644"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44"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644"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644"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8" w:type="dxa"/>
          <w:trHeight w:val="315" w:hRule="atLeast"/>
        </w:trPr>
        <w:tc>
          <w:tcPr>
            <w:tcW w:w="113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3387"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住房公积金</w:t>
            </w:r>
          </w:p>
        </w:tc>
        <w:tc>
          <w:tcPr>
            <w:tcW w:w="1644"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103.57</w:t>
            </w:r>
          </w:p>
        </w:tc>
        <w:tc>
          <w:tcPr>
            <w:tcW w:w="1644"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103.57</w:t>
            </w:r>
          </w:p>
        </w:tc>
        <w:tc>
          <w:tcPr>
            <w:tcW w:w="1644"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44"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644"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c>
          <w:tcPr>
            <w:tcW w:w="1644"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8" w:type="dxa"/>
          <w:trHeight w:val="315" w:hRule="atLeast"/>
        </w:trPr>
        <w:tc>
          <w:tcPr>
            <w:tcW w:w="113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2296004</w:t>
            </w:r>
          </w:p>
        </w:tc>
        <w:tc>
          <w:tcPr>
            <w:tcW w:w="3387"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用于教育事业的彩票公益金支出</w:t>
            </w:r>
          </w:p>
        </w:tc>
        <w:tc>
          <w:tcPr>
            <w:tcW w:w="1644"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w:t>
            </w:r>
          </w:p>
        </w:tc>
        <w:tc>
          <w:tcPr>
            <w:tcW w:w="1644"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44"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w:t>
            </w:r>
          </w:p>
        </w:tc>
        <w:tc>
          <w:tcPr>
            <w:tcW w:w="1644"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644"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644"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8" w:type="dxa"/>
          <w:trHeight w:val="315" w:hRule="atLeast"/>
        </w:trPr>
        <w:tc>
          <w:tcPr>
            <w:tcW w:w="113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2299999</w:t>
            </w:r>
          </w:p>
        </w:tc>
        <w:tc>
          <w:tcPr>
            <w:tcW w:w="3387"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1644"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148.90</w:t>
            </w:r>
          </w:p>
        </w:tc>
        <w:tc>
          <w:tcPr>
            <w:tcW w:w="1644"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148.90</w:t>
            </w:r>
          </w:p>
        </w:tc>
        <w:tc>
          <w:tcPr>
            <w:tcW w:w="1644"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44"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644"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c>
          <w:tcPr>
            <w:tcW w:w="1644"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4389" w:type="dxa"/>
            <w:gridSpan w:val="25"/>
            <w:tcBorders>
              <w:top w:val="single" w:color="000000" w:sz="4" w:space="0"/>
              <w:left w:val="nil"/>
              <w:bottom w:val="nil"/>
              <w:right w:val="nil"/>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注：本表反映部门本年度各项支出情况。</w:t>
            </w:r>
          </w:p>
        </w:tc>
      </w:tr>
    </w:tbl>
    <w:p>
      <w:pPr>
        <w:rPr>
          <w:rFonts w:ascii="仿宋" w:hAnsi="仿宋" w:eastAsia="仿宋" w:cs="仿宋"/>
          <w:sz w:val="24"/>
          <w:highlight w:val="none"/>
        </w:rPr>
      </w:pPr>
    </w:p>
    <w:p>
      <w:pPr>
        <w:jc w:val="center"/>
        <w:rPr>
          <w:rFonts w:ascii="仿宋" w:hAnsi="仿宋" w:eastAsia="仿宋" w:cs="仿宋"/>
          <w:sz w:val="24"/>
          <w:highlight w:val="none"/>
        </w:rPr>
      </w:pPr>
    </w:p>
    <w:p>
      <w:pPr>
        <w:jc w:val="left"/>
        <w:rPr>
          <w:rFonts w:hint="eastAsia" w:ascii="仿宋" w:hAnsi="仿宋" w:eastAsia="仿宋" w:cs="仿宋"/>
          <w:sz w:val="24"/>
          <w:highlight w:val="none"/>
        </w:rPr>
      </w:pPr>
    </w:p>
    <w:p>
      <w:pPr>
        <w:jc w:val="left"/>
        <w:rPr>
          <w:rFonts w:hint="eastAsia" w:ascii="仿宋" w:hAnsi="仿宋" w:eastAsia="仿宋" w:cs="仿宋"/>
          <w:sz w:val="24"/>
          <w:highlight w:val="none"/>
        </w:rPr>
      </w:pPr>
    </w:p>
    <w:p>
      <w:pPr>
        <w:jc w:val="left"/>
        <w:rPr>
          <w:rFonts w:hint="eastAsia" w:ascii="仿宋" w:hAnsi="仿宋" w:eastAsia="仿宋" w:cs="仿宋"/>
          <w:sz w:val="24"/>
          <w:highlight w:val="none"/>
        </w:rPr>
      </w:pPr>
    </w:p>
    <w:p>
      <w:pPr>
        <w:jc w:val="left"/>
        <w:rPr>
          <w:rFonts w:hint="eastAsia"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表四：财政拨款收入支出决算总表</w:t>
      </w:r>
    </w:p>
    <w:p>
      <w:pPr>
        <w:jc w:val="left"/>
        <w:rPr>
          <w:rFonts w:hint="eastAsia" w:ascii="仿宋" w:hAnsi="仿宋" w:eastAsia="仿宋" w:cs="仿宋"/>
          <w:sz w:val="24"/>
          <w:highlight w:val="none"/>
        </w:rPr>
      </w:pPr>
    </w:p>
    <w:tbl>
      <w:tblPr>
        <w:tblStyle w:val="6"/>
        <w:tblW w:w="4737" w:type="pct"/>
        <w:tblInd w:w="0" w:type="dxa"/>
        <w:tblLayout w:type="fixed"/>
        <w:tblCellMar>
          <w:top w:w="0" w:type="dxa"/>
          <w:left w:w="108" w:type="dxa"/>
          <w:bottom w:w="0" w:type="dxa"/>
          <w:right w:w="108" w:type="dxa"/>
        </w:tblCellMar>
      </w:tblPr>
      <w:tblGrid>
        <w:gridCol w:w="78"/>
        <w:gridCol w:w="2234"/>
        <w:gridCol w:w="240"/>
        <w:gridCol w:w="240"/>
        <w:gridCol w:w="503"/>
        <w:gridCol w:w="503"/>
        <w:gridCol w:w="857"/>
        <w:gridCol w:w="681"/>
        <w:gridCol w:w="2290"/>
        <w:gridCol w:w="1226"/>
        <w:gridCol w:w="503"/>
        <w:gridCol w:w="1095"/>
        <w:gridCol w:w="123"/>
        <w:gridCol w:w="1391"/>
        <w:gridCol w:w="1198"/>
        <w:gridCol w:w="803"/>
      </w:tblGrid>
      <w:tr>
        <w:tblPrEx>
          <w:tblCellMar>
            <w:top w:w="0" w:type="dxa"/>
            <w:left w:w="108" w:type="dxa"/>
            <w:bottom w:w="0" w:type="dxa"/>
            <w:right w:w="108" w:type="dxa"/>
          </w:tblCellMar>
        </w:tblPrEx>
        <w:trPr>
          <w:trHeight w:val="594" w:hRule="atLeast"/>
        </w:trPr>
        <w:tc>
          <w:tcPr>
            <w:tcW w:w="4712" w:type="pct"/>
            <w:gridSpan w:val="15"/>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财政拨款收入支出决算总表</w:t>
            </w:r>
          </w:p>
        </w:tc>
        <w:tc>
          <w:tcPr>
            <w:tcW w:w="287" w:type="pct"/>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color w:val="000000"/>
                <w:kern w:val="0"/>
                <w:sz w:val="32"/>
                <w:szCs w:val="32"/>
                <w:highlight w:val="none"/>
                <w:lang w:bidi="ar"/>
              </w:rPr>
            </w:pPr>
          </w:p>
        </w:tc>
      </w:tr>
      <w:tr>
        <w:tblPrEx>
          <w:tblCellMar>
            <w:top w:w="0" w:type="dxa"/>
            <w:left w:w="108" w:type="dxa"/>
            <w:bottom w:w="0" w:type="dxa"/>
            <w:right w:w="108" w:type="dxa"/>
          </w:tblCellMar>
        </w:tblPrEx>
        <w:trPr>
          <w:gridBefore w:val="1"/>
          <w:gridAfter w:val="1"/>
          <w:wBefore w:w="28" w:type="pct"/>
          <w:wAfter w:w="287" w:type="pct"/>
          <w:trHeight w:val="297" w:hRule="atLeast"/>
        </w:trPr>
        <w:tc>
          <w:tcPr>
            <w:tcW w:w="800"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86"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86"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67" w:type="pct"/>
            <w:gridSpan w:val="3"/>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62" w:type="pct"/>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55" w:type="pct"/>
            <w:gridSpan w:val="4"/>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923" w:type="pct"/>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4</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gridBefore w:val="1"/>
          <w:gridAfter w:val="1"/>
          <w:wBefore w:w="28" w:type="pct"/>
          <w:wAfter w:w="287" w:type="pct"/>
          <w:trHeight w:val="297" w:hRule="atLeast"/>
        </w:trPr>
        <w:tc>
          <w:tcPr>
            <w:tcW w:w="2703" w:type="pct"/>
            <w:gridSpan w:val="8"/>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环江毛南族自治县长美学校</w:t>
            </w:r>
          </w:p>
        </w:tc>
        <w:tc>
          <w:tcPr>
            <w:tcW w:w="1055" w:type="pct"/>
            <w:gridSpan w:val="4"/>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923" w:type="pct"/>
            <w:gridSpan w:val="2"/>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7" w:hRule="atLeast"/>
        </w:trPr>
        <w:tc>
          <w:tcPr>
            <w:tcW w:w="1911" w:type="pct"/>
            <w:gridSpan w:val="8"/>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     入</w:t>
            </w:r>
          </w:p>
        </w:tc>
        <w:tc>
          <w:tcPr>
            <w:tcW w:w="3088" w:type="pct"/>
            <w:gridSpan w:val="8"/>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3" w:hRule="atLeast"/>
        </w:trPr>
        <w:tc>
          <w:tcPr>
            <w:tcW w:w="1180" w:type="pct"/>
            <w:gridSpan w:val="5"/>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80"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550" w:type="pct"/>
            <w:gridSpan w:val="2"/>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1258" w:type="pct"/>
            <w:gridSpan w:val="2"/>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80"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392" w:type="pct"/>
            <w:vMerge w:val="restar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542" w:type="pct"/>
            <w:gridSpan w:val="2"/>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财政拨款</w:t>
            </w: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政府性基金预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算财政拨款</w:t>
            </w:r>
          </w:p>
        </w:tc>
        <w:tc>
          <w:tcPr>
            <w:tcW w:w="287"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国有资本经营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9" w:hRule="atLeast"/>
        </w:trPr>
        <w:tc>
          <w:tcPr>
            <w:tcW w:w="1180" w:type="pct"/>
            <w:gridSpan w:val="5"/>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80"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50" w:type="pct"/>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258" w:type="pct"/>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80"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92" w:type="pct"/>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42" w:type="pct"/>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87"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7" w:hRule="atLeast"/>
        </w:trPr>
        <w:tc>
          <w:tcPr>
            <w:tcW w:w="1180" w:type="pct"/>
            <w:gridSpan w:val="5"/>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80"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50"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58"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80"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542"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426"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8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7" w:hRule="atLeast"/>
        </w:trPr>
        <w:tc>
          <w:tcPr>
            <w:tcW w:w="1180" w:type="pct"/>
            <w:gridSpan w:val="5"/>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w:t>
            </w:r>
          </w:p>
        </w:tc>
        <w:tc>
          <w:tcPr>
            <w:tcW w:w="180"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50"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1,857.77</w:t>
            </w:r>
          </w:p>
        </w:tc>
        <w:tc>
          <w:tcPr>
            <w:tcW w:w="1258"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180"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3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18.86</w:t>
            </w:r>
          </w:p>
        </w:tc>
        <w:tc>
          <w:tcPr>
            <w:tcW w:w="542"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18.86</w:t>
            </w:r>
          </w:p>
        </w:tc>
        <w:tc>
          <w:tcPr>
            <w:tcW w:w="4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28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7" w:hRule="atLeast"/>
        </w:trPr>
        <w:tc>
          <w:tcPr>
            <w:tcW w:w="1180" w:type="pct"/>
            <w:gridSpan w:val="5"/>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w:t>
            </w:r>
          </w:p>
        </w:tc>
        <w:tc>
          <w:tcPr>
            <w:tcW w:w="180"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550"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w:t>
            </w:r>
          </w:p>
        </w:tc>
        <w:tc>
          <w:tcPr>
            <w:tcW w:w="1258"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180"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3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542"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28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7" w:hRule="atLeast"/>
        </w:trPr>
        <w:tc>
          <w:tcPr>
            <w:tcW w:w="1180" w:type="pct"/>
            <w:gridSpan w:val="5"/>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w:t>
            </w:r>
          </w:p>
        </w:tc>
        <w:tc>
          <w:tcPr>
            <w:tcW w:w="180"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50"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258"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180"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3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542"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28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7" w:hRule="atLeast"/>
        </w:trPr>
        <w:tc>
          <w:tcPr>
            <w:tcW w:w="1180" w:type="pct"/>
            <w:gridSpan w:val="5"/>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80"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550"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258"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180"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3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542"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28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7" w:hRule="atLeast"/>
        </w:trPr>
        <w:tc>
          <w:tcPr>
            <w:tcW w:w="1180" w:type="pct"/>
            <w:gridSpan w:val="5"/>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80"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0"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258"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180"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3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1,448.29</w:t>
            </w:r>
          </w:p>
        </w:tc>
        <w:tc>
          <w:tcPr>
            <w:tcW w:w="542"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1,448.29</w:t>
            </w:r>
          </w:p>
        </w:tc>
        <w:tc>
          <w:tcPr>
            <w:tcW w:w="4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28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7" w:hRule="atLeast"/>
        </w:trPr>
        <w:tc>
          <w:tcPr>
            <w:tcW w:w="1180" w:type="pct"/>
            <w:gridSpan w:val="5"/>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80"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550"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258"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180"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3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542"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28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7" w:hRule="atLeast"/>
        </w:trPr>
        <w:tc>
          <w:tcPr>
            <w:tcW w:w="1180" w:type="pct"/>
            <w:gridSpan w:val="5"/>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80"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550"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258"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180"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3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542"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28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7" w:hRule="atLeast"/>
        </w:trPr>
        <w:tc>
          <w:tcPr>
            <w:tcW w:w="1180" w:type="pct"/>
            <w:gridSpan w:val="5"/>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80"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550"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258"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180"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3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138.17</w:t>
            </w:r>
          </w:p>
        </w:tc>
        <w:tc>
          <w:tcPr>
            <w:tcW w:w="542"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138.17</w:t>
            </w:r>
          </w:p>
        </w:tc>
        <w:tc>
          <w:tcPr>
            <w:tcW w:w="4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28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7" w:hRule="atLeast"/>
        </w:trPr>
        <w:tc>
          <w:tcPr>
            <w:tcW w:w="1180" w:type="pct"/>
            <w:gridSpan w:val="5"/>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80"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550"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258"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180"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3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542"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28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7" w:hRule="atLeast"/>
        </w:trPr>
        <w:tc>
          <w:tcPr>
            <w:tcW w:w="1180" w:type="pct"/>
            <w:gridSpan w:val="5"/>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80"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550"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258"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180"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3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542"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28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7" w:hRule="atLeast"/>
        </w:trPr>
        <w:tc>
          <w:tcPr>
            <w:tcW w:w="1180" w:type="pct"/>
            <w:gridSpan w:val="5"/>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80"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550"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258"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180"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3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542"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28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7" w:hRule="atLeast"/>
        </w:trPr>
        <w:tc>
          <w:tcPr>
            <w:tcW w:w="1180" w:type="pct"/>
            <w:gridSpan w:val="5"/>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80"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550"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258"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180"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3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542"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28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7" w:hRule="atLeast"/>
        </w:trPr>
        <w:tc>
          <w:tcPr>
            <w:tcW w:w="1180" w:type="pct"/>
            <w:gridSpan w:val="5"/>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80"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550"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258"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180"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3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542"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28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7" w:hRule="atLeast"/>
        </w:trPr>
        <w:tc>
          <w:tcPr>
            <w:tcW w:w="1180" w:type="pct"/>
            <w:gridSpan w:val="5"/>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80"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550"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258"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180"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3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542"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28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7" w:hRule="atLeast"/>
        </w:trPr>
        <w:tc>
          <w:tcPr>
            <w:tcW w:w="1180" w:type="pct"/>
            <w:gridSpan w:val="5"/>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80"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550"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258"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180"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3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542"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28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7" w:hRule="atLeast"/>
        </w:trPr>
        <w:tc>
          <w:tcPr>
            <w:tcW w:w="1180" w:type="pct"/>
            <w:gridSpan w:val="5"/>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80"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550"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258"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180"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3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542"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28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7" w:hRule="atLeast"/>
        </w:trPr>
        <w:tc>
          <w:tcPr>
            <w:tcW w:w="1180" w:type="pct"/>
            <w:gridSpan w:val="5"/>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80"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550"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258"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180"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3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542"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28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7" w:hRule="atLeast"/>
        </w:trPr>
        <w:tc>
          <w:tcPr>
            <w:tcW w:w="1180" w:type="pct"/>
            <w:gridSpan w:val="5"/>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80"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550"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258"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180"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542"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28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7" w:hRule="atLeast"/>
        </w:trPr>
        <w:tc>
          <w:tcPr>
            <w:tcW w:w="1180" w:type="pct"/>
            <w:gridSpan w:val="5"/>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80"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550"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258"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180"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3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103.56</w:t>
            </w:r>
          </w:p>
        </w:tc>
        <w:tc>
          <w:tcPr>
            <w:tcW w:w="542"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103.56</w:t>
            </w:r>
          </w:p>
        </w:tc>
        <w:tc>
          <w:tcPr>
            <w:tcW w:w="4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28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7" w:hRule="atLeast"/>
        </w:trPr>
        <w:tc>
          <w:tcPr>
            <w:tcW w:w="1180" w:type="pct"/>
            <w:gridSpan w:val="5"/>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80"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550"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258"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180"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3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542"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28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7" w:hRule="atLeast"/>
        </w:trPr>
        <w:tc>
          <w:tcPr>
            <w:tcW w:w="1180" w:type="pct"/>
            <w:gridSpan w:val="5"/>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80"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550"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258"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180"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3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542"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28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7" w:hRule="atLeast"/>
        </w:trPr>
        <w:tc>
          <w:tcPr>
            <w:tcW w:w="1180" w:type="pct"/>
            <w:gridSpan w:val="5"/>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80"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550"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258"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180"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3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542"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28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7" w:hRule="atLeast"/>
        </w:trPr>
        <w:tc>
          <w:tcPr>
            <w:tcW w:w="1180" w:type="pct"/>
            <w:gridSpan w:val="5"/>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80"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550"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258"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180"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3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151.39</w:t>
            </w:r>
          </w:p>
        </w:tc>
        <w:tc>
          <w:tcPr>
            <w:tcW w:w="542"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148.89</w:t>
            </w:r>
          </w:p>
        </w:tc>
        <w:tc>
          <w:tcPr>
            <w:tcW w:w="4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w:t>
            </w:r>
          </w:p>
        </w:tc>
        <w:tc>
          <w:tcPr>
            <w:tcW w:w="28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7" w:hRule="atLeast"/>
        </w:trPr>
        <w:tc>
          <w:tcPr>
            <w:tcW w:w="1180" w:type="pct"/>
            <w:gridSpan w:val="5"/>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0"/>
                <w:szCs w:val="20"/>
                <w:u w:val="none"/>
              </w:rPr>
            </w:pPr>
          </w:p>
        </w:tc>
        <w:tc>
          <w:tcPr>
            <w:tcW w:w="180"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550"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258"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180"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3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542"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28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7" w:hRule="atLeast"/>
        </w:trPr>
        <w:tc>
          <w:tcPr>
            <w:tcW w:w="1180" w:type="pct"/>
            <w:gridSpan w:val="5"/>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80"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550"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258"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180"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3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542"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28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7" w:hRule="atLeast"/>
        </w:trPr>
        <w:tc>
          <w:tcPr>
            <w:tcW w:w="1180" w:type="pct"/>
            <w:gridSpan w:val="5"/>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80"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550"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258"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180"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3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542"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28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7" w:hRule="atLeast"/>
        </w:trPr>
        <w:tc>
          <w:tcPr>
            <w:tcW w:w="1180" w:type="pct"/>
            <w:gridSpan w:val="5"/>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180"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550"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1,860.27</w:t>
            </w:r>
          </w:p>
        </w:tc>
        <w:tc>
          <w:tcPr>
            <w:tcW w:w="1258"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180"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3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1,860.27</w:t>
            </w:r>
          </w:p>
        </w:tc>
        <w:tc>
          <w:tcPr>
            <w:tcW w:w="542"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1,857.77</w:t>
            </w:r>
          </w:p>
        </w:tc>
        <w:tc>
          <w:tcPr>
            <w:tcW w:w="4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w:t>
            </w:r>
          </w:p>
        </w:tc>
        <w:tc>
          <w:tcPr>
            <w:tcW w:w="28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7" w:hRule="atLeast"/>
        </w:trPr>
        <w:tc>
          <w:tcPr>
            <w:tcW w:w="1180" w:type="pct"/>
            <w:gridSpan w:val="5"/>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年初财政拨款结转和结余</w:t>
            </w:r>
          </w:p>
        </w:tc>
        <w:tc>
          <w:tcPr>
            <w:tcW w:w="180"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550"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258"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年末财政拨款结转和结余</w:t>
            </w:r>
          </w:p>
        </w:tc>
        <w:tc>
          <w:tcPr>
            <w:tcW w:w="180"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3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542"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28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7" w:hRule="atLeast"/>
        </w:trPr>
        <w:tc>
          <w:tcPr>
            <w:tcW w:w="1180" w:type="pct"/>
            <w:gridSpan w:val="5"/>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一般公共预算财政拨款</w:t>
            </w:r>
          </w:p>
        </w:tc>
        <w:tc>
          <w:tcPr>
            <w:tcW w:w="180"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550"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258"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80"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3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542"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28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7" w:hRule="atLeast"/>
        </w:trPr>
        <w:tc>
          <w:tcPr>
            <w:tcW w:w="1180" w:type="pct"/>
            <w:gridSpan w:val="5"/>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政府性基金预算财政拨款</w:t>
            </w:r>
          </w:p>
        </w:tc>
        <w:tc>
          <w:tcPr>
            <w:tcW w:w="180"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550"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258"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80"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3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542"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28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7" w:hRule="atLeast"/>
        </w:trPr>
        <w:tc>
          <w:tcPr>
            <w:tcW w:w="1180" w:type="pct"/>
            <w:gridSpan w:val="5"/>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国有资本经营预算财政拨款</w:t>
            </w:r>
          </w:p>
        </w:tc>
        <w:tc>
          <w:tcPr>
            <w:tcW w:w="180"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550"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258"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80"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3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542"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28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7" w:hRule="atLeast"/>
        </w:trPr>
        <w:tc>
          <w:tcPr>
            <w:tcW w:w="1180" w:type="pct"/>
            <w:gridSpan w:val="5"/>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180"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550"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1,860.27</w:t>
            </w:r>
          </w:p>
        </w:tc>
        <w:tc>
          <w:tcPr>
            <w:tcW w:w="1258"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180"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3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1,860.27</w:t>
            </w:r>
          </w:p>
        </w:tc>
        <w:tc>
          <w:tcPr>
            <w:tcW w:w="542"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1,857.77</w:t>
            </w:r>
          </w:p>
        </w:tc>
        <w:tc>
          <w:tcPr>
            <w:tcW w:w="4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w:t>
            </w:r>
          </w:p>
        </w:tc>
        <w:tc>
          <w:tcPr>
            <w:tcW w:w="28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7" w:hRule="atLeast"/>
        </w:trPr>
        <w:tc>
          <w:tcPr>
            <w:tcW w:w="4712" w:type="pct"/>
            <w:gridSpan w:val="15"/>
            <w:tcBorders>
              <w:top w:val="single" w:color="000000" w:sz="4" w:space="0"/>
              <w:left w:val="nil"/>
              <w:bottom w:val="nil"/>
              <w:right w:val="nil"/>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注：本表反映部门本年度一般公共预算财政拨款、政府性基金预算财政拨款和国有资本经营预算财政拨款的总收支和年末结转结余情况。</w:t>
            </w:r>
          </w:p>
        </w:tc>
        <w:tc>
          <w:tcPr>
            <w:tcW w:w="287" w:type="pct"/>
            <w:tcBorders>
              <w:top w:val="single" w:color="000000" w:sz="4" w:space="0"/>
              <w:left w:val="nil"/>
              <w:bottom w:val="nil"/>
              <w:right w:val="nil"/>
            </w:tcBorders>
            <w:shd w:val="clear" w:color="auto" w:fill="FFFFFF"/>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r>
    </w:tbl>
    <w:p>
      <w:pPr>
        <w:jc w:val="left"/>
        <w:rPr>
          <w:rFonts w:ascii="仿宋" w:hAnsi="仿宋" w:eastAsia="仿宋" w:cs="仿宋"/>
          <w:sz w:val="24"/>
          <w:highlight w:val="none"/>
        </w:rPr>
      </w:pPr>
    </w:p>
    <w:p>
      <w:pPr>
        <w:jc w:val="left"/>
        <w:rPr>
          <w:rFonts w:ascii="仿宋" w:hAnsi="仿宋" w:eastAsia="仿宋" w:cs="仿宋"/>
          <w:sz w:val="24"/>
          <w:highlight w:val="none"/>
        </w:rPr>
      </w:pPr>
    </w:p>
    <w:p>
      <w:pPr>
        <w:jc w:val="left"/>
        <w:rPr>
          <w:rFonts w:ascii="仿宋" w:hAnsi="仿宋" w:eastAsia="仿宋" w:cs="仿宋"/>
          <w:sz w:val="24"/>
          <w:highlight w:val="none"/>
        </w:rPr>
      </w:pPr>
    </w:p>
    <w:p>
      <w:pPr>
        <w:jc w:val="left"/>
        <w:rPr>
          <w:rFonts w:ascii="仿宋" w:hAnsi="仿宋" w:eastAsia="仿宋" w:cs="仿宋"/>
          <w:sz w:val="24"/>
          <w:highlight w:val="none"/>
        </w:rPr>
      </w:pPr>
    </w:p>
    <w:p>
      <w:pPr>
        <w:jc w:val="left"/>
        <w:rPr>
          <w:rFonts w:ascii="仿宋" w:hAnsi="仿宋" w:eastAsia="仿宋" w:cs="仿宋"/>
          <w:sz w:val="24"/>
          <w:highlight w:val="none"/>
        </w:rPr>
      </w:pPr>
    </w:p>
    <w:p>
      <w:pPr>
        <w:jc w:val="left"/>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表五：一般公共预算财政拨款支出决算表</w:t>
      </w:r>
    </w:p>
    <w:p>
      <w:pPr>
        <w:jc w:val="left"/>
        <w:rPr>
          <w:rFonts w:hint="eastAsia" w:ascii="仿宋" w:hAnsi="仿宋" w:eastAsia="仿宋" w:cs="仿宋"/>
          <w:sz w:val="24"/>
          <w:highlight w:val="none"/>
        </w:rPr>
      </w:pPr>
    </w:p>
    <w:tbl>
      <w:tblPr>
        <w:tblStyle w:val="6"/>
        <w:tblW w:w="13983" w:type="dxa"/>
        <w:tblInd w:w="93" w:type="dxa"/>
        <w:tblLayout w:type="fixed"/>
        <w:tblCellMar>
          <w:top w:w="0" w:type="dxa"/>
          <w:left w:w="108" w:type="dxa"/>
          <w:bottom w:w="0" w:type="dxa"/>
          <w:right w:w="108" w:type="dxa"/>
        </w:tblCellMar>
      </w:tblPr>
      <w:tblGrid>
        <w:gridCol w:w="3"/>
        <w:gridCol w:w="987"/>
        <w:gridCol w:w="1296"/>
        <w:gridCol w:w="238"/>
        <w:gridCol w:w="238"/>
        <w:gridCol w:w="2052"/>
        <w:gridCol w:w="106"/>
        <w:gridCol w:w="3000"/>
        <w:gridCol w:w="67"/>
        <w:gridCol w:w="2813"/>
        <w:gridCol w:w="294"/>
        <w:gridCol w:w="2867"/>
        <w:gridCol w:w="22"/>
      </w:tblGrid>
      <w:tr>
        <w:tblPrEx>
          <w:tblCellMar>
            <w:top w:w="0" w:type="dxa"/>
            <w:left w:w="108" w:type="dxa"/>
            <w:bottom w:w="0" w:type="dxa"/>
            <w:right w:w="108" w:type="dxa"/>
          </w:tblCellMar>
        </w:tblPrEx>
        <w:trPr>
          <w:gridBefore w:val="1"/>
          <w:wBefore w:w="3" w:type="dxa"/>
          <w:trHeight w:val="693" w:hRule="atLeast"/>
        </w:trPr>
        <w:tc>
          <w:tcPr>
            <w:tcW w:w="13980" w:type="dxa"/>
            <w:gridSpan w:val="1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一般公共预算财政拨款支出决算表</w:t>
            </w:r>
          </w:p>
        </w:tc>
      </w:tr>
      <w:tr>
        <w:tblPrEx>
          <w:tblCellMar>
            <w:top w:w="0" w:type="dxa"/>
            <w:left w:w="108" w:type="dxa"/>
            <w:bottom w:w="0" w:type="dxa"/>
            <w:right w:w="108" w:type="dxa"/>
          </w:tblCellMar>
        </w:tblPrEx>
        <w:trPr>
          <w:gridBefore w:val="1"/>
          <w:wBefore w:w="3" w:type="dxa"/>
          <w:trHeight w:val="346" w:hRule="atLeast"/>
        </w:trPr>
        <w:tc>
          <w:tcPr>
            <w:tcW w:w="2283"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05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173" w:type="dxa"/>
            <w:gridSpan w:val="3"/>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107"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89"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公开05表</w:t>
            </w:r>
          </w:p>
        </w:tc>
      </w:tr>
      <w:tr>
        <w:tblPrEx>
          <w:tblCellMar>
            <w:top w:w="0" w:type="dxa"/>
            <w:left w:w="108" w:type="dxa"/>
            <w:bottom w:w="0" w:type="dxa"/>
            <w:right w:w="108" w:type="dxa"/>
          </w:tblCellMar>
        </w:tblPrEx>
        <w:trPr>
          <w:gridBefore w:val="1"/>
          <w:wBefore w:w="3" w:type="dxa"/>
          <w:trHeight w:val="346" w:hRule="atLeast"/>
        </w:trPr>
        <w:tc>
          <w:tcPr>
            <w:tcW w:w="7984" w:type="dxa"/>
            <w:gridSpan w:val="8"/>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环江毛南族自治县长美学校</w:t>
            </w:r>
          </w:p>
        </w:tc>
        <w:tc>
          <w:tcPr>
            <w:tcW w:w="3107" w:type="dxa"/>
            <w:gridSpan w:val="2"/>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89" w:type="dxa"/>
            <w:gridSpan w:val="2"/>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2" w:type="dxa"/>
          <w:trHeight w:val="300" w:hRule="atLeast"/>
        </w:trPr>
        <w:tc>
          <w:tcPr>
            <w:tcW w:w="4920" w:type="dxa"/>
            <w:gridSpan w:val="7"/>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9041" w:type="dxa"/>
            <w:gridSpan w:val="5"/>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2" w:type="dxa"/>
          <w:trHeight w:val="300" w:hRule="atLeast"/>
        </w:trPr>
        <w:tc>
          <w:tcPr>
            <w:tcW w:w="990" w:type="dxa"/>
            <w:gridSpan w:val="2"/>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3930" w:type="dxa"/>
            <w:gridSpan w:val="5"/>
            <w:vMerge w:val="restar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300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2880" w:type="dxa"/>
            <w:gridSpan w:val="2"/>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3161" w:type="dxa"/>
            <w:gridSpan w:val="2"/>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2" w:type="dxa"/>
          <w:trHeight w:val="270" w:hRule="atLeast"/>
        </w:trPr>
        <w:tc>
          <w:tcPr>
            <w:tcW w:w="990" w:type="dxa"/>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930" w:type="dxa"/>
            <w:gridSpan w:val="5"/>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00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880" w:type="dxa"/>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161" w:type="dxa"/>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2" w:type="dxa"/>
          <w:trHeight w:val="300" w:hRule="atLeast"/>
        </w:trPr>
        <w:tc>
          <w:tcPr>
            <w:tcW w:w="990" w:type="dxa"/>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930" w:type="dxa"/>
            <w:gridSpan w:val="5"/>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00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880" w:type="dxa"/>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161" w:type="dxa"/>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2" w:type="dxa"/>
          <w:trHeight w:val="420" w:hRule="atLeast"/>
        </w:trPr>
        <w:tc>
          <w:tcPr>
            <w:tcW w:w="4920" w:type="dxa"/>
            <w:gridSpan w:val="7"/>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300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880"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161"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2" w:type="dxa"/>
          <w:trHeight w:val="405" w:hRule="atLeast"/>
        </w:trPr>
        <w:tc>
          <w:tcPr>
            <w:tcW w:w="4920" w:type="dxa"/>
            <w:gridSpan w:val="7"/>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3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1,857.77</w:t>
            </w:r>
          </w:p>
        </w:tc>
        <w:tc>
          <w:tcPr>
            <w:tcW w:w="288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1,531.61</w:t>
            </w:r>
          </w:p>
        </w:tc>
        <w:tc>
          <w:tcPr>
            <w:tcW w:w="3161"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326.16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2" w:type="dxa"/>
          <w:trHeight w:val="300" w:hRule="atLeast"/>
        </w:trPr>
        <w:tc>
          <w:tcPr>
            <w:tcW w:w="99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2012999</w:t>
            </w:r>
          </w:p>
        </w:tc>
        <w:tc>
          <w:tcPr>
            <w:tcW w:w="3930" w:type="dxa"/>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其他群众团体事务支出</w:t>
            </w:r>
          </w:p>
        </w:tc>
        <w:tc>
          <w:tcPr>
            <w:tcW w:w="3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18.86</w:t>
            </w:r>
          </w:p>
        </w:tc>
        <w:tc>
          <w:tcPr>
            <w:tcW w:w="288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18.86</w:t>
            </w:r>
          </w:p>
        </w:tc>
        <w:tc>
          <w:tcPr>
            <w:tcW w:w="3161"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2" w:type="dxa"/>
          <w:trHeight w:val="300" w:hRule="atLeast"/>
        </w:trPr>
        <w:tc>
          <w:tcPr>
            <w:tcW w:w="99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2050202</w:t>
            </w:r>
          </w:p>
        </w:tc>
        <w:tc>
          <w:tcPr>
            <w:tcW w:w="3930" w:type="dxa"/>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小学教育</w:t>
            </w:r>
          </w:p>
        </w:tc>
        <w:tc>
          <w:tcPr>
            <w:tcW w:w="3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984.94</w:t>
            </w:r>
          </w:p>
        </w:tc>
        <w:tc>
          <w:tcPr>
            <w:tcW w:w="288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757.91</w:t>
            </w:r>
          </w:p>
        </w:tc>
        <w:tc>
          <w:tcPr>
            <w:tcW w:w="3161"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227.03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2" w:type="dxa"/>
          <w:trHeight w:val="300" w:hRule="atLeast"/>
        </w:trPr>
        <w:tc>
          <w:tcPr>
            <w:tcW w:w="99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2050203</w:t>
            </w:r>
          </w:p>
        </w:tc>
        <w:tc>
          <w:tcPr>
            <w:tcW w:w="3930" w:type="dxa"/>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初中教育</w:t>
            </w:r>
          </w:p>
        </w:tc>
        <w:tc>
          <w:tcPr>
            <w:tcW w:w="3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455.91</w:t>
            </w:r>
          </w:p>
        </w:tc>
        <w:tc>
          <w:tcPr>
            <w:tcW w:w="288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363.63</w:t>
            </w:r>
          </w:p>
        </w:tc>
        <w:tc>
          <w:tcPr>
            <w:tcW w:w="3161"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2" w:type="dxa"/>
          <w:trHeight w:val="300" w:hRule="atLeast"/>
        </w:trPr>
        <w:tc>
          <w:tcPr>
            <w:tcW w:w="99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2050299</w:t>
            </w:r>
          </w:p>
        </w:tc>
        <w:tc>
          <w:tcPr>
            <w:tcW w:w="3930" w:type="dxa"/>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其他普通教育支出</w:t>
            </w:r>
          </w:p>
        </w:tc>
        <w:tc>
          <w:tcPr>
            <w:tcW w:w="3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2.72</w:t>
            </w:r>
          </w:p>
        </w:tc>
        <w:tc>
          <w:tcPr>
            <w:tcW w:w="288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0.60</w:t>
            </w:r>
          </w:p>
        </w:tc>
        <w:tc>
          <w:tcPr>
            <w:tcW w:w="3161"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2" w:type="dxa"/>
          <w:trHeight w:val="300" w:hRule="atLeast"/>
        </w:trPr>
        <w:tc>
          <w:tcPr>
            <w:tcW w:w="99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2050701</w:t>
            </w:r>
          </w:p>
        </w:tc>
        <w:tc>
          <w:tcPr>
            <w:tcW w:w="3930" w:type="dxa"/>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特殊学校教育</w:t>
            </w:r>
          </w:p>
        </w:tc>
        <w:tc>
          <w:tcPr>
            <w:tcW w:w="3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2.57</w:t>
            </w:r>
          </w:p>
        </w:tc>
        <w:tc>
          <w:tcPr>
            <w:tcW w:w="288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161"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2" w:type="dxa"/>
          <w:trHeight w:val="300" w:hRule="atLeast"/>
        </w:trPr>
        <w:tc>
          <w:tcPr>
            <w:tcW w:w="99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2050999</w:t>
            </w:r>
          </w:p>
        </w:tc>
        <w:tc>
          <w:tcPr>
            <w:tcW w:w="3930" w:type="dxa"/>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其他教育费附加安排的支出</w:t>
            </w:r>
          </w:p>
        </w:tc>
        <w:tc>
          <w:tcPr>
            <w:tcW w:w="3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w:t>
            </w:r>
          </w:p>
        </w:tc>
        <w:tc>
          <w:tcPr>
            <w:tcW w:w="288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161"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2" w:type="dxa"/>
          <w:trHeight w:val="300" w:hRule="atLeast"/>
        </w:trPr>
        <w:tc>
          <w:tcPr>
            <w:tcW w:w="99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3930" w:type="dxa"/>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3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138.17</w:t>
            </w:r>
          </w:p>
        </w:tc>
        <w:tc>
          <w:tcPr>
            <w:tcW w:w="288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138.17</w:t>
            </w:r>
          </w:p>
        </w:tc>
        <w:tc>
          <w:tcPr>
            <w:tcW w:w="3161"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2" w:type="dxa"/>
          <w:trHeight w:val="300" w:hRule="atLeast"/>
        </w:trPr>
        <w:tc>
          <w:tcPr>
            <w:tcW w:w="99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3930" w:type="dxa"/>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住房公积金</w:t>
            </w:r>
          </w:p>
        </w:tc>
        <w:tc>
          <w:tcPr>
            <w:tcW w:w="3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103.57</w:t>
            </w:r>
          </w:p>
        </w:tc>
        <w:tc>
          <w:tcPr>
            <w:tcW w:w="288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103.57</w:t>
            </w:r>
          </w:p>
        </w:tc>
        <w:tc>
          <w:tcPr>
            <w:tcW w:w="3161"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2" w:type="dxa"/>
          <w:trHeight w:val="300" w:hRule="atLeast"/>
        </w:trPr>
        <w:tc>
          <w:tcPr>
            <w:tcW w:w="99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2299999</w:t>
            </w:r>
          </w:p>
        </w:tc>
        <w:tc>
          <w:tcPr>
            <w:tcW w:w="3930" w:type="dxa"/>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3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148.90</w:t>
            </w:r>
          </w:p>
        </w:tc>
        <w:tc>
          <w:tcPr>
            <w:tcW w:w="288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148.90</w:t>
            </w:r>
          </w:p>
        </w:tc>
        <w:tc>
          <w:tcPr>
            <w:tcW w:w="3161"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2" w:type="dxa"/>
          <w:trHeight w:val="300" w:hRule="atLeast"/>
        </w:trPr>
        <w:tc>
          <w:tcPr>
            <w:tcW w:w="13961" w:type="dxa"/>
            <w:gridSpan w:val="12"/>
            <w:tcBorders>
              <w:top w:val="single" w:color="000000" w:sz="4" w:space="0"/>
              <w:left w:val="nil"/>
              <w:bottom w:val="nil"/>
              <w:right w:val="nil"/>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注：本表反映部门本年度一般公共预算财政拨款支出情况。</w:t>
            </w:r>
          </w:p>
        </w:tc>
      </w:tr>
    </w:tbl>
    <w:p>
      <w:pPr>
        <w:rPr>
          <w:rFonts w:ascii="仿宋" w:hAnsi="仿宋" w:eastAsia="仿宋" w:cs="仿宋"/>
          <w:sz w:val="24"/>
          <w:highlight w:val="none"/>
        </w:rPr>
      </w:pPr>
    </w:p>
    <w:p>
      <w:pPr>
        <w:jc w:val="left"/>
        <w:rPr>
          <w:rFonts w:hint="eastAsia" w:ascii="仿宋" w:hAnsi="仿宋" w:eastAsia="仿宋" w:cs="仿宋"/>
          <w:sz w:val="24"/>
          <w:highlight w:val="none"/>
        </w:rPr>
      </w:pPr>
    </w:p>
    <w:p>
      <w:pPr>
        <w:jc w:val="left"/>
        <w:rPr>
          <w:rFonts w:hint="eastAsia" w:ascii="仿宋" w:hAnsi="仿宋" w:eastAsia="仿宋" w:cs="仿宋"/>
          <w:sz w:val="24"/>
          <w:highlight w:val="none"/>
        </w:rPr>
      </w:pPr>
    </w:p>
    <w:p>
      <w:pPr>
        <w:jc w:val="left"/>
        <w:rPr>
          <w:rFonts w:hint="eastAsia" w:ascii="仿宋" w:hAnsi="仿宋" w:eastAsia="仿宋" w:cs="仿宋"/>
          <w:sz w:val="24"/>
          <w:highlight w:val="none"/>
        </w:rPr>
      </w:pPr>
    </w:p>
    <w:p>
      <w:pPr>
        <w:jc w:val="left"/>
        <w:rPr>
          <w:rFonts w:hint="eastAsia" w:ascii="仿宋" w:hAnsi="仿宋" w:eastAsia="仿宋" w:cs="仿宋"/>
          <w:sz w:val="24"/>
          <w:highlight w:val="none"/>
        </w:rPr>
      </w:pPr>
    </w:p>
    <w:p>
      <w:pPr>
        <w:jc w:val="left"/>
        <w:rPr>
          <w:rFonts w:hint="eastAsia" w:ascii="仿宋" w:hAnsi="仿宋" w:eastAsia="仿宋" w:cs="仿宋"/>
          <w:sz w:val="24"/>
          <w:highlight w:val="none"/>
        </w:rPr>
      </w:pPr>
    </w:p>
    <w:p>
      <w:pPr>
        <w:jc w:val="left"/>
        <w:rPr>
          <w:rFonts w:hint="eastAsia" w:ascii="仿宋" w:hAnsi="仿宋" w:eastAsia="仿宋" w:cs="仿宋"/>
          <w:sz w:val="24"/>
          <w:highlight w:val="none"/>
        </w:rPr>
      </w:pPr>
    </w:p>
    <w:p>
      <w:pPr>
        <w:jc w:val="left"/>
        <w:rPr>
          <w:rFonts w:hint="eastAsia"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表六：一般公共预算财政拨款基本支出决算表</w:t>
      </w:r>
    </w:p>
    <w:p>
      <w:pPr>
        <w:jc w:val="left"/>
        <w:rPr>
          <w:rFonts w:hint="eastAsia" w:ascii="仿宋" w:hAnsi="仿宋" w:eastAsia="仿宋" w:cs="仿宋"/>
          <w:sz w:val="24"/>
          <w:highlight w:val="none"/>
        </w:rPr>
      </w:pPr>
    </w:p>
    <w:tbl>
      <w:tblPr>
        <w:tblStyle w:val="6"/>
        <w:tblpPr w:leftFromText="180" w:rightFromText="180" w:vertAnchor="text" w:horzAnchor="page" w:tblpX="106" w:tblpY="368"/>
        <w:tblOverlap w:val="never"/>
        <w:tblW w:w="15280" w:type="dxa"/>
        <w:tblInd w:w="0" w:type="dxa"/>
        <w:tblLayout w:type="fixed"/>
        <w:tblCellMar>
          <w:top w:w="0" w:type="dxa"/>
          <w:left w:w="108" w:type="dxa"/>
          <w:bottom w:w="0" w:type="dxa"/>
          <w:right w:w="108" w:type="dxa"/>
        </w:tblCellMar>
      </w:tblPr>
      <w:tblGrid>
        <w:gridCol w:w="79"/>
        <w:gridCol w:w="528"/>
        <w:gridCol w:w="390"/>
        <w:gridCol w:w="1966"/>
        <w:gridCol w:w="564"/>
        <w:gridCol w:w="4"/>
        <w:gridCol w:w="349"/>
        <w:gridCol w:w="1061"/>
        <w:gridCol w:w="76"/>
        <w:gridCol w:w="4"/>
        <w:gridCol w:w="2"/>
        <w:gridCol w:w="601"/>
        <w:gridCol w:w="1263"/>
        <w:gridCol w:w="961"/>
        <w:gridCol w:w="76"/>
        <w:gridCol w:w="896"/>
        <w:gridCol w:w="594"/>
        <w:gridCol w:w="607"/>
        <w:gridCol w:w="579"/>
        <w:gridCol w:w="1092"/>
        <w:gridCol w:w="915"/>
        <w:gridCol w:w="2649"/>
        <w:gridCol w:w="7"/>
        <w:gridCol w:w="11"/>
        <w:gridCol w:w="6"/>
      </w:tblGrid>
      <w:tr>
        <w:tblPrEx>
          <w:tblCellMar>
            <w:top w:w="0" w:type="dxa"/>
            <w:left w:w="108" w:type="dxa"/>
            <w:bottom w:w="0" w:type="dxa"/>
            <w:right w:w="108" w:type="dxa"/>
          </w:tblCellMar>
        </w:tblPrEx>
        <w:trPr>
          <w:gridBefore w:val="1"/>
          <w:gridAfter w:val="5"/>
          <w:wBefore w:w="79" w:type="dxa"/>
          <w:wAfter w:w="3588" w:type="dxa"/>
          <w:trHeight w:val="524" w:hRule="atLeast"/>
        </w:trPr>
        <w:tc>
          <w:tcPr>
            <w:tcW w:w="11613" w:type="dxa"/>
            <w:gridSpan w:val="19"/>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一般公共预算财政拨款基本支出决算明细表</w:t>
            </w:r>
          </w:p>
        </w:tc>
      </w:tr>
      <w:tr>
        <w:tblPrEx>
          <w:tblCellMar>
            <w:top w:w="0" w:type="dxa"/>
            <w:left w:w="108" w:type="dxa"/>
            <w:bottom w:w="0" w:type="dxa"/>
            <w:right w:w="108" w:type="dxa"/>
          </w:tblCellMar>
        </w:tblPrEx>
        <w:trPr>
          <w:gridBefore w:val="1"/>
          <w:gridAfter w:val="5"/>
          <w:wBefore w:w="79" w:type="dxa"/>
          <w:wAfter w:w="3588" w:type="dxa"/>
          <w:trHeight w:val="262" w:hRule="atLeast"/>
        </w:trPr>
        <w:tc>
          <w:tcPr>
            <w:tcW w:w="918"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6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917" w:type="dxa"/>
            <w:gridSpan w:val="3"/>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6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46" w:type="dxa"/>
            <w:gridSpan w:val="5"/>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96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972"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80" w:type="dxa"/>
            <w:gridSpan w:val="3"/>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92"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公开06表</w:t>
            </w:r>
          </w:p>
        </w:tc>
      </w:tr>
      <w:tr>
        <w:tblPrEx>
          <w:tblCellMar>
            <w:top w:w="0" w:type="dxa"/>
            <w:left w:w="108" w:type="dxa"/>
            <w:bottom w:w="0" w:type="dxa"/>
            <w:right w:w="108" w:type="dxa"/>
          </w:tblCellMar>
        </w:tblPrEx>
        <w:trPr>
          <w:gridBefore w:val="1"/>
          <w:gridAfter w:val="5"/>
          <w:wBefore w:w="79" w:type="dxa"/>
          <w:wAfter w:w="3588" w:type="dxa"/>
          <w:trHeight w:val="385" w:hRule="atLeast"/>
        </w:trPr>
        <w:tc>
          <w:tcPr>
            <w:tcW w:w="6808" w:type="dxa"/>
            <w:gridSpan w:val="12"/>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环江毛南族自治县长美学校</w:t>
            </w:r>
          </w:p>
        </w:tc>
        <w:tc>
          <w:tcPr>
            <w:tcW w:w="961"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972" w:type="dxa"/>
            <w:gridSpan w:val="2"/>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72" w:type="dxa"/>
            <w:gridSpan w:val="4"/>
            <w:tcBorders>
              <w:top w:val="nil"/>
              <w:left w:val="nil"/>
              <w:bottom w:val="single" w:color="auto" w:sz="4" w:space="0"/>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 w:type="dxa"/>
          <w:trHeight w:val="271" w:hRule="atLeast"/>
        </w:trPr>
        <w:tc>
          <w:tcPr>
            <w:tcW w:w="5023" w:type="dxa"/>
            <w:gridSpan w:val="11"/>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w:t>
            </w:r>
          </w:p>
        </w:tc>
        <w:tc>
          <w:tcPr>
            <w:tcW w:w="10251" w:type="dxa"/>
            <w:gridSpan w:val="1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24" w:type="dxa"/>
          <w:trHeight w:val="312" w:hRule="atLeast"/>
        </w:trPr>
        <w:tc>
          <w:tcPr>
            <w:tcW w:w="607" w:type="dxa"/>
            <w:gridSpan w:val="2"/>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2920" w:type="dxa"/>
            <w:gridSpan w:val="3"/>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490" w:type="dxa"/>
            <w:gridSpan w:val="4"/>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607" w:type="dxa"/>
            <w:gridSpan w:val="3"/>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2300" w:type="dxa"/>
            <w:gridSpan w:val="3"/>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490" w:type="dxa"/>
            <w:gridSpan w:val="2"/>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607"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2586" w:type="dxa"/>
            <w:gridSpan w:val="3"/>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2649"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24" w:type="dxa"/>
          <w:trHeight w:val="786" w:hRule="atLeast"/>
        </w:trPr>
        <w:tc>
          <w:tcPr>
            <w:tcW w:w="607" w:type="dxa"/>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920" w:type="dxa"/>
            <w:gridSpan w:val="3"/>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490" w:type="dxa"/>
            <w:gridSpan w:val="4"/>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607" w:type="dxa"/>
            <w:gridSpan w:val="3"/>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300" w:type="dxa"/>
            <w:gridSpan w:val="3"/>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490" w:type="dxa"/>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607"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586" w:type="dxa"/>
            <w:gridSpan w:val="3"/>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649"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24" w:type="dxa"/>
          <w:trHeight w:val="271" w:hRule="atLeast"/>
        </w:trPr>
        <w:tc>
          <w:tcPr>
            <w:tcW w:w="607"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w:t>
            </w:r>
          </w:p>
        </w:tc>
        <w:tc>
          <w:tcPr>
            <w:tcW w:w="2920"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工资福利支出</w:t>
            </w:r>
          </w:p>
        </w:tc>
        <w:tc>
          <w:tcPr>
            <w:tcW w:w="1490"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1,459.22</w:t>
            </w:r>
          </w:p>
        </w:tc>
        <w:tc>
          <w:tcPr>
            <w:tcW w:w="607"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w:t>
            </w:r>
          </w:p>
        </w:tc>
        <w:tc>
          <w:tcPr>
            <w:tcW w:w="2300"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商品和服务支出</w:t>
            </w:r>
          </w:p>
        </w:tc>
        <w:tc>
          <w:tcPr>
            <w:tcW w:w="149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18.86</w:t>
            </w:r>
          </w:p>
        </w:tc>
        <w:tc>
          <w:tcPr>
            <w:tcW w:w="60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w:t>
            </w:r>
          </w:p>
        </w:tc>
        <w:tc>
          <w:tcPr>
            <w:tcW w:w="2586"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债务利息及费用支出</w:t>
            </w:r>
          </w:p>
        </w:tc>
        <w:tc>
          <w:tcPr>
            <w:tcW w:w="26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24" w:type="dxa"/>
          <w:trHeight w:val="532" w:hRule="atLeast"/>
        </w:trPr>
        <w:tc>
          <w:tcPr>
            <w:tcW w:w="607"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2920"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1490"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418.06</w:t>
            </w:r>
          </w:p>
        </w:tc>
        <w:tc>
          <w:tcPr>
            <w:tcW w:w="607"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2300"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149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60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30701</w:t>
            </w:r>
          </w:p>
        </w:tc>
        <w:tc>
          <w:tcPr>
            <w:tcW w:w="2586"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26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24" w:type="dxa"/>
          <w:trHeight w:val="532" w:hRule="atLeast"/>
        </w:trPr>
        <w:tc>
          <w:tcPr>
            <w:tcW w:w="607"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2920"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1490"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130.90</w:t>
            </w:r>
          </w:p>
        </w:tc>
        <w:tc>
          <w:tcPr>
            <w:tcW w:w="607"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2300"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149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60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30702</w:t>
            </w:r>
          </w:p>
        </w:tc>
        <w:tc>
          <w:tcPr>
            <w:tcW w:w="2586"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26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24" w:type="dxa"/>
          <w:trHeight w:val="532" w:hRule="atLeast"/>
        </w:trPr>
        <w:tc>
          <w:tcPr>
            <w:tcW w:w="607"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2920"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1490"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403.11</w:t>
            </w:r>
          </w:p>
        </w:tc>
        <w:tc>
          <w:tcPr>
            <w:tcW w:w="607"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2300"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149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60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w:t>
            </w:r>
          </w:p>
        </w:tc>
        <w:tc>
          <w:tcPr>
            <w:tcW w:w="2586"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资本性支出</w:t>
            </w:r>
          </w:p>
        </w:tc>
        <w:tc>
          <w:tcPr>
            <w:tcW w:w="26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24" w:type="dxa"/>
          <w:trHeight w:val="532" w:hRule="atLeast"/>
        </w:trPr>
        <w:tc>
          <w:tcPr>
            <w:tcW w:w="607"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2920"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1490"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07"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2300"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149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60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31001</w:t>
            </w:r>
          </w:p>
        </w:tc>
        <w:tc>
          <w:tcPr>
            <w:tcW w:w="2586"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26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24" w:type="dxa"/>
          <w:trHeight w:val="532" w:hRule="atLeast"/>
        </w:trPr>
        <w:tc>
          <w:tcPr>
            <w:tcW w:w="607"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2920"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1490"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204.15</w:t>
            </w:r>
          </w:p>
        </w:tc>
        <w:tc>
          <w:tcPr>
            <w:tcW w:w="607"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2300"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149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60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31002</w:t>
            </w:r>
          </w:p>
        </w:tc>
        <w:tc>
          <w:tcPr>
            <w:tcW w:w="2586"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26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24" w:type="dxa"/>
          <w:trHeight w:val="532" w:hRule="atLeast"/>
        </w:trPr>
        <w:tc>
          <w:tcPr>
            <w:tcW w:w="607"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2920"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1490"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138.17</w:t>
            </w:r>
          </w:p>
        </w:tc>
        <w:tc>
          <w:tcPr>
            <w:tcW w:w="607"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2300"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149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60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31003</w:t>
            </w:r>
          </w:p>
        </w:tc>
        <w:tc>
          <w:tcPr>
            <w:tcW w:w="2586"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26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24" w:type="dxa"/>
          <w:trHeight w:val="532" w:hRule="atLeast"/>
        </w:trPr>
        <w:tc>
          <w:tcPr>
            <w:tcW w:w="607"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2920"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1490"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07"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2300"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149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60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31005</w:t>
            </w:r>
          </w:p>
        </w:tc>
        <w:tc>
          <w:tcPr>
            <w:tcW w:w="2586"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26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24" w:type="dxa"/>
          <w:trHeight w:val="438" w:hRule="atLeast"/>
        </w:trPr>
        <w:tc>
          <w:tcPr>
            <w:tcW w:w="607"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2920"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1490"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54.49</w:t>
            </w:r>
          </w:p>
        </w:tc>
        <w:tc>
          <w:tcPr>
            <w:tcW w:w="607"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2300"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149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60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31006</w:t>
            </w:r>
          </w:p>
        </w:tc>
        <w:tc>
          <w:tcPr>
            <w:tcW w:w="2586"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26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24" w:type="dxa"/>
          <w:trHeight w:val="532" w:hRule="atLeast"/>
        </w:trPr>
        <w:tc>
          <w:tcPr>
            <w:tcW w:w="607"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2920"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1490"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07"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2300"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149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60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31007</w:t>
            </w:r>
          </w:p>
        </w:tc>
        <w:tc>
          <w:tcPr>
            <w:tcW w:w="2586"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26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24" w:type="dxa"/>
          <w:trHeight w:val="532" w:hRule="atLeast"/>
        </w:trPr>
        <w:tc>
          <w:tcPr>
            <w:tcW w:w="607"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2920"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1490"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6.78</w:t>
            </w:r>
          </w:p>
        </w:tc>
        <w:tc>
          <w:tcPr>
            <w:tcW w:w="607"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2300"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149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60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31008</w:t>
            </w:r>
          </w:p>
        </w:tc>
        <w:tc>
          <w:tcPr>
            <w:tcW w:w="2586"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26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24" w:type="dxa"/>
          <w:trHeight w:val="532" w:hRule="atLeast"/>
        </w:trPr>
        <w:tc>
          <w:tcPr>
            <w:tcW w:w="607"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2920"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1490"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103.57</w:t>
            </w:r>
          </w:p>
        </w:tc>
        <w:tc>
          <w:tcPr>
            <w:tcW w:w="607"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2300"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149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60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31009</w:t>
            </w:r>
          </w:p>
        </w:tc>
        <w:tc>
          <w:tcPr>
            <w:tcW w:w="2586"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26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24" w:type="dxa"/>
          <w:trHeight w:val="532" w:hRule="atLeast"/>
        </w:trPr>
        <w:tc>
          <w:tcPr>
            <w:tcW w:w="607"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2920"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1490"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07"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2300"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149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60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31010</w:t>
            </w:r>
          </w:p>
        </w:tc>
        <w:tc>
          <w:tcPr>
            <w:tcW w:w="2586"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26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24" w:type="dxa"/>
          <w:trHeight w:val="532" w:hRule="atLeast"/>
        </w:trPr>
        <w:tc>
          <w:tcPr>
            <w:tcW w:w="607"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2920"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1490"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07"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2300"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149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60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31011</w:t>
            </w:r>
          </w:p>
        </w:tc>
        <w:tc>
          <w:tcPr>
            <w:tcW w:w="2586"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26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24" w:type="dxa"/>
          <w:trHeight w:val="532" w:hRule="atLeast"/>
        </w:trPr>
        <w:tc>
          <w:tcPr>
            <w:tcW w:w="607"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w:t>
            </w:r>
          </w:p>
        </w:tc>
        <w:tc>
          <w:tcPr>
            <w:tcW w:w="2920"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对个人和家庭的补助</w:t>
            </w:r>
          </w:p>
        </w:tc>
        <w:tc>
          <w:tcPr>
            <w:tcW w:w="1490"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53.53</w:t>
            </w:r>
          </w:p>
        </w:tc>
        <w:tc>
          <w:tcPr>
            <w:tcW w:w="607"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2300"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149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60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31012</w:t>
            </w:r>
          </w:p>
        </w:tc>
        <w:tc>
          <w:tcPr>
            <w:tcW w:w="2586"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26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24" w:type="dxa"/>
          <w:trHeight w:val="532" w:hRule="atLeast"/>
        </w:trPr>
        <w:tc>
          <w:tcPr>
            <w:tcW w:w="607"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2920"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1490"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07"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2300"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149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60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31013</w:t>
            </w:r>
          </w:p>
        </w:tc>
        <w:tc>
          <w:tcPr>
            <w:tcW w:w="2586"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26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24" w:type="dxa"/>
          <w:trHeight w:val="532" w:hRule="atLeast"/>
        </w:trPr>
        <w:tc>
          <w:tcPr>
            <w:tcW w:w="607"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2920"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1490"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07"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2300"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149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60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31019</w:t>
            </w:r>
          </w:p>
        </w:tc>
        <w:tc>
          <w:tcPr>
            <w:tcW w:w="2586"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26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24" w:type="dxa"/>
          <w:trHeight w:val="532" w:hRule="atLeast"/>
        </w:trPr>
        <w:tc>
          <w:tcPr>
            <w:tcW w:w="607"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2920"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1490"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07"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2300"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149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60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31021</w:t>
            </w:r>
          </w:p>
        </w:tc>
        <w:tc>
          <w:tcPr>
            <w:tcW w:w="2586"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26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24" w:type="dxa"/>
          <w:trHeight w:val="532" w:hRule="atLeast"/>
        </w:trPr>
        <w:tc>
          <w:tcPr>
            <w:tcW w:w="607"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2920"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1490"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0.39</w:t>
            </w:r>
          </w:p>
        </w:tc>
        <w:tc>
          <w:tcPr>
            <w:tcW w:w="607"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2300"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149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60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31022</w:t>
            </w:r>
          </w:p>
        </w:tc>
        <w:tc>
          <w:tcPr>
            <w:tcW w:w="2586"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26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24" w:type="dxa"/>
          <w:trHeight w:val="532" w:hRule="atLeast"/>
        </w:trPr>
        <w:tc>
          <w:tcPr>
            <w:tcW w:w="607"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2920"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1490"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53.15</w:t>
            </w:r>
          </w:p>
        </w:tc>
        <w:tc>
          <w:tcPr>
            <w:tcW w:w="607"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2300"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149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60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31099</w:t>
            </w:r>
          </w:p>
        </w:tc>
        <w:tc>
          <w:tcPr>
            <w:tcW w:w="2586"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26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24" w:type="dxa"/>
          <w:trHeight w:val="532" w:hRule="atLeast"/>
        </w:trPr>
        <w:tc>
          <w:tcPr>
            <w:tcW w:w="607"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2920"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1490"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07"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2300"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149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60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w:t>
            </w:r>
          </w:p>
        </w:tc>
        <w:tc>
          <w:tcPr>
            <w:tcW w:w="2586"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26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24" w:type="dxa"/>
          <w:trHeight w:val="532" w:hRule="atLeast"/>
        </w:trPr>
        <w:tc>
          <w:tcPr>
            <w:tcW w:w="607"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2920"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1490"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07"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2300"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149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60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39907</w:t>
            </w:r>
          </w:p>
        </w:tc>
        <w:tc>
          <w:tcPr>
            <w:tcW w:w="2586"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26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24" w:type="dxa"/>
          <w:trHeight w:val="532" w:hRule="atLeast"/>
        </w:trPr>
        <w:tc>
          <w:tcPr>
            <w:tcW w:w="607"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2920"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1490"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07"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2300"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149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18.86</w:t>
            </w:r>
          </w:p>
        </w:tc>
        <w:tc>
          <w:tcPr>
            <w:tcW w:w="60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39908</w:t>
            </w:r>
          </w:p>
        </w:tc>
        <w:tc>
          <w:tcPr>
            <w:tcW w:w="2586"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26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24" w:type="dxa"/>
          <w:trHeight w:val="532" w:hRule="atLeast"/>
        </w:trPr>
        <w:tc>
          <w:tcPr>
            <w:tcW w:w="607"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2920"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1490"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07"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2300"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149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60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39909</w:t>
            </w:r>
          </w:p>
        </w:tc>
        <w:tc>
          <w:tcPr>
            <w:tcW w:w="2586"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26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24" w:type="dxa"/>
          <w:trHeight w:val="532" w:hRule="atLeast"/>
        </w:trPr>
        <w:tc>
          <w:tcPr>
            <w:tcW w:w="607"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2920"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1490"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07"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2300"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149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60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39910</w:t>
            </w:r>
          </w:p>
        </w:tc>
        <w:tc>
          <w:tcPr>
            <w:tcW w:w="2586"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26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24" w:type="dxa"/>
          <w:trHeight w:val="532" w:hRule="atLeast"/>
        </w:trPr>
        <w:tc>
          <w:tcPr>
            <w:tcW w:w="607"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2920"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1490"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07"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2300"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149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60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39999</w:t>
            </w:r>
          </w:p>
        </w:tc>
        <w:tc>
          <w:tcPr>
            <w:tcW w:w="2586"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26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24" w:type="dxa"/>
          <w:trHeight w:val="532" w:hRule="atLeast"/>
        </w:trPr>
        <w:tc>
          <w:tcPr>
            <w:tcW w:w="607"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2920"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1490"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07"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2300"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149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60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2586"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26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24" w:type="dxa"/>
          <w:trHeight w:val="532" w:hRule="atLeast"/>
        </w:trPr>
        <w:tc>
          <w:tcPr>
            <w:tcW w:w="607"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2920"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490"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607"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2300"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149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60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2586"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26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 w:type="dxa"/>
          <w:trHeight w:val="271" w:hRule="atLeast"/>
        </w:trPr>
        <w:tc>
          <w:tcPr>
            <w:tcW w:w="3531" w:type="dxa"/>
            <w:gridSpan w:val="6"/>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人员经费合计</w:t>
            </w:r>
          </w:p>
        </w:tc>
        <w:tc>
          <w:tcPr>
            <w:tcW w:w="1490"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1,512.76</w:t>
            </w:r>
          </w:p>
        </w:tc>
        <w:tc>
          <w:tcPr>
            <w:tcW w:w="7586" w:type="dxa"/>
            <w:gridSpan w:val="11"/>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公用经费合计</w:t>
            </w:r>
          </w:p>
        </w:tc>
        <w:tc>
          <w:tcPr>
            <w:tcW w:w="265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1" w:hRule="atLeast"/>
        </w:trPr>
        <w:tc>
          <w:tcPr>
            <w:tcW w:w="15280" w:type="dxa"/>
            <w:gridSpan w:val="25"/>
            <w:tcBorders>
              <w:top w:val="single" w:color="000000" w:sz="4" w:space="0"/>
              <w:left w:val="nil"/>
              <w:bottom w:val="nil"/>
              <w:right w:val="nil"/>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注：本表反映部门本年度一般公共预算财政拨款基本支出明细情况。</w:t>
            </w:r>
          </w:p>
        </w:tc>
      </w:tr>
    </w:tbl>
    <w:p>
      <w:pPr>
        <w:jc w:val="left"/>
        <w:rPr>
          <w:rFonts w:ascii="仿宋" w:hAnsi="仿宋" w:eastAsia="仿宋" w:cs="仿宋"/>
          <w:sz w:val="24"/>
          <w:highlight w:val="none"/>
        </w:rPr>
      </w:pPr>
    </w:p>
    <w:p>
      <w:pPr>
        <w:rPr>
          <w:rFonts w:ascii="仿宋" w:hAnsi="仿宋" w:eastAsia="仿宋" w:cs="仿宋"/>
          <w:sz w:val="24"/>
          <w:highlight w:val="none"/>
        </w:rPr>
      </w:pPr>
      <w:r>
        <w:rPr>
          <w:rFonts w:ascii="仿宋" w:hAnsi="仿宋" w:eastAsia="仿宋" w:cs="仿宋"/>
          <w:sz w:val="24"/>
          <w:highlight w:val="none"/>
        </w:rPr>
        <w:br w:type="page"/>
      </w:r>
    </w:p>
    <w:p>
      <w:pPr>
        <w:jc w:val="left"/>
        <w:rPr>
          <w:rFonts w:hint="eastAsia" w:ascii="仿宋" w:hAnsi="仿宋" w:eastAsia="仿宋" w:cs="仿宋"/>
          <w:sz w:val="24"/>
          <w:highlight w:val="none"/>
        </w:rPr>
      </w:pPr>
      <w:r>
        <w:rPr>
          <w:rFonts w:hint="eastAsia" w:ascii="仿宋" w:hAnsi="仿宋" w:eastAsia="仿宋" w:cs="仿宋"/>
          <w:sz w:val="24"/>
          <w:highlight w:val="none"/>
        </w:rPr>
        <w:t>表</w:t>
      </w:r>
      <w:r>
        <w:rPr>
          <w:rFonts w:hint="eastAsia" w:ascii="仿宋" w:hAnsi="仿宋" w:eastAsia="仿宋" w:cs="仿宋"/>
          <w:sz w:val="24"/>
          <w:highlight w:val="none"/>
          <w:lang w:val="en-US" w:eastAsia="zh-CN"/>
        </w:rPr>
        <w:t>七</w:t>
      </w:r>
      <w:r>
        <w:rPr>
          <w:rFonts w:hint="eastAsia" w:ascii="仿宋" w:hAnsi="仿宋" w:eastAsia="仿宋" w:cs="仿宋"/>
          <w:sz w:val="24"/>
          <w:highlight w:val="none"/>
        </w:rPr>
        <w:t>：政府性基金预算财政拨款收入支出决算表</w:t>
      </w:r>
    </w:p>
    <w:p>
      <w:pPr>
        <w:jc w:val="left"/>
        <w:rPr>
          <w:rFonts w:hint="eastAsia" w:ascii="仿宋" w:hAnsi="仿宋" w:eastAsia="仿宋" w:cs="仿宋"/>
          <w:sz w:val="24"/>
          <w:highlight w:val="none"/>
        </w:rPr>
      </w:pPr>
    </w:p>
    <w:tbl>
      <w:tblPr>
        <w:tblStyle w:val="6"/>
        <w:tblW w:w="14314" w:type="dxa"/>
        <w:tblInd w:w="93" w:type="dxa"/>
        <w:tblLayout w:type="fixed"/>
        <w:tblCellMar>
          <w:top w:w="0" w:type="dxa"/>
          <w:left w:w="108" w:type="dxa"/>
          <w:bottom w:w="0" w:type="dxa"/>
          <w:right w:w="108" w:type="dxa"/>
        </w:tblCellMar>
      </w:tblPr>
      <w:tblGrid>
        <w:gridCol w:w="1"/>
        <w:gridCol w:w="942"/>
        <w:gridCol w:w="294"/>
        <w:gridCol w:w="236"/>
        <w:gridCol w:w="236"/>
        <w:gridCol w:w="1550"/>
        <w:gridCol w:w="1449"/>
        <w:gridCol w:w="431"/>
        <w:gridCol w:w="1170"/>
        <w:gridCol w:w="406"/>
        <w:gridCol w:w="1195"/>
        <w:gridCol w:w="330"/>
        <w:gridCol w:w="1271"/>
        <w:gridCol w:w="330"/>
        <w:gridCol w:w="1271"/>
        <w:gridCol w:w="376"/>
        <w:gridCol w:w="1"/>
        <w:gridCol w:w="1225"/>
        <w:gridCol w:w="1600"/>
      </w:tblGrid>
      <w:tr>
        <w:tblPrEx>
          <w:tblCellMar>
            <w:top w:w="0" w:type="dxa"/>
            <w:left w:w="108" w:type="dxa"/>
            <w:bottom w:w="0" w:type="dxa"/>
            <w:right w:w="108" w:type="dxa"/>
          </w:tblCellMar>
        </w:tblPrEx>
        <w:trPr>
          <w:gridBefore w:val="1"/>
          <w:wBefore w:w="1" w:type="dxa"/>
          <w:trHeight w:val="639" w:hRule="atLeast"/>
        </w:trPr>
        <w:tc>
          <w:tcPr>
            <w:tcW w:w="14313" w:type="dxa"/>
            <w:gridSpan w:val="18"/>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政府性基金预算财政拨款收入支出决算表</w:t>
            </w:r>
          </w:p>
        </w:tc>
      </w:tr>
      <w:tr>
        <w:tblPrEx>
          <w:tblCellMar>
            <w:top w:w="0" w:type="dxa"/>
            <w:left w:w="108" w:type="dxa"/>
            <w:bottom w:w="0" w:type="dxa"/>
            <w:right w:w="108" w:type="dxa"/>
          </w:tblCellMar>
        </w:tblPrEx>
        <w:trPr>
          <w:gridBefore w:val="1"/>
          <w:wBefore w:w="1" w:type="dxa"/>
          <w:trHeight w:val="268" w:hRule="atLeast"/>
        </w:trPr>
        <w:tc>
          <w:tcPr>
            <w:tcW w:w="1236"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55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880"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576"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525"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01"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48" w:type="dxa"/>
            <w:gridSpan w:val="3"/>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25"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7</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gridBefore w:val="1"/>
          <w:wBefore w:w="1" w:type="dxa"/>
          <w:trHeight w:val="268" w:hRule="atLeast"/>
        </w:trPr>
        <w:tc>
          <w:tcPr>
            <w:tcW w:w="8239" w:type="dxa"/>
            <w:gridSpan w:val="11"/>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环江毛南族自治县长美学校</w:t>
            </w:r>
          </w:p>
        </w:tc>
        <w:tc>
          <w:tcPr>
            <w:tcW w:w="1601" w:type="dxa"/>
            <w:gridSpan w:val="2"/>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47" w:type="dxa"/>
            <w:gridSpan w:val="2"/>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26" w:type="dxa"/>
            <w:gridSpan w:val="3"/>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708" w:type="dxa"/>
            <w:gridSpan w:val="7"/>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601" w:type="dxa"/>
            <w:gridSpan w:val="2"/>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1601" w:type="dxa"/>
            <w:gridSpan w:val="2"/>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w:t>
            </w:r>
          </w:p>
        </w:tc>
        <w:tc>
          <w:tcPr>
            <w:tcW w:w="4804" w:type="dxa"/>
            <w:gridSpan w:val="7"/>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c>
          <w:tcPr>
            <w:tcW w:w="160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43" w:type="dxa"/>
            <w:gridSpan w:val="2"/>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3765" w:type="dxa"/>
            <w:gridSpan w:val="5"/>
            <w:vMerge w:val="restar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601" w:type="dxa"/>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601" w:type="dxa"/>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601" w:type="dxa"/>
            <w:gridSpan w:val="2"/>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601" w:type="dxa"/>
            <w:gridSpan w:val="2"/>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602" w:type="dxa"/>
            <w:gridSpan w:val="3"/>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160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43" w:type="dxa"/>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765" w:type="dxa"/>
            <w:gridSpan w:val="5"/>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601" w:type="dxa"/>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601" w:type="dxa"/>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601" w:type="dxa"/>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601" w:type="dxa"/>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602" w:type="dxa"/>
            <w:gridSpan w:val="3"/>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60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43" w:type="dxa"/>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765" w:type="dxa"/>
            <w:gridSpan w:val="5"/>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601" w:type="dxa"/>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601" w:type="dxa"/>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601" w:type="dxa"/>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601" w:type="dxa"/>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602" w:type="dxa"/>
            <w:gridSpan w:val="3"/>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60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708" w:type="dxa"/>
            <w:gridSpan w:val="7"/>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601"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01"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601"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601"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602"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60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708" w:type="dxa"/>
            <w:gridSpan w:val="7"/>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601"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c>
          <w:tcPr>
            <w:tcW w:w="1601"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2.50</w:t>
            </w:r>
          </w:p>
        </w:tc>
        <w:tc>
          <w:tcPr>
            <w:tcW w:w="1601"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2.50</w:t>
            </w:r>
          </w:p>
        </w:tc>
        <w:tc>
          <w:tcPr>
            <w:tcW w:w="1601"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c>
          <w:tcPr>
            <w:tcW w:w="1602"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2.50</w:t>
            </w:r>
          </w:p>
        </w:tc>
        <w:tc>
          <w:tcPr>
            <w:tcW w:w="1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943"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2296004</w:t>
            </w:r>
          </w:p>
        </w:tc>
        <w:tc>
          <w:tcPr>
            <w:tcW w:w="3765" w:type="dxa"/>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用于教育事业的彩票公益金支出</w:t>
            </w:r>
          </w:p>
        </w:tc>
        <w:tc>
          <w:tcPr>
            <w:tcW w:w="1601"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601"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2.50</w:t>
            </w:r>
          </w:p>
        </w:tc>
        <w:tc>
          <w:tcPr>
            <w:tcW w:w="1601"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2.50</w:t>
            </w:r>
          </w:p>
        </w:tc>
        <w:tc>
          <w:tcPr>
            <w:tcW w:w="1601"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602"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2.50</w:t>
            </w:r>
          </w:p>
        </w:tc>
        <w:tc>
          <w:tcPr>
            <w:tcW w:w="1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4314" w:type="dxa"/>
            <w:gridSpan w:val="19"/>
            <w:tcBorders>
              <w:top w:val="single" w:color="000000" w:sz="4" w:space="0"/>
              <w:left w:val="nil"/>
              <w:bottom w:val="nil"/>
              <w:right w:val="nil"/>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注：本表反映部门本年度政府性基金预算财政拨款收入、支出及结转和结余情况。</w:t>
            </w:r>
          </w:p>
        </w:tc>
      </w:tr>
    </w:tbl>
    <w:p>
      <w:pPr>
        <w:rPr>
          <w:rFonts w:hint="eastAsia" w:ascii="仿宋" w:hAnsi="仿宋" w:eastAsia="仿宋" w:cs="仿宋"/>
          <w:sz w:val="24"/>
          <w:highlight w:val="none"/>
        </w:rPr>
      </w:pPr>
    </w:p>
    <w:p>
      <w:pPr>
        <w:rPr>
          <w:rFonts w:hint="eastAsia" w:ascii="仿宋" w:hAnsi="仿宋" w:eastAsia="仿宋" w:cs="仿宋"/>
          <w:sz w:val="24"/>
          <w:highlight w:val="none"/>
        </w:rPr>
      </w:pPr>
    </w:p>
    <w:p>
      <w:pPr>
        <w:rPr>
          <w:rFonts w:hint="eastAsia" w:ascii="仿宋" w:hAnsi="仿宋" w:eastAsia="仿宋" w:cs="仿宋"/>
          <w:sz w:val="24"/>
          <w:highlight w:val="none"/>
        </w:rPr>
      </w:pPr>
    </w:p>
    <w:p>
      <w:pPr>
        <w:rPr>
          <w:rFonts w:hint="eastAsia" w:ascii="仿宋" w:hAnsi="仿宋" w:eastAsia="仿宋" w:cs="仿宋"/>
          <w:sz w:val="24"/>
          <w:highlight w:val="none"/>
        </w:rPr>
      </w:pPr>
    </w:p>
    <w:p>
      <w:pPr>
        <w:rPr>
          <w:rFonts w:hint="eastAsia" w:ascii="仿宋" w:hAnsi="仿宋" w:eastAsia="仿宋" w:cs="仿宋"/>
          <w:sz w:val="24"/>
          <w:highlight w:val="none"/>
        </w:rPr>
      </w:pPr>
    </w:p>
    <w:p>
      <w:pPr>
        <w:rPr>
          <w:rFonts w:hint="eastAsia" w:ascii="仿宋" w:hAnsi="仿宋" w:eastAsia="仿宋" w:cs="仿宋"/>
          <w:sz w:val="24"/>
          <w:highlight w:val="none"/>
        </w:rPr>
      </w:pPr>
    </w:p>
    <w:p>
      <w:pPr>
        <w:rPr>
          <w:rFonts w:hint="eastAsia" w:ascii="仿宋" w:hAnsi="仿宋" w:eastAsia="仿宋" w:cs="仿宋"/>
          <w:sz w:val="24"/>
          <w:highlight w:val="none"/>
        </w:rPr>
      </w:pPr>
    </w:p>
    <w:p>
      <w:pPr>
        <w:rPr>
          <w:rFonts w:hint="eastAsia" w:ascii="仿宋" w:hAnsi="仿宋" w:eastAsia="仿宋" w:cs="仿宋"/>
          <w:sz w:val="24"/>
          <w:highlight w:val="none"/>
        </w:rPr>
      </w:pPr>
    </w:p>
    <w:p>
      <w:pPr>
        <w:rPr>
          <w:rFonts w:hint="eastAsia" w:ascii="仿宋" w:hAnsi="仿宋" w:eastAsia="仿宋" w:cs="仿宋"/>
          <w:sz w:val="24"/>
          <w:highlight w:val="none"/>
        </w:rPr>
      </w:pPr>
    </w:p>
    <w:p>
      <w:pPr>
        <w:rPr>
          <w:rFonts w:hint="eastAsia" w:ascii="仿宋" w:hAnsi="仿宋" w:eastAsia="仿宋" w:cs="仿宋"/>
          <w:sz w:val="24"/>
          <w:highlight w:val="none"/>
        </w:rPr>
      </w:pPr>
    </w:p>
    <w:p>
      <w:pPr>
        <w:rPr>
          <w:rFonts w:hint="eastAsia" w:ascii="仿宋" w:hAnsi="仿宋" w:eastAsia="仿宋" w:cs="仿宋"/>
          <w:sz w:val="24"/>
          <w:highlight w:val="none"/>
        </w:rPr>
      </w:pPr>
    </w:p>
    <w:p>
      <w:pPr>
        <w:rPr>
          <w:rFonts w:hint="eastAsia" w:ascii="仿宋" w:hAnsi="仿宋" w:eastAsia="仿宋" w:cs="仿宋"/>
          <w:sz w:val="24"/>
          <w:highlight w:val="none"/>
        </w:rPr>
      </w:pPr>
    </w:p>
    <w:p>
      <w:pPr>
        <w:rPr>
          <w:rFonts w:hint="eastAsia" w:ascii="仿宋" w:hAnsi="仿宋" w:eastAsia="仿宋" w:cs="仿宋"/>
          <w:sz w:val="24"/>
          <w:highlight w:val="none"/>
        </w:rPr>
      </w:pPr>
    </w:p>
    <w:p>
      <w:pPr>
        <w:rPr>
          <w:rFonts w:hint="eastAsia" w:ascii="仿宋" w:hAnsi="仿宋" w:eastAsia="仿宋" w:cs="仿宋"/>
          <w:sz w:val="24"/>
          <w:highlight w:val="none"/>
        </w:rPr>
      </w:pPr>
    </w:p>
    <w:p>
      <w:pPr>
        <w:rPr>
          <w:rFonts w:hint="eastAsia" w:ascii="仿宋" w:hAnsi="仿宋" w:eastAsia="仿宋" w:cs="仿宋"/>
          <w:sz w:val="24"/>
          <w:highlight w:val="none"/>
        </w:rPr>
      </w:pPr>
    </w:p>
    <w:p>
      <w:pPr>
        <w:rPr>
          <w:rFonts w:hint="eastAsia" w:ascii="仿宋" w:hAnsi="仿宋" w:eastAsia="仿宋" w:cs="仿宋"/>
          <w:sz w:val="24"/>
          <w:highlight w:val="none"/>
        </w:rPr>
      </w:pPr>
    </w:p>
    <w:p>
      <w:pPr>
        <w:rPr>
          <w:rFonts w:hint="eastAsia" w:ascii="仿宋" w:hAnsi="仿宋" w:eastAsia="仿宋" w:cs="仿宋"/>
          <w:sz w:val="24"/>
          <w:highlight w:val="none"/>
        </w:rPr>
      </w:pPr>
      <w:r>
        <w:rPr>
          <w:rFonts w:hint="eastAsia" w:ascii="仿宋" w:hAnsi="仿宋" w:eastAsia="仿宋" w:cs="仿宋"/>
          <w:sz w:val="24"/>
          <w:highlight w:val="none"/>
        </w:rPr>
        <w:t>表</w:t>
      </w:r>
      <w:r>
        <w:rPr>
          <w:rFonts w:hint="eastAsia" w:ascii="仿宋" w:hAnsi="仿宋" w:eastAsia="仿宋" w:cs="仿宋"/>
          <w:sz w:val="24"/>
          <w:highlight w:val="none"/>
          <w:lang w:val="en-US" w:eastAsia="zh-CN"/>
        </w:rPr>
        <w:t>八</w:t>
      </w:r>
      <w:r>
        <w:rPr>
          <w:rFonts w:hint="eastAsia" w:ascii="仿宋" w:hAnsi="仿宋" w:eastAsia="仿宋" w:cs="仿宋"/>
          <w:sz w:val="24"/>
          <w:highlight w:val="none"/>
        </w:rPr>
        <w:t>：国有资本经营预算财政拨款支出决算表</w:t>
      </w:r>
    </w:p>
    <w:p>
      <w:pPr>
        <w:jc w:val="left"/>
        <w:rPr>
          <w:rFonts w:hint="eastAsia" w:ascii="仿宋" w:hAnsi="仿宋" w:eastAsia="仿宋" w:cs="仿宋"/>
          <w:sz w:val="24"/>
          <w:highlight w:val="none"/>
        </w:rPr>
      </w:pPr>
    </w:p>
    <w:tbl>
      <w:tblPr>
        <w:tblStyle w:val="6"/>
        <w:tblW w:w="13940" w:type="dxa"/>
        <w:tblInd w:w="96" w:type="dxa"/>
        <w:tblLayout w:type="fixed"/>
        <w:tblCellMar>
          <w:top w:w="0" w:type="dxa"/>
          <w:left w:w="108" w:type="dxa"/>
          <w:bottom w:w="0" w:type="dxa"/>
          <w:right w:w="108" w:type="dxa"/>
        </w:tblCellMar>
      </w:tblPr>
      <w:tblGrid>
        <w:gridCol w:w="1638"/>
        <w:gridCol w:w="501"/>
        <w:gridCol w:w="285"/>
        <w:gridCol w:w="363"/>
        <w:gridCol w:w="1960"/>
        <w:gridCol w:w="2993"/>
        <w:gridCol w:w="3135"/>
        <w:gridCol w:w="3065"/>
      </w:tblGrid>
      <w:tr>
        <w:tblPrEx>
          <w:tblCellMar>
            <w:top w:w="0" w:type="dxa"/>
            <w:left w:w="108" w:type="dxa"/>
            <w:bottom w:w="0" w:type="dxa"/>
            <w:right w:w="108" w:type="dxa"/>
          </w:tblCellMar>
        </w:tblPrEx>
        <w:trPr>
          <w:trHeight w:val="384" w:hRule="atLeast"/>
        </w:trPr>
        <w:tc>
          <w:tcPr>
            <w:tcW w:w="13940" w:type="dxa"/>
            <w:gridSpan w:val="8"/>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国有资本经营预算财政拨款支出决算表</w:t>
            </w:r>
          </w:p>
        </w:tc>
      </w:tr>
      <w:tr>
        <w:tblPrEx>
          <w:tblCellMar>
            <w:top w:w="0" w:type="dxa"/>
            <w:left w:w="108" w:type="dxa"/>
            <w:bottom w:w="0" w:type="dxa"/>
            <w:right w:w="108" w:type="dxa"/>
          </w:tblCellMar>
        </w:tblPrEx>
        <w:trPr>
          <w:trHeight w:val="264" w:hRule="atLeast"/>
        </w:trPr>
        <w:tc>
          <w:tcPr>
            <w:tcW w:w="2139"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6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6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99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13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65"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8</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trHeight w:val="264" w:hRule="atLeast"/>
        </w:trPr>
        <w:tc>
          <w:tcPr>
            <w:tcW w:w="7740" w:type="dxa"/>
            <w:gridSpan w:val="6"/>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环江毛南族自治县长美学校</w:t>
            </w:r>
          </w:p>
        </w:tc>
        <w:tc>
          <w:tcPr>
            <w:tcW w:w="313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65"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08" w:hRule="atLeast"/>
        </w:trPr>
        <w:tc>
          <w:tcPr>
            <w:tcW w:w="4747"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919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r>
      <w:tr>
        <w:tblPrEx>
          <w:tblCellMar>
            <w:top w:w="0" w:type="dxa"/>
            <w:left w:w="108" w:type="dxa"/>
            <w:bottom w:w="0" w:type="dxa"/>
            <w:right w:w="108" w:type="dxa"/>
          </w:tblCellMar>
        </w:tblPrEx>
        <w:trPr>
          <w:trHeight w:val="312" w:hRule="atLeast"/>
        </w:trPr>
        <w:tc>
          <w:tcPr>
            <w:tcW w:w="1638"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3109" w:type="dxa"/>
            <w:gridSpan w:val="4"/>
            <w:vMerge w:val="restar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299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313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306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r>
      <w:tr>
        <w:tblPrEx>
          <w:tblCellMar>
            <w:top w:w="0" w:type="dxa"/>
            <w:left w:w="108" w:type="dxa"/>
            <w:bottom w:w="0" w:type="dxa"/>
            <w:right w:w="108" w:type="dxa"/>
          </w:tblCellMar>
        </w:tblPrEx>
        <w:trPr>
          <w:trHeight w:val="312" w:hRule="atLeast"/>
        </w:trPr>
        <w:tc>
          <w:tcPr>
            <w:tcW w:w="1638"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9" w:type="dxa"/>
            <w:gridSpan w:val="4"/>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99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3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06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12" w:hRule="atLeast"/>
        </w:trPr>
        <w:tc>
          <w:tcPr>
            <w:tcW w:w="1638"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9" w:type="dxa"/>
            <w:gridSpan w:val="4"/>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99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3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06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08" w:hRule="atLeast"/>
        </w:trPr>
        <w:tc>
          <w:tcPr>
            <w:tcW w:w="4747" w:type="dxa"/>
            <w:gridSpan w:val="5"/>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r>
      <w:tr>
        <w:tblPrEx>
          <w:tblCellMar>
            <w:top w:w="0" w:type="dxa"/>
            <w:left w:w="108" w:type="dxa"/>
            <w:bottom w:w="0" w:type="dxa"/>
            <w:right w:w="108" w:type="dxa"/>
          </w:tblCellMar>
        </w:tblPrEx>
        <w:trPr>
          <w:trHeight w:val="308" w:hRule="atLeast"/>
        </w:trPr>
        <w:tc>
          <w:tcPr>
            <w:tcW w:w="4747" w:type="dxa"/>
            <w:gridSpan w:val="5"/>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bl>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注：本表反映部门本年度国有资本经营预算财政拨款支出情况。</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2"/>
          <w:sz w:val="21"/>
          <w:szCs w:val="21"/>
          <w:lang w:val="en-US" w:eastAsia="zh-CN" w:bidi="ar"/>
        </w:rPr>
        <w:t>本部门</w:t>
      </w:r>
      <w:r>
        <w:rPr>
          <w:rFonts w:hint="default" w:ascii="Times New Roman" w:hAnsi="Times New Roman" w:eastAsia="宋体" w:cs="Times New Roman"/>
          <w:color w:val="auto"/>
          <w:kern w:val="2"/>
          <w:sz w:val="21"/>
          <w:szCs w:val="21"/>
          <w:lang w:val="en-US" w:eastAsia="zh-CN" w:bidi="ar"/>
        </w:rPr>
        <w:t>202</w:t>
      </w:r>
      <w:r>
        <w:rPr>
          <w:rFonts w:hint="eastAsia" w:ascii="Times New Roman" w:hAnsi="Times New Roman" w:eastAsia="宋体" w:cs="Times New Roman"/>
          <w:color w:val="auto"/>
          <w:kern w:val="2"/>
          <w:sz w:val="21"/>
          <w:szCs w:val="21"/>
          <w:lang w:val="en-US" w:eastAsia="zh-CN" w:bidi="ar"/>
        </w:rPr>
        <w:t>3</w:t>
      </w:r>
      <w:r>
        <w:rPr>
          <w:rFonts w:hint="eastAsia" w:ascii="宋体" w:hAnsi="宋体" w:eastAsia="宋体" w:cs="宋体"/>
          <w:color w:val="auto"/>
          <w:kern w:val="2"/>
          <w:sz w:val="21"/>
          <w:szCs w:val="21"/>
          <w:lang w:val="en-US" w:eastAsia="zh-CN" w:bidi="ar"/>
        </w:rPr>
        <w:t>年度没有国有资本经营预算财政拨款收入，也没有国有资本经营预算财政拨款安排的支出，故本表无数据。</w:t>
      </w:r>
      <w:r>
        <w:rPr>
          <w:rFonts w:hint="eastAsia" w:ascii="宋体" w:hAnsi="宋体" w:eastAsia="宋体" w:cs="宋体"/>
          <w:color w:val="auto"/>
          <w:kern w:val="0"/>
          <w:sz w:val="22"/>
          <w:szCs w:val="22"/>
          <w:highlight w:val="none"/>
          <w:lang w:bidi="ar"/>
        </w:rPr>
        <w:br w:type="page"/>
      </w:r>
    </w:p>
    <w:tbl>
      <w:tblPr>
        <w:tblStyle w:val="6"/>
        <w:tblW w:w="14036" w:type="dxa"/>
        <w:tblInd w:w="0" w:type="dxa"/>
        <w:tblLayout w:type="fixed"/>
        <w:tblCellMar>
          <w:top w:w="0" w:type="dxa"/>
          <w:left w:w="108" w:type="dxa"/>
          <w:bottom w:w="0" w:type="dxa"/>
          <w:right w:w="108" w:type="dxa"/>
        </w:tblCellMar>
      </w:tblPr>
      <w:tblGrid>
        <w:gridCol w:w="96"/>
        <w:gridCol w:w="1438"/>
        <w:gridCol w:w="1425"/>
        <w:gridCol w:w="1094"/>
        <w:gridCol w:w="1159"/>
        <w:gridCol w:w="1133"/>
        <w:gridCol w:w="1040"/>
        <w:gridCol w:w="1066"/>
        <w:gridCol w:w="1161"/>
        <w:gridCol w:w="1053"/>
        <w:gridCol w:w="1148"/>
        <w:gridCol w:w="1133"/>
        <w:gridCol w:w="1073"/>
        <w:gridCol w:w="17"/>
      </w:tblGrid>
      <w:tr>
        <w:tblPrEx>
          <w:tblCellMar>
            <w:top w:w="0" w:type="dxa"/>
            <w:left w:w="108" w:type="dxa"/>
            <w:bottom w:w="0" w:type="dxa"/>
            <w:right w:w="108" w:type="dxa"/>
          </w:tblCellMar>
        </w:tblPrEx>
        <w:trPr>
          <w:gridBefore w:val="1"/>
          <w:wBefore w:w="96" w:type="dxa"/>
          <w:trHeight w:val="308" w:hRule="atLeast"/>
        </w:trPr>
        <w:tc>
          <w:tcPr>
            <w:tcW w:w="13940" w:type="dxa"/>
            <w:gridSpan w:val="13"/>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gridAfter w:val="1"/>
          <w:wAfter w:w="17" w:type="dxa"/>
          <w:trHeight w:val="632" w:hRule="atLeast"/>
        </w:trPr>
        <w:tc>
          <w:tcPr>
            <w:tcW w:w="14019" w:type="dxa"/>
            <w:gridSpan w:val="13"/>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default" w:ascii="仿宋" w:hAnsi="仿宋" w:eastAsia="仿宋" w:cs="仿宋"/>
                <w:sz w:val="24"/>
                <w:highlight w:val="none"/>
              </w:rPr>
            </w:pPr>
            <w:r>
              <w:rPr>
                <w:rFonts w:hint="eastAsia" w:ascii="仿宋" w:hAnsi="仿宋" w:eastAsia="仿宋" w:cs="仿宋"/>
                <w:sz w:val="24"/>
                <w:highlight w:val="none"/>
                <w:lang w:val="en-US" w:eastAsia="zh-CN"/>
              </w:rPr>
              <w:t>表九：</w:t>
            </w:r>
            <w:r>
              <w:rPr>
                <w:rFonts w:hint="eastAsia" w:ascii="仿宋" w:hAnsi="仿宋" w:eastAsia="仿宋" w:cs="仿宋"/>
                <w:sz w:val="24"/>
                <w:highlight w:val="none"/>
              </w:rPr>
              <w:t>财政拨款“三公”经费支出决算表</w:t>
            </w:r>
          </w:p>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color w:val="000000"/>
                <w:kern w:val="0"/>
                <w:sz w:val="30"/>
                <w:szCs w:val="30"/>
                <w:highlight w:val="none"/>
                <w:lang w:bidi="ar"/>
              </w:rPr>
            </w:pP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财政拨款“三公”经费支出决算表</w:t>
            </w:r>
          </w:p>
        </w:tc>
      </w:tr>
      <w:tr>
        <w:tblPrEx>
          <w:tblCellMar>
            <w:top w:w="0" w:type="dxa"/>
            <w:left w:w="108" w:type="dxa"/>
            <w:bottom w:w="0" w:type="dxa"/>
            <w:right w:w="108" w:type="dxa"/>
          </w:tblCellMar>
        </w:tblPrEx>
        <w:trPr>
          <w:gridAfter w:val="1"/>
          <w:wAfter w:w="17" w:type="dxa"/>
          <w:trHeight w:val="316" w:hRule="atLeast"/>
        </w:trPr>
        <w:tc>
          <w:tcPr>
            <w:tcW w:w="1534"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2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94"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5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3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4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6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4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3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73"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9</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gridAfter w:val="1"/>
          <w:wAfter w:w="17" w:type="dxa"/>
          <w:trHeight w:val="316" w:hRule="atLeast"/>
        </w:trPr>
        <w:tc>
          <w:tcPr>
            <w:tcW w:w="7385" w:type="dxa"/>
            <w:gridSpan w:val="7"/>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环江毛南族自治县长美学校</w:t>
            </w:r>
          </w:p>
        </w:tc>
        <w:tc>
          <w:tcPr>
            <w:tcW w:w="106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4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06"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gridAfter w:val="1"/>
          <w:wAfter w:w="17" w:type="dxa"/>
          <w:trHeight w:val="326" w:hRule="atLeast"/>
        </w:trPr>
        <w:tc>
          <w:tcPr>
            <w:tcW w:w="738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预算数</w:t>
            </w:r>
          </w:p>
        </w:tc>
        <w:tc>
          <w:tcPr>
            <w:tcW w:w="6634" w:type="dxa"/>
            <w:gridSpan w:val="6"/>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r>
      <w:tr>
        <w:tblPrEx>
          <w:tblCellMar>
            <w:top w:w="0" w:type="dxa"/>
            <w:left w:w="108" w:type="dxa"/>
            <w:bottom w:w="0" w:type="dxa"/>
            <w:right w:w="108" w:type="dxa"/>
          </w:tblCellMar>
        </w:tblPrEx>
        <w:trPr>
          <w:gridAfter w:val="1"/>
          <w:wAfter w:w="17" w:type="dxa"/>
          <w:trHeight w:val="326" w:hRule="atLeast"/>
        </w:trPr>
        <w:tc>
          <w:tcPr>
            <w:tcW w:w="1534" w:type="dxa"/>
            <w:gridSpan w:val="2"/>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42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因公出国（境）费</w:t>
            </w:r>
          </w:p>
        </w:tc>
        <w:tc>
          <w:tcPr>
            <w:tcW w:w="3386"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公务用车购置及运行费</w:t>
            </w:r>
          </w:p>
        </w:tc>
        <w:tc>
          <w:tcPr>
            <w:tcW w:w="104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公务接待费</w:t>
            </w:r>
          </w:p>
        </w:tc>
        <w:tc>
          <w:tcPr>
            <w:tcW w:w="106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161"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因公出国（境）费</w:t>
            </w:r>
          </w:p>
        </w:tc>
        <w:tc>
          <w:tcPr>
            <w:tcW w:w="3334"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公务用车购置及运行费</w:t>
            </w:r>
          </w:p>
        </w:tc>
        <w:tc>
          <w:tcPr>
            <w:tcW w:w="107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公务接待费</w:t>
            </w:r>
          </w:p>
        </w:tc>
      </w:tr>
      <w:tr>
        <w:tblPrEx>
          <w:tblCellMar>
            <w:top w:w="0" w:type="dxa"/>
            <w:left w:w="108" w:type="dxa"/>
            <w:bottom w:w="0" w:type="dxa"/>
            <w:right w:w="108" w:type="dxa"/>
          </w:tblCellMar>
        </w:tblPrEx>
        <w:trPr>
          <w:gridAfter w:val="1"/>
          <w:wAfter w:w="17" w:type="dxa"/>
          <w:trHeight w:val="642" w:hRule="atLeast"/>
        </w:trPr>
        <w:tc>
          <w:tcPr>
            <w:tcW w:w="1534" w:type="dxa"/>
            <w:gridSpan w:val="2"/>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2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9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15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公务用车购置费</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公务用车运行费</w:t>
            </w:r>
          </w:p>
        </w:tc>
        <w:tc>
          <w:tcPr>
            <w:tcW w:w="1040"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66"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61"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5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14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公务用车购置费</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公务用车运行费</w:t>
            </w:r>
          </w:p>
        </w:tc>
        <w:tc>
          <w:tcPr>
            <w:tcW w:w="107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17" w:type="dxa"/>
          <w:trHeight w:val="959" w:hRule="atLeast"/>
        </w:trPr>
        <w:tc>
          <w:tcPr>
            <w:tcW w:w="1534"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p>
        </w:tc>
        <w:tc>
          <w:tcPr>
            <w:tcW w:w="142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09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15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04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c>
          <w:tcPr>
            <w:tcW w:w="106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7</w:t>
            </w:r>
          </w:p>
        </w:tc>
        <w:tc>
          <w:tcPr>
            <w:tcW w:w="116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8</w:t>
            </w:r>
          </w:p>
        </w:tc>
        <w:tc>
          <w:tcPr>
            <w:tcW w:w="105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9</w:t>
            </w:r>
          </w:p>
        </w:tc>
        <w:tc>
          <w:tcPr>
            <w:tcW w:w="114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10</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11</w:t>
            </w:r>
          </w:p>
        </w:tc>
        <w:tc>
          <w:tcPr>
            <w:tcW w:w="107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12</w:t>
            </w:r>
          </w:p>
        </w:tc>
      </w:tr>
      <w:tr>
        <w:tblPrEx>
          <w:tblCellMar>
            <w:top w:w="0" w:type="dxa"/>
            <w:left w:w="108" w:type="dxa"/>
            <w:bottom w:w="0" w:type="dxa"/>
            <w:right w:w="108" w:type="dxa"/>
          </w:tblCellMar>
        </w:tblPrEx>
        <w:trPr>
          <w:gridAfter w:val="1"/>
          <w:wAfter w:w="17" w:type="dxa"/>
          <w:trHeight w:val="642" w:hRule="atLeast"/>
        </w:trPr>
        <w:tc>
          <w:tcPr>
            <w:tcW w:w="1534" w:type="dxa"/>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42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094"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59"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3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04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0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161"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05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48"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33" w:type="dxa"/>
            <w:tcBorders>
              <w:top w:val="nil"/>
              <w:left w:val="nil"/>
              <w:bottom w:val="single" w:color="000000" w:sz="4" w:space="0"/>
              <w:right w:val="single" w:color="000000" w:sz="4" w:space="0"/>
            </w:tcBorders>
            <w:shd w:val="clear" w:color="auto" w:fill="auto"/>
            <w:noWrap/>
          </w:tcPr>
          <w:p>
            <w:pPr>
              <w:keepNext w:val="0"/>
              <w:keepLines w:val="0"/>
              <w:suppressLineNumbers w:val="0"/>
              <w:spacing w:before="0" w:beforeAutospacing="0" w:after="0" w:afterAutospacing="0"/>
              <w:ind w:left="0" w:right="0"/>
              <w:jc w:val="right"/>
              <w:rPr>
                <w:rFonts w:hint="default"/>
                <w:highlight w:val="none"/>
              </w:rPr>
            </w:pPr>
            <w:r>
              <w:rPr>
                <w:rFonts w:hint="default"/>
                <w:highlight w:val="none"/>
              </w:rPr>
              <w:t>0.00</w:t>
            </w:r>
          </w:p>
        </w:tc>
        <w:tc>
          <w:tcPr>
            <w:tcW w:w="1073" w:type="dxa"/>
            <w:tcBorders>
              <w:top w:val="nil"/>
              <w:left w:val="nil"/>
              <w:bottom w:val="single" w:color="000000" w:sz="4" w:space="0"/>
              <w:right w:val="single" w:color="000000" w:sz="4" w:space="0"/>
            </w:tcBorders>
            <w:shd w:val="clear" w:color="auto" w:fill="auto"/>
            <w:noWrap/>
          </w:tcPr>
          <w:p>
            <w:pPr>
              <w:keepNext w:val="0"/>
              <w:keepLines w:val="0"/>
              <w:suppressLineNumbers w:val="0"/>
              <w:spacing w:before="0" w:beforeAutospacing="0" w:after="0" w:afterAutospacing="0"/>
              <w:ind w:left="0" w:right="0"/>
              <w:jc w:val="right"/>
              <w:rPr>
                <w:rFonts w:hint="default"/>
                <w:highlight w:val="none"/>
              </w:rPr>
            </w:pPr>
            <w:r>
              <w:rPr>
                <w:rFonts w:hint="eastAsia"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gridAfter w:val="1"/>
          <w:wAfter w:w="17" w:type="dxa"/>
          <w:trHeight w:val="642" w:hRule="atLeast"/>
        </w:trPr>
        <w:tc>
          <w:tcPr>
            <w:tcW w:w="14019" w:type="dxa"/>
            <w:gridSpan w:val="13"/>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三公”经费支出预决算情况。其中，预算数为“三公”经费全年预算数，反映按规定程序调整后的预算数；决算数是包括当年一般公共预算财政拨款和以前年度结转资金安排的实际支出。</w:t>
            </w:r>
          </w:p>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auto"/>
                <w:kern w:val="2"/>
                <w:sz w:val="21"/>
                <w:szCs w:val="21"/>
                <w:lang w:val="en-US" w:eastAsia="zh-CN" w:bidi="ar"/>
              </w:rPr>
              <w:t>本部门</w:t>
            </w:r>
            <w:r>
              <w:rPr>
                <w:rFonts w:hint="default" w:ascii="Times New Roman" w:hAnsi="Times New Roman" w:eastAsia="宋体" w:cs="Times New Roman"/>
                <w:color w:val="auto"/>
                <w:kern w:val="2"/>
                <w:sz w:val="21"/>
                <w:szCs w:val="21"/>
                <w:lang w:val="en-US" w:eastAsia="zh-CN" w:bidi="ar"/>
              </w:rPr>
              <w:t>202</w:t>
            </w:r>
            <w:r>
              <w:rPr>
                <w:rFonts w:hint="eastAsia" w:ascii="Times New Roman" w:hAnsi="Times New Roman" w:eastAsia="宋体" w:cs="Times New Roman"/>
                <w:color w:val="auto"/>
                <w:kern w:val="2"/>
                <w:sz w:val="21"/>
                <w:szCs w:val="21"/>
                <w:lang w:val="en-US" w:eastAsia="zh-CN" w:bidi="ar"/>
              </w:rPr>
              <w:t>3</w:t>
            </w:r>
            <w:r>
              <w:rPr>
                <w:rFonts w:hint="eastAsia" w:ascii="宋体" w:hAnsi="宋体" w:eastAsia="宋体" w:cs="宋体"/>
                <w:color w:val="auto"/>
                <w:kern w:val="2"/>
                <w:sz w:val="21"/>
                <w:szCs w:val="21"/>
                <w:lang w:val="en-US" w:eastAsia="zh-CN" w:bidi="ar"/>
              </w:rPr>
              <w:t>年度没有财政拨款“三公”经费收入，也没有财政拨款“三公”经费安排的支出，故本表无数据。</w:t>
            </w:r>
          </w:p>
        </w:tc>
      </w:tr>
    </w:tbl>
    <w:p>
      <w:pPr>
        <w:ind w:firstLine="420" w:firstLineChars="0"/>
        <w:jc w:val="left"/>
        <w:rPr>
          <w:rFonts w:ascii="仿宋" w:hAnsi="仿宋" w:eastAsia="仿宋" w:cs="仿宋"/>
          <w:sz w:val="24"/>
          <w:highlight w:val="none"/>
        </w:rPr>
        <w:sectPr>
          <w:pgSz w:w="16838" w:h="11906" w:orient="landscape"/>
          <w:pgMar w:top="1123" w:right="1157" w:bottom="1123" w:left="1157" w:header="851" w:footer="992" w:gutter="0"/>
          <w:cols w:space="0" w:num="1"/>
          <w:rtlGutter w:val="0"/>
          <w:docGrid w:type="lines" w:linePitch="312" w:charSpace="0"/>
        </w:sectPr>
      </w:pPr>
    </w:p>
    <w:p>
      <w:pPr>
        <w:jc w:val="left"/>
        <w:rPr>
          <w:rFonts w:ascii="仿宋" w:hAnsi="仿宋" w:eastAsia="仿宋" w:cs="仿宋"/>
          <w:sz w:val="24"/>
          <w:highlight w:val="none"/>
        </w:rPr>
      </w:pPr>
    </w:p>
    <w:p>
      <w:pPr>
        <w:jc w:val="center"/>
        <w:rPr>
          <w:rFonts w:ascii="仿宋" w:hAnsi="仿宋" w:eastAsia="仿宋" w:cs="仿宋"/>
          <w:sz w:val="32"/>
          <w:szCs w:val="32"/>
          <w:highlight w:val="none"/>
        </w:rPr>
      </w:pPr>
      <w:r>
        <w:rPr>
          <w:rFonts w:hint="eastAsia" w:ascii="黑体" w:hAnsi="黑体" w:eastAsia="黑体" w:cs="黑体"/>
          <w:sz w:val="32"/>
          <w:szCs w:val="32"/>
          <w:highlight w:val="none"/>
        </w:rPr>
        <w:t>第三部分：</w:t>
      </w:r>
      <w:r>
        <w:rPr>
          <w:rFonts w:ascii="黑体" w:hAnsi="黑体" w:eastAsia="黑体" w:cs="黑体"/>
          <w:sz w:val="32"/>
          <w:u w:color="auto"/>
        </w:rPr>
        <w:t>环江毛南族自治县长美学校</w:t>
      </w:r>
      <w:r>
        <w:rPr>
          <w:rFonts w:hint="eastAsia" w:ascii="黑体" w:hAnsi="黑体" w:eastAsia="黑体" w:cs="黑体"/>
          <w:sz w:val="32"/>
          <w:szCs w:val="32"/>
          <w:highlight w:val="none"/>
        </w:rPr>
        <w:t>202</w:t>
      </w:r>
      <w:r>
        <w:rPr>
          <w:rFonts w:hint="eastAsia" w:ascii="黑体" w:hAnsi="黑体" w:eastAsia="黑体" w:cs="黑体"/>
          <w:sz w:val="32"/>
          <w:szCs w:val="32"/>
          <w:highlight w:val="none"/>
          <w:lang w:val="en-US" w:eastAsia="zh-CN"/>
        </w:rPr>
        <w:t>3</w:t>
      </w:r>
      <w:r>
        <w:rPr>
          <w:rFonts w:hint="eastAsia" w:ascii="黑体" w:hAnsi="黑体" w:eastAsia="黑体" w:cs="黑体"/>
          <w:sz w:val="32"/>
          <w:szCs w:val="32"/>
          <w:highlight w:val="none"/>
        </w:rPr>
        <w:t>年度部门决算情况说明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一、202</w:t>
      </w:r>
      <w:r>
        <w:rPr>
          <w:rFonts w:hint="eastAsia" w:ascii="黑体" w:hAnsi="黑体" w:eastAsia="黑体" w:cs="黑体"/>
          <w:sz w:val="32"/>
          <w:szCs w:val="32"/>
          <w:highlight w:val="none"/>
          <w:lang w:val="en-US" w:eastAsia="zh-CN"/>
        </w:rPr>
        <w:t>3</w:t>
      </w:r>
      <w:r>
        <w:rPr>
          <w:rFonts w:hint="eastAsia" w:ascii="黑体" w:hAnsi="黑体" w:eastAsia="黑体" w:cs="黑体"/>
          <w:sz w:val="32"/>
          <w:szCs w:val="32"/>
          <w:highlight w:val="none"/>
        </w:rPr>
        <w:t>年度收入支出决算总体情况</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（一）本部门202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年度总收入</w:t>
      </w:r>
      <w:r>
        <w:rPr>
          <w:rFonts w:hint="eastAsia" w:ascii="仿宋" w:hAnsi="仿宋" w:eastAsia="仿宋" w:cs="仿宋"/>
          <w:sz w:val="32"/>
          <w:u w:color="auto"/>
        </w:rPr>
        <w:t>1860.27</w:t>
      </w:r>
      <w:r>
        <w:rPr>
          <w:rFonts w:hint="eastAsia" w:ascii="仿宋" w:hAnsi="仿宋" w:eastAsia="仿宋" w:cs="仿宋"/>
          <w:sz w:val="32"/>
          <w:szCs w:val="32"/>
          <w:highlight w:val="none"/>
        </w:rPr>
        <w:t>万元，较202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年度决算数</w:t>
      </w:r>
      <w:r>
        <w:rPr>
          <w:rFonts w:ascii="仿宋" w:hAnsi="仿宋" w:eastAsia="仿宋" w:cs="仿宋"/>
          <w:sz w:val="32"/>
          <w:u w:color="auto"/>
        </w:rPr>
        <w:t>增加</w:t>
      </w:r>
      <w:r>
        <w:rPr>
          <w:rFonts w:hint="eastAsia" w:ascii="仿宋" w:hAnsi="仿宋" w:eastAsia="仿宋" w:cs="仿宋"/>
          <w:sz w:val="32"/>
          <w:u w:color="auto"/>
          <w:lang w:val="en-US" w:eastAsia="zh-CN"/>
        </w:rPr>
        <w:t>133.98</w:t>
      </w:r>
      <w:r>
        <w:rPr>
          <w:rFonts w:hint="eastAsia" w:ascii="仿宋" w:hAnsi="仿宋" w:eastAsia="仿宋" w:cs="仿宋"/>
          <w:sz w:val="32"/>
          <w:szCs w:val="32"/>
          <w:highlight w:val="none"/>
        </w:rPr>
        <w:t>万元，</w:t>
      </w:r>
      <w:r>
        <w:rPr>
          <w:rFonts w:ascii="仿宋" w:hAnsi="仿宋" w:eastAsia="仿宋" w:cs="仿宋"/>
          <w:sz w:val="32"/>
          <w:u w:color="auto"/>
        </w:rPr>
        <w:t>增长</w:t>
      </w:r>
      <w:r>
        <w:rPr>
          <w:rFonts w:hint="eastAsia" w:ascii="仿宋" w:hAnsi="仿宋" w:eastAsia="仿宋" w:cs="仿宋"/>
          <w:sz w:val="32"/>
          <w:u w:color="auto"/>
          <w:lang w:val="en-US" w:eastAsia="zh-CN"/>
        </w:rPr>
        <w:t>7.76</w:t>
      </w:r>
      <w:r>
        <w:rPr>
          <w:rFonts w:ascii="仿宋" w:hAnsi="仿宋" w:eastAsia="仿宋" w:cs="仿宋"/>
          <w:sz w:val="32"/>
          <w:u w:color="auto"/>
        </w:rPr>
        <w:t>%</w:t>
      </w:r>
      <w:r>
        <w:rPr>
          <w:rFonts w:hint="eastAsia" w:ascii="仿宋" w:hAnsi="仿宋" w:eastAsia="仿宋" w:cs="仿宋"/>
          <w:sz w:val="32"/>
          <w:szCs w:val="32"/>
          <w:highlight w:val="none"/>
        </w:rPr>
        <w:t>，其中本年收入</w:t>
      </w:r>
      <w:r>
        <w:rPr>
          <w:rFonts w:hint="eastAsia" w:ascii="仿宋" w:hAnsi="仿宋" w:eastAsia="仿宋" w:cs="仿宋"/>
          <w:sz w:val="32"/>
          <w:u w:color="auto"/>
          <w:lang w:val="en-US" w:eastAsia="zh-CN"/>
        </w:rPr>
        <w:t>1860.27</w:t>
      </w:r>
      <w:r>
        <w:rPr>
          <w:rFonts w:hint="eastAsia" w:ascii="仿宋" w:hAnsi="仿宋" w:eastAsia="仿宋" w:cs="仿宋"/>
          <w:sz w:val="32"/>
          <w:szCs w:val="32"/>
          <w:highlight w:val="none"/>
        </w:rPr>
        <w:t>万元。收入具体情况如下。</w:t>
      </w:r>
    </w:p>
    <w:p>
      <w:pPr>
        <w:keepNext w:val="0"/>
        <w:keepLines w:val="0"/>
        <w:widowControl w:val="0"/>
        <w:suppressLineNumbers w:val="0"/>
        <w:spacing w:before="0" w:beforeAutospacing="0" w:after="0" w:afterAutospacing="0"/>
        <w:ind w:left="0" w:right="0" w:firstLine="640" w:firstLineChars="200"/>
        <w:jc w:val="left"/>
        <w:rPr>
          <w:rFonts w:hint="eastAsia" w:ascii="华文仿宋" w:hAnsi="华文仿宋" w:eastAsia="华文仿宋" w:cs="华文仿宋"/>
          <w:kern w:val="0"/>
          <w:sz w:val="32"/>
          <w:szCs w:val="32"/>
          <w:lang w:val="en-US" w:eastAsia="zh-CN"/>
        </w:rPr>
      </w:pPr>
      <w:r>
        <w:rPr>
          <w:rFonts w:hint="eastAsia" w:ascii="仿宋" w:hAnsi="仿宋" w:eastAsia="仿宋" w:cs="仿宋"/>
          <w:kern w:val="2"/>
          <w:sz w:val="32"/>
          <w:szCs w:val="32"/>
          <w:highlight w:val="none"/>
          <w:lang w:val="en-US" w:eastAsia="zh-CN" w:bidi="ar"/>
        </w:rPr>
        <w:t>1.一般公共预算财政拨款收入</w:t>
      </w:r>
      <w:r>
        <w:rPr>
          <w:rFonts w:hint="eastAsia" w:ascii="仿宋" w:hAnsi="仿宋" w:eastAsia="仿宋" w:cs="仿宋"/>
          <w:sz w:val="32"/>
          <w:u w:color="auto"/>
          <w:lang w:val="en-US" w:eastAsia="zh-CN"/>
        </w:rPr>
        <w:t>1857.77</w:t>
      </w:r>
      <w:r>
        <w:rPr>
          <w:rFonts w:hint="eastAsia" w:ascii="仿宋" w:hAnsi="仿宋" w:eastAsia="仿宋" w:cs="仿宋"/>
          <w:kern w:val="2"/>
          <w:sz w:val="32"/>
          <w:szCs w:val="32"/>
          <w:highlight w:val="none"/>
          <w:lang w:val="en-US" w:eastAsia="zh-CN" w:bidi="ar"/>
        </w:rPr>
        <w:t>万元，为</w:t>
      </w:r>
      <w:r>
        <w:rPr>
          <w:rFonts w:hint="eastAsia" w:ascii="仿宋" w:hAnsi="仿宋" w:eastAsia="仿宋" w:cs="仿宋"/>
          <w:sz w:val="32"/>
          <w:szCs w:val="32"/>
          <w:highlight w:val="none"/>
        </w:rPr>
        <w:t>环江毛南族自治县</w:t>
      </w:r>
      <w:r>
        <w:rPr>
          <w:rFonts w:hint="eastAsia" w:ascii="仿宋" w:hAnsi="仿宋" w:eastAsia="仿宋" w:cs="仿宋"/>
          <w:kern w:val="2"/>
          <w:sz w:val="32"/>
          <w:szCs w:val="32"/>
          <w:highlight w:val="none"/>
          <w:lang w:val="en-US" w:eastAsia="zh-CN" w:bidi="ar"/>
        </w:rPr>
        <w:t>本级财政当年拨付的资金。较2022年度决算数</w:t>
      </w:r>
      <w:r>
        <w:rPr>
          <w:rFonts w:ascii="仿宋" w:hAnsi="仿宋" w:eastAsia="仿宋" w:cs="仿宋"/>
          <w:sz w:val="32"/>
          <w:u w:color="auto"/>
        </w:rPr>
        <w:t>增加</w:t>
      </w:r>
      <w:r>
        <w:rPr>
          <w:rFonts w:hint="eastAsia" w:ascii="仿宋" w:hAnsi="仿宋" w:eastAsia="仿宋" w:cs="仿宋"/>
          <w:sz w:val="32"/>
          <w:u w:color="auto"/>
          <w:lang w:val="en-US" w:eastAsia="zh-CN"/>
        </w:rPr>
        <w:t>132.14</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w:t>
      </w:r>
      <w:r>
        <w:rPr>
          <w:rFonts w:hint="eastAsia" w:ascii="仿宋" w:hAnsi="仿宋" w:eastAsia="仿宋" w:cs="仿宋"/>
          <w:sz w:val="32"/>
          <w:u w:color="auto"/>
          <w:lang w:val="en-US" w:eastAsia="zh-CN"/>
        </w:rPr>
        <w:t>7.66</w:t>
      </w:r>
      <w:r>
        <w:rPr>
          <w:rFonts w:ascii="仿宋" w:hAnsi="仿宋" w:eastAsia="仿宋" w:cs="仿宋"/>
          <w:sz w:val="32"/>
          <w:u w:color="auto"/>
        </w:rPr>
        <w:t>%</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w:t>
      </w:r>
      <w:r>
        <w:rPr>
          <w:rFonts w:hint="eastAsia" w:ascii="华文仿宋" w:hAnsi="华文仿宋" w:eastAsia="华文仿宋" w:cs="华文仿宋"/>
          <w:kern w:val="0"/>
          <w:sz w:val="32"/>
          <w:szCs w:val="32"/>
        </w:rPr>
        <w:t>（1）</w:t>
      </w:r>
      <w:r>
        <w:rPr>
          <w:rFonts w:hint="eastAsia" w:ascii="华文仿宋" w:hAnsi="华文仿宋" w:eastAsia="华文仿宋" w:cs="华文仿宋"/>
          <w:kern w:val="0"/>
          <w:sz w:val="32"/>
          <w:szCs w:val="32"/>
          <w:lang w:val="en-US" w:eastAsia="zh-CN"/>
        </w:rPr>
        <w:t>新增人员增加；（2）上级专款收入增加。</w:t>
      </w:r>
    </w:p>
    <w:p>
      <w:pPr>
        <w:keepNext w:val="0"/>
        <w:keepLines w:val="0"/>
        <w:widowControl w:val="0"/>
        <w:suppressLineNumbers w:val="0"/>
        <w:spacing w:before="0" w:beforeAutospacing="0" w:after="0" w:afterAutospacing="0"/>
        <w:ind w:left="0" w:right="0" w:firstLine="640" w:firstLineChars="200"/>
        <w:jc w:val="left"/>
        <w:rPr>
          <w:rFonts w:hint="eastAsia" w:ascii="华文仿宋" w:hAnsi="华文仿宋" w:eastAsia="华文仿宋" w:cs="华文仿宋"/>
          <w:kern w:val="0"/>
          <w:sz w:val="32"/>
          <w:szCs w:val="32"/>
          <w:lang w:val="en-US" w:eastAsia="zh-CN"/>
        </w:rPr>
      </w:pPr>
      <w:r>
        <w:rPr>
          <w:rFonts w:hint="eastAsia" w:ascii="仿宋" w:hAnsi="仿宋" w:eastAsia="仿宋" w:cs="仿宋"/>
          <w:kern w:val="2"/>
          <w:sz w:val="32"/>
          <w:szCs w:val="32"/>
          <w:highlight w:val="none"/>
          <w:lang w:val="en-US" w:eastAsia="zh-CN" w:bidi="ar"/>
        </w:rPr>
        <w:t>2.政府性基金预算财政拨款收入</w:t>
      </w:r>
      <w:r>
        <w:rPr>
          <w:rFonts w:hint="eastAsia" w:ascii="仿宋" w:hAnsi="仿宋" w:eastAsia="仿宋" w:cs="仿宋"/>
          <w:sz w:val="32"/>
          <w:u w:color="auto"/>
          <w:lang w:val="en-US" w:eastAsia="zh-CN"/>
        </w:rPr>
        <w:t>2.5</w:t>
      </w:r>
      <w:r>
        <w:rPr>
          <w:rFonts w:hint="eastAsia" w:ascii="仿宋" w:hAnsi="仿宋" w:eastAsia="仿宋" w:cs="仿宋"/>
          <w:kern w:val="2"/>
          <w:sz w:val="32"/>
          <w:szCs w:val="32"/>
          <w:highlight w:val="none"/>
          <w:lang w:val="en-US" w:eastAsia="zh-CN" w:bidi="ar"/>
        </w:rPr>
        <w:t>万元，为</w:t>
      </w:r>
      <w:r>
        <w:rPr>
          <w:rFonts w:hint="eastAsia" w:ascii="仿宋" w:hAnsi="仿宋" w:eastAsia="仿宋" w:cs="仿宋"/>
          <w:sz w:val="32"/>
          <w:szCs w:val="32"/>
          <w:highlight w:val="none"/>
        </w:rPr>
        <w:t>环江毛南族自治县</w:t>
      </w:r>
      <w:r>
        <w:rPr>
          <w:rFonts w:hint="eastAsia" w:ascii="仿宋" w:hAnsi="仿宋" w:eastAsia="仿宋" w:cs="仿宋"/>
          <w:kern w:val="2"/>
          <w:sz w:val="32"/>
          <w:szCs w:val="32"/>
          <w:highlight w:val="none"/>
          <w:lang w:val="en-US" w:eastAsia="zh-CN" w:bidi="ar"/>
        </w:rPr>
        <w:t>本级财政当年拨付的资金。较2022年度决算数</w:t>
      </w:r>
      <w:r>
        <w:rPr>
          <w:rFonts w:ascii="仿宋" w:hAnsi="仿宋" w:eastAsia="仿宋" w:cs="仿宋"/>
          <w:sz w:val="32"/>
          <w:u w:color="auto"/>
        </w:rPr>
        <w:t>增加</w:t>
      </w:r>
      <w:r>
        <w:rPr>
          <w:rFonts w:hint="eastAsia" w:ascii="仿宋" w:hAnsi="仿宋" w:eastAsia="仿宋" w:cs="仿宋"/>
          <w:sz w:val="32"/>
          <w:u w:color="auto"/>
          <w:lang w:val="en-US" w:eastAsia="zh-CN"/>
        </w:rPr>
        <w:t>1.84</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w:t>
      </w:r>
      <w:r>
        <w:rPr>
          <w:rFonts w:hint="eastAsia" w:ascii="仿宋" w:hAnsi="仿宋" w:eastAsia="仿宋" w:cs="仿宋"/>
          <w:sz w:val="32"/>
          <w:u w:color="auto"/>
          <w:lang w:val="en-US" w:eastAsia="zh-CN"/>
        </w:rPr>
        <w:t>278.79</w:t>
      </w:r>
      <w:r>
        <w:rPr>
          <w:rFonts w:ascii="仿宋" w:hAnsi="仿宋" w:eastAsia="仿宋" w:cs="仿宋"/>
          <w:sz w:val="32"/>
          <w:u w:color="auto"/>
        </w:rPr>
        <w:t>%</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w:t>
      </w:r>
      <w:r>
        <w:rPr>
          <w:rFonts w:hint="eastAsia" w:ascii="华文仿宋" w:hAnsi="华文仿宋" w:eastAsia="华文仿宋" w:cs="华文仿宋"/>
          <w:kern w:val="0"/>
          <w:sz w:val="32"/>
          <w:szCs w:val="32"/>
          <w:lang w:val="en-US" w:eastAsia="zh-CN"/>
        </w:rPr>
        <w:t>上级专款收入增加。</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kern w:val="2"/>
          <w:sz w:val="32"/>
          <w:szCs w:val="32"/>
          <w:highlight w:val="none"/>
          <w:lang w:val="en-US" w:eastAsia="zh-CN" w:bidi="ar"/>
        </w:rPr>
      </w:pPr>
      <w:r>
        <w:rPr>
          <w:rFonts w:hint="eastAsia" w:ascii="仿宋" w:hAnsi="仿宋" w:eastAsia="仿宋" w:cs="仿宋"/>
          <w:kern w:val="2"/>
          <w:sz w:val="32"/>
          <w:szCs w:val="32"/>
          <w:highlight w:val="none"/>
          <w:lang w:val="en-US" w:eastAsia="zh-CN" w:bidi="ar"/>
        </w:rPr>
        <w:t>3.国有资本经营预算财政拨款收入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kern w:val="2"/>
          <w:sz w:val="32"/>
          <w:szCs w:val="32"/>
          <w:highlight w:val="none"/>
          <w:lang w:val="en-US" w:eastAsia="zh-CN" w:bidi="ar"/>
        </w:rPr>
      </w:pPr>
      <w:r>
        <w:rPr>
          <w:rFonts w:hint="eastAsia" w:ascii="仿宋" w:hAnsi="仿宋" w:eastAsia="仿宋" w:cs="仿宋"/>
          <w:kern w:val="2"/>
          <w:sz w:val="32"/>
          <w:szCs w:val="32"/>
          <w:highlight w:val="none"/>
          <w:lang w:val="en-US" w:eastAsia="zh-CN" w:bidi="ar"/>
        </w:rPr>
        <w:t>4.上级补助收入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kern w:val="2"/>
          <w:sz w:val="32"/>
          <w:szCs w:val="32"/>
          <w:highlight w:val="none"/>
          <w:lang w:val="en-US" w:eastAsia="zh-CN" w:bidi="ar"/>
        </w:rPr>
      </w:pPr>
      <w:r>
        <w:rPr>
          <w:rFonts w:hint="eastAsia" w:ascii="仿宋" w:hAnsi="仿宋" w:eastAsia="仿宋" w:cs="仿宋"/>
          <w:kern w:val="2"/>
          <w:sz w:val="32"/>
          <w:szCs w:val="32"/>
          <w:highlight w:val="none"/>
          <w:lang w:val="en-US" w:eastAsia="zh-CN" w:bidi="ar"/>
        </w:rPr>
        <w:t>5.事业收入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kern w:val="2"/>
          <w:sz w:val="32"/>
          <w:szCs w:val="32"/>
          <w:highlight w:val="none"/>
          <w:lang w:val="en-US" w:eastAsia="zh-CN" w:bidi="ar"/>
        </w:rPr>
      </w:pPr>
      <w:r>
        <w:rPr>
          <w:rFonts w:hint="eastAsia" w:ascii="仿宋" w:hAnsi="仿宋" w:eastAsia="仿宋" w:cs="仿宋"/>
          <w:kern w:val="2"/>
          <w:sz w:val="32"/>
          <w:szCs w:val="32"/>
          <w:highlight w:val="none"/>
          <w:lang w:val="en-US" w:eastAsia="zh-CN" w:bidi="ar"/>
        </w:rPr>
        <w:t>6.</w:t>
      </w:r>
      <w:r>
        <w:rPr>
          <w:rFonts w:hint="eastAsia" w:ascii="仿宋" w:hAnsi="仿宋" w:eastAsia="仿宋" w:cs="仿宋"/>
          <w:kern w:val="2"/>
          <w:sz w:val="36"/>
          <w:szCs w:val="36"/>
          <w:highlight w:val="none"/>
          <w:lang w:val="en-US" w:eastAsia="zh-CN" w:bidi="ar"/>
        </w:rPr>
        <w:t>经营收入</w:t>
      </w:r>
      <w:r>
        <w:rPr>
          <w:rFonts w:hint="eastAsia" w:ascii="仿宋" w:hAnsi="仿宋" w:eastAsia="仿宋" w:cs="仿宋"/>
          <w:kern w:val="2"/>
          <w:sz w:val="32"/>
          <w:szCs w:val="32"/>
          <w:highlight w:val="none"/>
          <w:lang w:val="en-US" w:eastAsia="zh-CN" w:bidi="ar"/>
        </w:rPr>
        <w:t>0.00万元。</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kern w:val="2"/>
          <w:sz w:val="32"/>
          <w:szCs w:val="32"/>
          <w:highlight w:val="none"/>
          <w:lang w:val="en-US" w:eastAsia="zh-CN" w:bidi="ar"/>
        </w:rPr>
      </w:pPr>
      <w:r>
        <w:rPr>
          <w:rFonts w:hint="eastAsia" w:ascii="仿宋" w:hAnsi="仿宋" w:eastAsia="仿宋" w:cs="仿宋"/>
          <w:kern w:val="2"/>
          <w:sz w:val="32"/>
          <w:szCs w:val="32"/>
          <w:highlight w:val="none"/>
          <w:lang w:val="en-US" w:eastAsia="zh-CN" w:bidi="ar"/>
        </w:rPr>
        <w:t>7.附属单位上缴收入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kern w:val="2"/>
          <w:sz w:val="32"/>
          <w:szCs w:val="32"/>
          <w:highlight w:val="none"/>
          <w:lang w:val="en-US" w:eastAsia="zh-CN" w:bidi="ar"/>
        </w:rPr>
      </w:pPr>
      <w:r>
        <w:rPr>
          <w:rFonts w:hint="eastAsia" w:ascii="仿宋" w:hAnsi="仿宋" w:eastAsia="仿宋" w:cs="仿宋"/>
          <w:kern w:val="2"/>
          <w:sz w:val="32"/>
          <w:szCs w:val="32"/>
          <w:highlight w:val="none"/>
          <w:lang w:val="en-US" w:eastAsia="zh-CN" w:bidi="ar"/>
        </w:rPr>
        <w:t>8.其他收入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kern w:val="2"/>
          <w:sz w:val="32"/>
          <w:szCs w:val="32"/>
          <w:highlight w:val="none"/>
          <w:lang w:val="en-US" w:eastAsia="zh-CN" w:bidi="ar"/>
        </w:rPr>
      </w:pPr>
      <w:r>
        <w:rPr>
          <w:rFonts w:hint="eastAsia" w:ascii="仿宋" w:hAnsi="仿宋" w:eastAsia="仿宋" w:cs="仿宋"/>
          <w:kern w:val="2"/>
          <w:sz w:val="32"/>
          <w:szCs w:val="32"/>
          <w:highlight w:val="none"/>
          <w:lang w:val="en-US" w:eastAsia="zh-CN" w:bidi="ar"/>
        </w:rPr>
        <w:t>9.使用非财政拨款结余</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sz w:val="32"/>
          <w:szCs w:val="32"/>
          <w:highlight w:val="none"/>
          <w:lang w:val="en-US"/>
        </w:rPr>
      </w:pPr>
      <w:r>
        <w:rPr>
          <w:rFonts w:hint="eastAsia" w:ascii="仿宋" w:hAnsi="仿宋" w:eastAsia="仿宋" w:cs="仿宋"/>
          <w:kern w:val="2"/>
          <w:sz w:val="32"/>
          <w:szCs w:val="32"/>
          <w:highlight w:val="none"/>
          <w:lang w:val="en-US" w:eastAsia="zh-CN" w:bidi="ar"/>
        </w:rPr>
        <w:t>10.上年结转和结余</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w:t>
      </w:r>
    </w:p>
    <w:p>
      <w:pPr>
        <w:jc w:val="center"/>
        <w:rPr>
          <w:rFonts w:ascii="仿宋" w:hAnsi="仿宋" w:eastAsia="仿宋" w:cs="仿宋"/>
          <w:sz w:val="32"/>
          <w:szCs w:val="32"/>
          <w:highlight w:val="none"/>
        </w:rPr>
      </w:pPr>
      <w:r>
        <w:rPr>
          <w:rFonts w:ascii="仿宋" w:hAnsi="仿宋" w:eastAsia="仿宋" w:cs="仿宋"/>
          <w:sz w:val="32"/>
          <w:szCs w:val="32"/>
        </w:rPr>
        <w:drawing>
          <wp:inline distT="0" distB="0" distL="0" distR="0">
            <wp:extent cx="5486400" cy="3200400"/>
            <wp:effectExtent l="4445" t="4445" r="14605" b="14605"/>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（二）本部门202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年度总支出</w:t>
      </w:r>
      <w:r>
        <w:rPr>
          <w:rFonts w:hint="eastAsia" w:ascii="仿宋" w:hAnsi="仿宋" w:eastAsia="仿宋" w:cs="仿宋"/>
          <w:sz w:val="32"/>
          <w:u w:color="auto"/>
          <w:lang w:val="en-US" w:eastAsia="zh-CN"/>
        </w:rPr>
        <w:t>1860.27</w:t>
      </w:r>
      <w:r>
        <w:rPr>
          <w:rFonts w:hint="eastAsia" w:ascii="仿宋" w:hAnsi="仿宋" w:eastAsia="仿宋" w:cs="仿宋"/>
          <w:sz w:val="32"/>
          <w:szCs w:val="32"/>
          <w:highlight w:val="none"/>
        </w:rPr>
        <w:t>万元，其中本年支出</w:t>
      </w:r>
      <w:r>
        <w:rPr>
          <w:rFonts w:hint="eastAsia" w:ascii="仿宋" w:hAnsi="仿宋" w:eastAsia="仿宋" w:cs="仿宋"/>
          <w:sz w:val="32"/>
          <w:u w:color="auto"/>
          <w:lang w:val="en-US" w:eastAsia="zh-CN"/>
        </w:rPr>
        <w:t>1860.27</w:t>
      </w:r>
      <w:r>
        <w:rPr>
          <w:rFonts w:hint="eastAsia" w:ascii="仿宋" w:hAnsi="仿宋" w:eastAsia="仿宋" w:cs="仿宋"/>
          <w:sz w:val="32"/>
          <w:szCs w:val="32"/>
          <w:highlight w:val="none"/>
        </w:rPr>
        <w:t>万元，较202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年度决算数</w:t>
      </w:r>
      <w:r>
        <w:rPr>
          <w:rFonts w:ascii="仿宋" w:hAnsi="仿宋" w:eastAsia="仿宋" w:cs="仿宋"/>
          <w:sz w:val="32"/>
          <w:u w:color="auto"/>
        </w:rPr>
        <w:t>增加</w:t>
      </w:r>
      <w:r>
        <w:rPr>
          <w:rFonts w:hint="eastAsia" w:ascii="仿宋" w:hAnsi="仿宋" w:eastAsia="仿宋" w:cs="仿宋"/>
          <w:sz w:val="32"/>
          <w:u w:color="auto"/>
          <w:lang w:val="en-US" w:eastAsia="zh-CN"/>
        </w:rPr>
        <w:t>133.98</w:t>
      </w:r>
      <w:r>
        <w:rPr>
          <w:rFonts w:hint="eastAsia" w:ascii="仿宋" w:hAnsi="仿宋" w:eastAsia="仿宋" w:cs="仿宋"/>
          <w:sz w:val="32"/>
          <w:szCs w:val="32"/>
          <w:highlight w:val="none"/>
        </w:rPr>
        <w:t>万元，</w:t>
      </w:r>
      <w:r>
        <w:rPr>
          <w:rFonts w:ascii="仿宋" w:hAnsi="仿宋" w:eastAsia="仿宋" w:cs="仿宋"/>
          <w:sz w:val="32"/>
          <w:u w:color="auto"/>
        </w:rPr>
        <w:t>增长</w:t>
      </w:r>
      <w:r>
        <w:rPr>
          <w:rFonts w:hint="eastAsia" w:ascii="仿宋" w:hAnsi="仿宋" w:eastAsia="仿宋" w:cs="仿宋"/>
          <w:sz w:val="32"/>
          <w:u w:color="auto"/>
          <w:lang w:val="en-US" w:eastAsia="zh-CN"/>
        </w:rPr>
        <w:t>7.76</w:t>
      </w:r>
      <w:r>
        <w:rPr>
          <w:rFonts w:ascii="仿宋" w:hAnsi="仿宋" w:eastAsia="仿宋" w:cs="仿宋"/>
          <w:sz w:val="32"/>
          <w:u w:color="auto"/>
        </w:rPr>
        <w:t>%</w:t>
      </w:r>
      <w:r>
        <w:rPr>
          <w:rFonts w:hint="eastAsia" w:ascii="仿宋" w:hAnsi="仿宋" w:eastAsia="仿宋" w:cs="仿宋"/>
          <w:sz w:val="32"/>
          <w:szCs w:val="32"/>
          <w:highlight w:val="none"/>
        </w:rPr>
        <w:t>。支出具体情况如下：</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sz w:val="32"/>
          <w:szCs w:val="32"/>
          <w:highlight w:val="none"/>
          <w:lang w:val="en-US"/>
        </w:rPr>
      </w:pPr>
      <w:r>
        <w:rPr>
          <w:rFonts w:hint="eastAsia" w:ascii="仿宋" w:hAnsi="仿宋" w:eastAsia="仿宋" w:cs="仿宋"/>
          <w:sz w:val="32"/>
          <w:szCs w:val="32"/>
          <w:highlight w:val="none"/>
        </w:rPr>
        <w:t>1</w:t>
      </w:r>
      <w:r>
        <w:rPr>
          <w:rFonts w:ascii="仿宋" w:hAnsi="仿宋" w:eastAsia="仿宋" w:cs="仿宋"/>
          <w:sz w:val="32"/>
          <w:u w:color="auto"/>
        </w:rPr>
        <w:t>.</w:t>
      </w:r>
      <w:r>
        <w:rPr>
          <w:rFonts w:hint="eastAsia" w:ascii="仿宋" w:hAnsi="仿宋" w:eastAsia="仿宋" w:cs="仿宋"/>
          <w:sz w:val="32"/>
          <w:szCs w:val="32"/>
          <w:highlight w:val="none"/>
          <w:lang w:bidi="ar"/>
        </w:rPr>
        <w:t>一般公共服务支出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201</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val="en-US" w:eastAsia="zh-CN" w:bidi="ar"/>
        </w:rPr>
        <w:t>18.86</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auto"/>
          <w:sz w:val="32"/>
          <w:szCs w:val="32"/>
          <w:highlight w:val="none"/>
          <w:lang w:val="en-US" w:eastAsia="zh-CN"/>
        </w:rPr>
        <w:t>工会活动及慰问支出</w:t>
      </w:r>
      <w:r>
        <w:rPr>
          <w:rFonts w:hint="eastAsia" w:ascii="仿宋" w:hAnsi="仿宋" w:eastAsia="仿宋" w:cs="仿宋"/>
          <w:sz w:val="32"/>
          <w:szCs w:val="32"/>
          <w:highlight w:val="none"/>
        </w:rPr>
        <w:t>。较202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年度决算数</w:t>
      </w:r>
      <w:r>
        <w:rPr>
          <w:rFonts w:hint="eastAsia" w:ascii="仿宋" w:hAnsi="仿宋" w:eastAsia="仿宋" w:cs="仿宋"/>
          <w:sz w:val="32"/>
          <w:szCs w:val="32"/>
          <w:highlight w:val="none"/>
          <w:lang w:bidi="ar"/>
        </w:rPr>
        <w:t>增加</w:t>
      </w:r>
      <w:r>
        <w:rPr>
          <w:rFonts w:hint="eastAsia" w:ascii="仿宋" w:hAnsi="仿宋" w:eastAsia="仿宋" w:cs="仿宋"/>
          <w:sz w:val="32"/>
          <w:szCs w:val="32"/>
          <w:highlight w:val="none"/>
          <w:lang w:val="en-US" w:eastAsia="zh-CN" w:bidi="ar"/>
        </w:rPr>
        <w:t>1.82</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bidi="ar"/>
        </w:rPr>
        <w:t>增长</w:t>
      </w:r>
      <w:r>
        <w:rPr>
          <w:rFonts w:hint="eastAsia" w:ascii="仿宋" w:hAnsi="仿宋" w:eastAsia="仿宋" w:cs="仿宋"/>
          <w:sz w:val="32"/>
          <w:szCs w:val="32"/>
          <w:highlight w:val="none"/>
          <w:lang w:val="en-US" w:eastAsia="zh-CN" w:bidi="ar"/>
        </w:rPr>
        <w:t>10.68</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华文仿宋" w:hAnsi="华文仿宋" w:eastAsia="华文仿宋" w:cs="华文仿宋"/>
          <w:kern w:val="0"/>
          <w:sz w:val="32"/>
          <w:szCs w:val="32"/>
          <w:lang w:val="en-US" w:eastAsia="zh-CN"/>
        </w:rPr>
        <w:t>上级专款收入增加。</w:t>
      </w:r>
    </w:p>
    <w:p>
      <w:pPr>
        <w:keepNext w:val="0"/>
        <w:keepLines w:val="0"/>
        <w:widowControl w:val="0"/>
        <w:suppressLineNumbers w:val="0"/>
        <w:spacing w:before="0" w:beforeAutospacing="0" w:after="0" w:afterAutospacing="0"/>
        <w:ind w:left="0" w:right="0" w:firstLine="640" w:firstLineChars="200"/>
        <w:jc w:val="left"/>
        <w:rPr>
          <w:rFonts w:hint="eastAsia" w:ascii="华文仿宋" w:hAnsi="华文仿宋" w:eastAsia="华文仿宋" w:cs="华文仿宋"/>
          <w:color w:val="auto"/>
          <w:kern w:val="0"/>
          <w:sz w:val="32"/>
          <w:szCs w:val="32"/>
          <w:lang w:val="en-US" w:eastAsia="zh-CN"/>
        </w:rPr>
      </w:pPr>
      <w:r>
        <w:rPr>
          <w:rFonts w:hint="eastAsia" w:ascii="仿宋" w:hAnsi="仿宋" w:eastAsia="仿宋" w:cs="仿宋"/>
          <w:sz w:val="32"/>
          <w:szCs w:val="32"/>
          <w:highlight w:val="none"/>
        </w:rPr>
        <w:t>2</w:t>
      </w:r>
      <w:r>
        <w:rPr>
          <w:rFonts w:ascii="仿宋" w:hAnsi="仿宋" w:eastAsia="仿宋" w:cs="仿宋"/>
          <w:sz w:val="32"/>
          <w:u w:color="auto"/>
        </w:rPr>
        <w:t>.</w:t>
      </w:r>
      <w:r>
        <w:rPr>
          <w:rFonts w:hint="eastAsia" w:ascii="仿宋" w:hAnsi="仿宋" w:eastAsia="仿宋" w:cs="仿宋"/>
          <w:sz w:val="32"/>
          <w:szCs w:val="32"/>
          <w:highlight w:val="none"/>
          <w:lang w:bidi="ar"/>
        </w:rPr>
        <w:t>教育支出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205</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val="en-US" w:eastAsia="zh-CN" w:bidi="ar"/>
        </w:rPr>
        <w:t>1448.29</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华文仿宋" w:hAnsi="华文仿宋" w:eastAsia="华文仿宋" w:cs="华文仿宋"/>
          <w:kern w:val="0"/>
          <w:sz w:val="32"/>
          <w:szCs w:val="32"/>
        </w:rPr>
        <w:t>主要用于</w:t>
      </w:r>
      <w:r>
        <w:rPr>
          <w:rFonts w:hint="eastAsia" w:ascii="华文仿宋" w:hAnsi="华文仿宋" w:eastAsia="华文仿宋" w:cs="华文仿宋"/>
          <w:kern w:val="0"/>
          <w:sz w:val="32"/>
          <w:szCs w:val="32"/>
          <w:lang w:eastAsia="zh-CN"/>
        </w:rPr>
        <w:t>乡</w:t>
      </w:r>
      <w:r>
        <w:rPr>
          <w:rFonts w:hint="eastAsia" w:ascii="华文仿宋" w:hAnsi="华文仿宋" w:eastAsia="华文仿宋" w:cs="华文仿宋"/>
          <w:kern w:val="0"/>
          <w:sz w:val="32"/>
          <w:szCs w:val="32"/>
        </w:rPr>
        <w:t>县教育系统人员工资及为开展教育教学活动的支出</w:t>
      </w:r>
      <w:r>
        <w:rPr>
          <w:rFonts w:hint="eastAsia" w:ascii="仿宋" w:hAnsi="仿宋" w:eastAsia="仿宋" w:cs="仿宋"/>
          <w:sz w:val="32"/>
          <w:szCs w:val="32"/>
          <w:highlight w:val="none"/>
        </w:rPr>
        <w:t>。较202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年度决算数</w:t>
      </w:r>
      <w:r>
        <w:rPr>
          <w:rFonts w:hint="eastAsia" w:ascii="仿宋" w:hAnsi="仿宋" w:eastAsia="仿宋" w:cs="仿宋"/>
          <w:sz w:val="32"/>
          <w:szCs w:val="32"/>
          <w:highlight w:val="none"/>
          <w:lang w:bidi="ar"/>
        </w:rPr>
        <w:t>增加</w:t>
      </w:r>
      <w:r>
        <w:rPr>
          <w:rFonts w:hint="eastAsia" w:ascii="仿宋" w:hAnsi="仿宋" w:eastAsia="仿宋" w:cs="仿宋"/>
          <w:sz w:val="32"/>
          <w:szCs w:val="32"/>
          <w:highlight w:val="none"/>
          <w:lang w:val="en-US" w:eastAsia="zh-CN" w:bidi="ar"/>
        </w:rPr>
        <w:t>158.72</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bidi="ar"/>
        </w:rPr>
        <w:t>增长</w:t>
      </w:r>
      <w:r>
        <w:rPr>
          <w:rFonts w:hint="eastAsia" w:ascii="仿宋" w:hAnsi="仿宋" w:eastAsia="仿宋" w:cs="仿宋"/>
          <w:sz w:val="32"/>
          <w:szCs w:val="32"/>
          <w:highlight w:val="none"/>
          <w:lang w:val="en-US" w:eastAsia="zh-CN" w:bidi="ar"/>
        </w:rPr>
        <w:t>12.31</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华文仿宋" w:hAnsi="华文仿宋" w:eastAsia="华文仿宋" w:cs="华文仿宋"/>
          <w:color w:val="auto"/>
          <w:kern w:val="0"/>
          <w:sz w:val="32"/>
          <w:szCs w:val="32"/>
          <w:lang w:val="en-US" w:eastAsia="zh-CN"/>
        </w:rPr>
        <w:t>主要是教育各项收支比上年度均有所</w:t>
      </w:r>
      <w:r>
        <w:rPr>
          <w:rFonts w:hint="eastAsia" w:ascii="华文仿宋" w:hAnsi="华文仿宋" w:eastAsia="华文仿宋" w:cs="华文仿宋"/>
          <w:color w:val="auto"/>
          <w:kern w:val="0"/>
          <w:sz w:val="32"/>
          <w:szCs w:val="32"/>
          <w:highlight w:val="none"/>
          <w:lang w:val="en-US" w:eastAsia="zh-CN"/>
        </w:rPr>
        <w:t>增加</w:t>
      </w:r>
      <w:r>
        <w:rPr>
          <w:rFonts w:hint="eastAsia" w:ascii="华文仿宋" w:hAnsi="华文仿宋" w:eastAsia="华文仿宋" w:cs="华文仿宋"/>
          <w:color w:val="auto"/>
          <w:kern w:val="0"/>
          <w:sz w:val="32"/>
          <w:szCs w:val="32"/>
          <w:lang w:val="en-US" w:eastAsia="zh-CN"/>
        </w:rPr>
        <w:t>。</w:t>
      </w:r>
    </w:p>
    <w:p>
      <w:pPr>
        <w:keepNext w:val="0"/>
        <w:keepLines w:val="0"/>
        <w:widowControl w:val="0"/>
        <w:suppressLineNumbers w:val="0"/>
        <w:spacing w:before="0" w:beforeAutospacing="0" w:after="0" w:afterAutospacing="0"/>
        <w:ind w:left="0" w:right="0" w:firstLine="640" w:firstLineChars="200"/>
        <w:jc w:val="left"/>
        <w:rPr>
          <w:rFonts w:hint="eastAsia" w:ascii="华文仿宋" w:hAnsi="华文仿宋" w:eastAsia="华文仿宋" w:cs="华文仿宋"/>
          <w:kern w:val="0"/>
          <w:sz w:val="32"/>
          <w:szCs w:val="32"/>
          <w:lang w:val="en-US" w:eastAsia="zh-CN"/>
        </w:rPr>
      </w:pPr>
      <w:r>
        <w:rPr>
          <w:rFonts w:hint="eastAsia" w:ascii="仿宋" w:hAnsi="仿宋" w:eastAsia="仿宋" w:cs="仿宋"/>
          <w:sz w:val="32"/>
          <w:szCs w:val="32"/>
          <w:highlight w:val="none"/>
        </w:rPr>
        <w:t>3</w:t>
      </w:r>
      <w:r>
        <w:rPr>
          <w:rFonts w:ascii="仿宋" w:hAnsi="仿宋" w:eastAsia="仿宋" w:cs="仿宋"/>
          <w:sz w:val="32"/>
          <w:u w:color="auto"/>
        </w:rPr>
        <w:t>.</w:t>
      </w:r>
      <w:r>
        <w:rPr>
          <w:rFonts w:hint="eastAsia" w:ascii="仿宋" w:hAnsi="仿宋" w:eastAsia="仿宋" w:cs="仿宋"/>
          <w:sz w:val="32"/>
          <w:szCs w:val="32"/>
          <w:highlight w:val="none"/>
          <w:lang w:bidi="ar"/>
        </w:rPr>
        <w:t>社会保障和就业支出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208</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val="en-US" w:eastAsia="zh-CN" w:bidi="ar"/>
        </w:rPr>
        <w:t>138.17</w:t>
      </w:r>
      <w:r>
        <w:rPr>
          <w:rFonts w:hint="eastAsia" w:ascii="仿宋" w:hAnsi="仿宋" w:eastAsia="仿宋" w:cs="仿宋"/>
          <w:sz w:val="32"/>
          <w:szCs w:val="32"/>
          <w:highlight w:val="none"/>
        </w:rPr>
        <w:t>万元：</w:t>
      </w:r>
      <w:r>
        <w:rPr>
          <w:rFonts w:hint="eastAsia" w:ascii="华文仿宋" w:hAnsi="华文仿宋" w:eastAsia="华文仿宋" w:cs="华文仿宋"/>
          <w:kern w:val="0"/>
          <w:sz w:val="32"/>
          <w:szCs w:val="32"/>
        </w:rPr>
        <w:t>主要用于缴纳教职工“五险”</w:t>
      </w:r>
      <w:r>
        <w:rPr>
          <w:rFonts w:hint="eastAsia" w:ascii="华文仿宋" w:hAnsi="华文仿宋" w:eastAsia="华文仿宋" w:cs="华文仿宋"/>
          <w:kern w:val="0"/>
          <w:sz w:val="32"/>
          <w:szCs w:val="32"/>
          <w:lang w:val="en-US" w:eastAsia="zh-CN"/>
        </w:rPr>
        <w:t>费用</w:t>
      </w:r>
      <w:r>
        <w:rPr>
          <w:rFonts w:hint="eastAsia" w:ascii="仿宋" w:hAnsi="仿宋" w:eastAsia="仿宋" w:cs="仿宋"/>
          <w:sz w:val="32"/>
          <w:szCs w:val="32"/>
          <w:highlight w:val="none"/>
        </w:rPr>
        <w:t>。较202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年度决算数</w:t>
      </w:r>
      <w:r>
        <w:rPr>
          <w:rFonts w:hint="eastAsia" w:ascii="仿宋" w:hAnsi="仿宋" w:eastAsia="仿宋" w:cs="仿宋"/>
          <w:sz w:val="32"/>
          <w:szCs w:val="32"/>
          <w:highlight w:val="none"/>
          <w:lang w:val="en-US" w:eastAsia="zh-CN" w:bidi="ar"/>
        </w:rPr>
        <w:t>增加31.09</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val="en-US" w:eastAsia="zh-CN" w:bidi="ar"/>
        </w:rPr>
        <w:t>增长29.03</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华文仿宋" w:hAnsi="华文仿宋" w:eastAsia="华文仿宋" w:cs="华文仿宋"/>
          <w:kern w:val="0"/>
          <w:sz w:val="32"/>
          <w:szCs w:val="32"/>
          <w:lang w:val="en-US" w:eastAsia="zh-CN"/>
        </w:rPr>
        <w:t>五险基数提高。</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kern w:val="2"/>
          <w:sz w:val="32"/>
          <w:szCs w:val="32"/>
          <w:highlight w:val="none"/>
          <w:lang w:val="en-US" w:eastAsia="zh-CN" w:bidi="ar"/>
        </w:rPr>
      </w:pPr>
      <w:r>
        <w:rPr>
          <w:rFonts w:hint="eastAsia" w:ascii="仿宋" w:hAnsi="仿宋" w:eastAsia="仿宋" w:cs="仿宋"/>
          <w:sz w:val="32"/>
          <w:szCs w:val="32"/>
          <w:highlight w:val="none"/>
        </w:rPr>
        <w:t>4</w:t>
      </w:r>
      <w:r>
        <w:rPr>
          <w:rFonts w:ascii="仿宋" w:hAnsi="仿宋" w:eastAsia="仿宋" w:cs="仿宋"/>
          <w:sz w:val="32"/>
          <w:u w:color="auto"/>
        </w:rPr>
        <w:t>.</w:t>
      </w:r>
      <w:r>
        <w:rPr>
          <w:rFonts w:hint="eastAsia" w:ascii="仿宋" w:hAnsi="仿宋" w:eastAsia="仿宋" w:cs="仿宋"/>
          <w:sz w:val="32"/>
          <w:szCs w:val="32"/>
          <w:highlight w:val="none"/>
          <w:lang w:bidi="ar"/>
        </w:rPr>
        <w:t>住房保障支出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221</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val="en-US" w:eastAsia="zh-CN" w:bidi="ar"/>
        </w:rPr>
        <w:t>103.56</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val="en-US" w:eastAsia="zh-CN"/>
          <w14:textFill>
            <w14:solidFill>
              <w14:schemeClr w14:val="tx1"/>
            </w14:solidFill>
          </w14:textFill>
        </w:rPr>
        <w:t>缴纳教职工住房公积金</w:t>
      </w:r>
      <w:r>
        <w:rPr>
          <w:rFonts w:hint="eastAsia" w:ascii="仿宋" w:hAnsi="仿宋" w:eastAsia="仿宋" w:cs="仿宋"/>
          <w:sz w:val="32"/>
          <w:szCs w:val="32"/>
          <w:highlight w:val="none"/>
        </w:rPr>
        <w:t>。较202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年度决算数</w:t>
      </w:r>
      <w:r>
        <w:rPr>
          <w:rFonts w:hint="eastAsia" w:ascii="仿宋" w:hAnsi="仿宋" w:eastAsia="仿宋" w:cs="仿宋"/>
          <w:sz w:val="32"/>
          <w:szCs w:val="32"/>
          <w:highlight w:val="none"/>
          <w:lang w:bidi="ar"/>
        </w:rPr>
        <w:t>增加</w:t>
      </w:r>
      <w:r>
        <w:rPr>
          <w:rFonts w:hint="eastAsia" w:ascii="仿宋" w:hAnsi="仿宋" w:eastAsia="仿宋" w:cs="仿宋"/>
          <w:sz w:val="32"/>
          <w:szCs w:val="32"/>
          <w:highlight w:val="none"/>
          <w:lang w:val="en-US" w:eastAsia="zh-CN" w:bidi="ar"/>
        </w:rPr>
        <w:t>13.39</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bidi="ar"/>
        </w:rPr>
        <w:t>增长</w:t>
      </w:r>
      <w:r>
        <w:rPr>
          <w:rFonts w:hint="eastAsia" w:ascii="仿宋" w:hAnsi="仿宋" w:eastAsia="仿宋" w:cs="仿宋"/>
          <w:sz w:val="32"/>
          <w:szCs w:val="32"/>
          <w:highlight w:val="none"/>
          <w:lang w:val="en-US" w:eastAsia="zh-CN" w:bidi="ar"/>
        </w:rPr>
        <w:t>14.85</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缴纳公积金基数有所提高。</w:t>
      </w:r>
    </w:p>
    <w:p>
      <w:pPr>
        <w:keepNext w:val="0"/>
        <w:keepLines w:val="0"/>
        <w:widowControl w:val="0"/>
        <w:suppressLineNumbers w:val="0"/>
        <w:spacing w:before="0" w:beforeAutospacing="0" w:after="0" w:afterAutospacing="0"/>
        <w:ind w:left="0" w:right="0" w:firstLine="640" w:firstLineChars="200"/>
        <w:jc w:val="left"/>
        <w:rPr>
          <w:rFonts w:hint="eastAsia" w:ascii="华文仿宋" w:hAnsi="华文仿宋" w:eastAsia="华文仿宋" w:cs="华文仿宋"/>
          <w:kern w:val="0"/>
          <w:sz w:val="32"/>
          <w:szCs w:val="32"/>
          <w:lang w:val="en-US" w:eastAsia="zh-CN"/>
        </w:rPr>
      </w:pPr>
      <w:r>
        <w:rPr>
          <w:rFonts w:hint="eastAsia" w:ascii="仿宋" w:hAnsi="仿宋" w:eastAsia="仿宋" w:cs="仿宋"/>
          <w:sz w:val="32"/>
          <w:szCs w:val="32"/>
          <w:highlight w:val="none"/>
        </w:rPr>
        <w:t>5</w:t>
      </w:r>
      <w:r>
        <w:rPr>
          <w:rFonts w:ascii="仿宋" w:hAnsi="仿宋" w:eastAsia="仿宋" w:cs="仿宋"/>
          <w:sz w:val="32"/>
          <w:u w:color="auto"/>
        </w:rPr>
        <w:t>.</w:t>
      </w:r>
      <w:r>
        <w:rPr>
          <w:rFonts w:hint="eastAsia" w:ascii="仿宋" w:hAnsi="仿宋" w:eastAsia="仿宋" w:cs="仿宋"/>
          <w:sz w:val="32"/>
          <w:szCs w:val="32"/>
          <w:highlight w:val="none"/>
          <w:lang w:bidi="ar"/>
        </w:rPr>
        <w:t>其他支出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229</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val="en-US" w:eastAsia="zh-CN" w:bidi="ar"/>
        </w:rPr>
        <w:t>151.39</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auto"/>
          <w:sz w:val="32"/>
          <w:szCs w:val="32"/>
          <w:highlight w:val="none"/>
          <w:lang w:val="en-US" w:eastAsia="zh-CN"/>
        </w:rPr>
        <w:t>发放教职工奖金及伙食补助等</w:t>
      </w:r>
      <w:r>
        <w:rPr>
          <w:rFonts w:hint="eastAsia" w:ascii="仿宋" w:hAnsi="仿宋" w:eastAsia="仿宋" w:cs="仿宋"/>
          <w:sz w:val="32"/>
          <w:szCs w:val="32"/>
          <w:highlight w:val="none"/>
        </w:rPr>
        <w:t>。较202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年度决算数</w:t>
      </w:r>
      <w:r>
        <w:rPr>
          <w:rFonts w:hint="eastAsia" w:ascii="仿宋" w:hAnsi="仿宋" w:eastAsia="仿宋" w:cs="仿宋"/>
          <w:sz w:val="32"/>
          <w:szCs w:val="32"/>
          <w:highlight w:val="none"/>
          <w:lang w:bidi="ar"/>
        </w:rPr>
        <w:t>减少</w:t>
      </w:r>
      <w:r>
        <w:rPr>
          <w:rFonts w:hint="eastAsia" w:ascii="仿宋" w:hAnsi="仿宋" w:eastAsia="仿宋" w:cs="仿宋"/>
          <w:sz w:val="32"/>
          <w:szCs w:val="32"/>
          <w:highlight w:val="none"/>
          <w:lang w:val="en-US" w:eastAsia="zh-CN" w:bidi="ar"/>
        </w:rPr>
        <w:t>71.04</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bidi="ar"/>
        </w:rPr>
        <w:t>下降24.18%</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华文仿宋" w:hAnsi="华文仿宋" w:eastAsia="华文仿宋" w:cs="华文仿宋"/>
          <w:kern w:val="0"/>
          <w:sz w:val="32"/>
          <w:szCs w:val="32"/>
        </w:rPr>
        <w:t>（1）</w:t>
      </w:r>
      <w:r>
        <w:rPr>
          <w:rFonts w:hint="eastAsia" w:ascii="华文仿宋" w:hAnsi="华文仿宋" w:eastAsia="华文仿宋" w:cs="华文仿宋"/>
          <w:kern w:val="0"/>
          <w:sz w:val="32"/>
          <w:szCs w:val="32"/>
          <w:lang w:val="en-US" w:eastAsia="zh-CN"/>
        </w:rPr>
        <w:t>年内退休人员增多；（2）年内调出人员增多。</w:t>
      </w:r>
    </w:p>
    <w:p>
      <w:pPr>
        <w:keepNext w:val="0"/>
        <w:keepLines w:val="0"/>
        <w:widowControl w:val="0"/>
        <w:suppressLineNumbers w:val="0"/>
        <w:spacing w:before="0" w:beforeAutospacing="0" w:after="0" w:afterAutospacing="0"/>
        <w:ind w:right="0" w:firstLine="620" w:firstLineChars="200"/>
        <w:jc w:val="left"/>
        <w:rPr>
          <w:rFonts w:hint="eastAsia" w:ascii="仿宋" w:hAnsi="仿宋" w:eastAsia="仿宋" w:cs="仿宋"/>
          <w:color w:val="FF0000"/>
          <w:kern w:val="2"/>
          <w:sz w:val="32"/>
          <w:szCs w:val="32"/>
          <w:highlight w:val="none"/>
          <w:lang w:val="en-US" w:eastAsia="zh-CN" w:bidi="ar"/>
        </w:rPr>
      </w:pP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6.</w:t>
      </w:r>
      <w:r>
        <w:rPr>
          <w:rFonts w:hint="default" w:ascii="仿宋_GB2312" w:hAnsi="微软雅黑" w:eastAsia="仿宋_GB2312" w:cs="仿宋_GB2312"/>
          <w:i w:val="0"/>
          <w:iCs w:val="0"/>
          <w:caps w:val="0"/>
          <w:color w:val="000000"/>
          <w:spacing w:val="0"/>
          <w:sz w:val="31"/>
          <w:szCs w:val="31"/>
          <w:highlight w:val="none"/>
          <w:shd w:val="clear" w:color="auto" w:fill="FFFFFF"/>
        </w:rPr>
        <w:t>结余分配</w:t>
      </w:r>
      <w:r>
        <w:rPr>
          <w:rFonts w:hint="eastAsia" w:ascii="仿宋_GB2312" w:hAnsi="微软雅黑" w:eastAsia="仿宋_GB2312" w:cs="仿宋_GB2312"/>
          <w:color w:val="000000"/>
          <w:sz w:val="31"/>
          <w:szCs w:val="31"/>
          <w:highlight w:val="none"/>
          <w:shd w:val="clear" w:color="auto" w:fill="FFFFFF"/>
        </w:rPr>
        <w:t>0.00</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 w:hAnsi="仿宋" w:eastAsia="仿宋" w:cs="仿宋"/>
          <w:color w:val="FF0000"/>
          <w:kern w:val="2"/>
          <w:sz w:val="32"/>
          <w:szCs w:val="32"/>
          <w:highlight w:val="none"/>
          <w:lang w:val="en-US" w:eastAsia="zh-CN" w:bidi="ar"/>
        </w:rPr>
        <w:t>。</w:t>
      </w:r>
    </w:p>
    <w:p>
      <w:pPr>
        <w:keepNext w:val="0"/>
        <w:keepLines w:val="0"/>
        <w:widowControl w:val="0"/>
        <w:suppressLineNumbers w:val="0"/>
        <w:spacing w:before="0" w:beforeAutospacing="0" w:after="0" w:afterAutospacing="0"/>
        <w:ind w:right="0" w:firstLine="640" w:firstLineChars="200"/>
        <w:jc w:val="left"/>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lang w:val="en-US" w:eastAsia="zh-CN"/>
        </w:rPr>
        <w:t>7.</w:t>
      </w:r>
      <w:r>
        <w:rPr>
          <w:rFonts w:hint="eastAsia" w:ascii="仿宋" w:hAnsi="仿宋" w:eastAsia="仿宋" w:cs="仿宋"/>
          <w:sz w:val="32"/>
          <w:szCs w:val="32"/>
          <w:highlight w:val="none"/>
        </w:rPr>
        <w:t>年末结转和结余</w:t>
      </w:r>
      <w:r>
        <w:rPr>
          <w:rFonts w:ascii="仿宋" w:hAnsi="仿宋" w:eastAsia="仿宋" w:cs="仿宋"/>
          <w:sz w:val="32"/>
          <w:u w:color="auto"/>
        </w:rPr>
        <w:t>0.00</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rPr>
        <w:t>。</w:t>
      </w:r>
    </w:p>
    <w:p>
      <w:pPr>
        <w:ind w:firstLine="640" w:firstLineChars="200"/>
        <w:jc w:val="center"/>
        <w:rPr>
          <w:rFonts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5080000" cy="3022600"/>
            <wp:effectExtent l="4445" t="4445" r="20955" b="20955"/>
            <wp:docPr id="3" name="图表 3" title="{{img_zcjs}}"/>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二、202</w:t>
      </w:r>
      <w:r>
        <w:rPr>
          <w:rFonts w:hint="eastAsia" w:ascii="黑体" w:hAnsi="黑体" w:eastAsia="黑体" w:cs="黑体"/>
          <w:sz w:val="32"/>
          <w:szCs w:val="32"/>
          <w:highlight w:val="none"/>
          <w:lang w:val="en-US" w:eastAsia="zh-CN"/>
        </w:rPr>
        <w:t>3</w:t>
      </w:r>
      <w:r>
        <w:rPr>
          <w:rFonts w:hint="eastAsia" w:ascii="黑体" w:hAnsi="黑体" w:eastAsia="黑体" w:cs="黑体"/>
          <w:sz w:val="32"/>
          <w:szCs w:val="32"/>
          <w:highlight w:val="none"/>
        </w:rPr>
        <w:t xml:space="preserve"> 年度</w:t>
      </w:r>
      <w:bookmarkStart w:id="0" w:name="OLE_LINK1"/>
      <w:r>
        <w:rPr>
          <w:rFonts w:hint="eastAsia" w:ascii="黑体" w:hAnsi="黑体" w:eastAsia="黑体" w:cs="黑体"/>
          <w:sz w:val="32"/>
          <w:szCs w:val="32"/>
          <w:highlight w:val="none"/>
        </w:rPr>
        <w:t>一般公共预算财政拨款支出决算情况</w:t>
      </w:r>
      <w:bookmarkEnd w:id="0"/>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环江毛南族自治县长美学校202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年度一般公共预算财政拨款支出</w:t>
      </w:r>
      <w:r>
        <w:rPr>
          <w:rFonts w:hint="eastAsia" w:ascii="仿宋" w:hAnsi="仿宋" w:eastAsia="仿宋" w:cs="仿宋"/>
          <w:sz w:val="32"/>
          <w:u w:color="auto"/>
          <w:lang w:val="en-US" w:eastAsia="zh-CN"/>
        </w:rPr>
        <w:t>1857.77</w:t>
      </w:r>
      <w:r>
        <w:rPr>
          <w:rFonts w:hint="eastAsia" w:ascii="仿宋" w:hAnsi="仿宋" w:eastAsia="仿宋" w:cs="仿宋"/>
          <w:sz w:val="32"/>
          <w:szCs w:val="32"/>
          <w:highlight w:val="none"/>
        </w:rPr>
        <w:t>万元，较202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年度决算数</w:t>
      </w:r>
      <w:r>
        <w:rPr>
          <w:rFonts w:ascii="仿宋" w:hAnsi="仿宋" w:eastAsia="仿宋" w:cs="仿宋"/>
          <w:sz w:val="32"/>
          <w:u w:color="auto"/>
        </w:rPr>
        <w:t>增加</w:t>
      </w:r>
      <w:r>
        <w:rPr>
          <w:rFonts w:hint="eastAsia" w:ascii="仿宋" w:hAnsi="仿宋" w:eastAsia="仿宋" w:cs="仿宋"/>
          <w:sz w:val="32"/>
          <w:u w:color="auto"/>
          <w:lang w:val="en-US" w:eastAsia="zh-CN"/>
        </w:rPr>
        <w:t>132.14</w:t>
      </w:r>
      <w:r>
        <w:rPr>
          <w:rFonts w:hint="eastAsia" w:ascii="仿宋" w:hAnsi="仿宋" w:eastAsia="仿宋" w:cs="仿宋"/>
          <w:sz w:val="32"/>
          <w:szCs w:val="32"/>
          <w:highlight w:val="none"/>
        </w:rPr>
        <w:t>万元，</w:t>
      </w:r>
      <w:r>
        <w:rPr>
          <w:rFonts w:ascii="仿宋" w:hAnsi="仿宋" w:eastAsia="仿宋" w:cs="仿宋"/>
          <w:sz w:val="32"/>
          <w:u w:color="auto"/>
        </w:rPr>
        <w:t>增长</w:t>
      </w:r>
      <w:r>
        <w:rPr>
          <w:rFonts w:hint="eastAsia" w:ascii="仿宋" w:hAnsi="仿宋" w:eastAsia="仿宋" w:cs="仿宋"/>
          <w:sz w:val="32"/>
          <w:u w:color="auto"/>
          <w:lang w:val="en-US" w:eastAsia="zh-CN"/>
        </w:rPr>
        <w:t>7.66</w:t>
      </w:r>
      <w:r>
        <w:rPr>
          <w:rFonts w:ascii="仿宋" w:hAnsi="仿宋" w:eastAsia="仿宋" w:cs="仿宋"/>
          <w:sz w:val="32"/>
          <w:u w:color="auto"/>
        </w:rPr>
        <w:t>%</w:t>
      </w:r>
      <w:r>
        <w:rPr>
          <w:rFonts w:hint="eastAsia" w:ascii="仿宋" w:hAnsi="仿宋" w:eastAsia="仿宋" w:cs="仿宋"/>
          <w:sz w:val="32"/>
          <w:szCs w:val="32"/>
          <w:highlight w:val="none"/>
        </w:rPr>
        <w:t>。其中：基本支出</w:t>
      </w:r>
      <w:r>
        <w:rPr>
          <w:rFonts w:hint="eastAsia" w:ascii="仿宋" w:hAnsi="仿宋" w:eastAsia="仿宋" w:cs="仿宋"/>
          <w:sz w:val="32"/>
          <w:u w:color="auto"/>
          <w:lang w:val="en-US" w:eastAsia="zh-CN"/>
        </w:rPr>
        <w:t>1531.61</w:t>
      </w:r>
      <w:r>
        <w:rPr>
          <w:rFonts w:hint="eastAsia" w:ascii="仿宋" w:hAnsi="仿宋" w:eastAsia="仿宋" w:cs="仿宋"/>
          <w:sz w:val="32"/>
          <w:szCs w:val="32"/>
          <w:highlight w:val="none"/>
        </w:rPr>
        <w:t>万元，项目支出</w:t>
      </w:r>
      <w:r>
        <w:rPr>
          <w:rFonts w:hint="eastAsia" w:ascii="仿宋" w:hAnsi="仿宋" w:eastAsia="仿宋" w:cs="仿宋"/>
          <w:sz w:val="32"/>
          <w:u w:color="auto"/>
          <w:lang w:val="en-US" w:eastAsia="zh-CN"/>
        </w:rPr>
        <w:t>326.16</w:t>
      </w:r>
      <w:r>
        <w:rPr>
          <w:rFonts w:hint="eastAsia" w:ascii="仿宋" w:hAnsi="仿宋" w:eastAsia="仿宋" w:cs="仿宋"/>
          <w:sz w:val="32"/>
          <w:szCs w:val="32"/>
          <w:highlight w:val="none"/>
        </w:rPr>
        <w:t>万元。</w:t>
      </w:r>
    </w:p>
    <w:p>
      <w:pPr>
        <w:ind w:firstLine="640" w:firstLineChars="200"/>
        <w:jc w:val="left"/>
        <w:rPr>
          <w:rFonts w:ascii="仿宋" w:hAnsi="仿宋" w:eastAsia="仿宋"/>
          <w:sz w:val="32"/>
          <w:szCs w:val="32"/>
          <w:highlight w:val="none"/>
        </w:rPr>
      </w:pPr>
      <w:r>
        <w:rPr>
          <w:rFonts w:hint="eastAsia" w:ascii="仿宋" w:hAnsi="仿宋" w:eastAsia="仿宋" w:cs="仿宋"/>
          <w:sz w:val="32"/>
          <w:szCs w:val="32"/>
          <w:highlight w:val="none"/>
        </w:rPr>
        <w:t>环江毛南族自治县长美学校202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 xml:space="preserve"> 年度一般公共预算财政拨款支出年初预算为</w:t>
      </w:r>
      <w:r>
        <w:rPr>
          <w:rFonts w:hint="eastAsia" w:ascii="仿宋" w:hAnsi="仿宋" w:eastAsia="仿宋" w:cs="仿宋"/>
          <w:sz w:val="32"/>
          <w:u w:color="auto"/>
          <w:lang w:val="en-US" w:eastAsia="zh-CN"/>
        </w:rPr>
        <w:t>1270.03</w:t>
      </w:r>
      <w:r>
        <w:rPr>
          <w:rFonts w:hint="eastAsia" w:ascii="仿宋" w:hAnsi="仿宋" w:eastAsia="仿宋" w:cs="仿宋"/>
          <w:sz w:val="32"/>
          <w:szCs w:val="32"/>
          <w:highlight w:val="none"/>
        </w:rPr>
        <w:t>万元，支出决算为</w:t>
      </w:r>
      <w:r>
        <w:rPr>
          <w:rFonts w:hint="eastAsia" w:ascii="仿宋" w:hAnsi="仿宋" w:eastAsia="仿宋" w:cs="仿宋"/>
          <w:sz w:val="32"/>
          <w:u w:color="auto"/>
          <w:lang w:val="en-US" w:eastAsia="zh-CN"/>
        </w:rPr>
        <w:t>1857.77</w:t>
      </w:r>
      <w:r>
        <w:rPr>
          <w:rFonts w:hint="eastAsia" w:ascii="仿宋" w:hAnsi="仿宋" w:eastAsia="仿宋" w:cs="仿宋"/>
          <w:sz w:val="32"/>
          <w:szCs w:val="32"/>
          <w:highlight w:val="none"/>
        </w:rPr>
        <w:t>万元，完成年初预算的</w:t>
      </w:r>
      <w:r>
        <w:rPr>
          <w:rFonts w:hint="eastAsia" w:ascii="仿宋" w:hAnsi="仿宋" w:eastAsia="仿宋" w:cs="仿宋"/>
          <w:sz w:val="32"/>
          <w:u w:color="auto"/>
          <w:lang w:val="en-US" w:eastAsia="zh-CN"/>
        </w:rPr>
        <w:t>146.28</w:t>
      </w:r>
      <w:r>
        <w:rPr>
          <w:rFonts w:ascii="仿宋" w:hAnsi="仿宋" w:eastAsia="仿宋" w:cs="仿宋"/>
          <w:sz w:val="32"/>
          <w:u w:color="auto"/>
        </w:rPr>
        <w:t>%</w:t>
      </w:r>
      <w:r>
        <w:rPr>
          <w:rFonts w:hint="eastAsia" w:ascii="仿宋" w:hAnsi="仿宋" w:eastAsia="仿宋" w:cs="仿宋"/>
          <w:sz w:val="32"/>
          <w:szCs w:val="32"/>
          <w:highlight w:val="none"/>
        </w:rPr>
        <w:t>。</w:t>
      </w:r>
      <w:bookmarkStart w:id="1" w:name="OLE_LINK2"/>
      <w:bookmarkEnd w:id="1"/>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r>
        <w:rPr>
          <w:rFonts w:hint="eastAsia" w:ascii="仿宋" w:hAnsi="仿宋" w:eastAsia="仿宋"/>
          <w:sz w:val="32"/>
          <w:szCs w:val="32"/>
          <w:highlight w:val="none"/>
        </w:rPr>
        <w:t>一般公共服务支出</w:t>
      </w:r>
      <w:r>
        <w:rPr>
          <w:rFonts w:ascii="仿宋" w:hAnsi="仿宋" w:eastAsia="仿宋"/>
          <w:sz w:val="32"/>
          <w:u w:color="auto"/>
        </w:rPr>
        <w:t>（201</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18.86</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18.86</w:t>
      </w:r>
      <w:r>
        <w:rPr>
          <w:rFonts w:hint="eastAsia" w:ascii="仿宋" w:hAnsi="仿宋" w:eastAsia="仿宋"/>
          <w:sz w:val="32"/>
          <w:szCs w:val="32"/>
          <w:highlight w:val="none"/>
        </w:rPr>
        <w:t>万元，完成年初预算的</w:t>
      </w:r>
      <w:r>
        <w:rPr>
          <w:rFonts w:ascii="仿宋" w:hAnsi="仿宋" w:eastAsia="仿宋"/>
          <w:sz w:val="32"/>
          <w:szCs w:val="32"/>
          <w:highlight w:val="none"/>
        </w:rPr>
        <w:t>100.00%</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cs="仿宋"/>
          <w:color w:val="auto"/>
          <w:kern w:val="2"/>
          <w:sz w:val="32"/>
          <w:szCs w:val="32"/>
          <w:highlight w:val="none"/>
          <w:lang w:val="en-US" w:eastAsia="zh-CN" w:bidi="ar"/>
        </w:rPr>
        <w:t>无差异。</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2012999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其他群众团体事务支出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18.86</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18.86</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工会活动及慰问支出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18"/>
                <w:szCs w:val="18"/>
                <w:highlight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18.86</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18.86</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工会活动及慰问支出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18"/>
                <w:szCs w:val="18"/>
                <w:highlight w:val="none"/>
                <w:lang w:val="en-US" w:eastAsia="zh-CN"/>
              </w:rPr>
              <w:t>无</w:t>
            </w: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6"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keepNext w:val="0"/>
        <w:keepLines w:val="0"/>
        <w:pageBreakBefore w:val="0"/>
        <w:numPr>
          <w:ilvl w:val="0"/>
          <w:numId w:val="0"/>
        </w:numPr>
        <w:kinsoku/>
        <w:wordWrap/>
        <w:overflowPunct/>
        <w:topLinePunct w:val="0"/>
        <w:autoSpaceDE w:val="0"/>
        <w:autoSpaceDN w:val="0"/>
        <w:bidi w:val="0"/>
        <w:adjustRightInd w:val="0"/>
        <w:snapToGrid/>
        <w:spacing w:line="560" w:lineRule="exact"/>
        <w:ind w:firstLine="640" w:firstLineChars="200"/>
        <w:textAlignment w:val="auto"/>
        <w:rPr>
          <w:rFonts w:hint="eastAsia" w:eastAsia="仿宋"/>
          <w:color w:val="FF0000"/>
          <w:highlight w:val="none"/>
          <w:lang w:val="en-US" w:eastAsia="zh-CN"/>
        </w:rPr>
      </w:pPr>
      <w:r>
        <w:rPr>
          <w:rFonts w:hint="eastAsia" w:ascii="仿宋" w:hAnsi="仿宋" w:eastAsia="仿宋"/>
          <w:sz w:val="32"/>
          <w:szCs w:val="32"/>
          <w:highlight w:val="none"/>
          <w:lang w:eastAsia="zh-CN"/>
        </w:rPr>
        <w:t>（</w:t>
      </w:r>
      <w:r>
        <w:rPr>
          <w:rFonts w:hint="eastAsia" w:ascii="仿宋" w:hAnsi="仿宋" w:eastAsia="仿宋"/>
          <w:sz w:val="32"/>
          <w:szCs w:val="32"/>
          <w:highlight w:val="none"/>
          <w:lang w:val="en-US" w:eastAsia="zh-CN"/>
        </w:rPr>
        <w:t>二</w:t>
      </w:r>
      <w:r>
        <w:rPr>
          <w:rFonts w:hint="eastAsia" w:ascii="仿宋" w:hAnsi="仿宋" w:eastAsia="仿宋"/>
          <w:sz w:val="32"/>
          <w:szCs w:val="32"/>
          <w:highlight w:val="none"/>
          <w:lang w:eastAsia="zh-CN"/>
        </w:rPr>
        <w:t>）</w:t>
      </w:r>
      <w:r>
        <w:rPr>
          <w:rFonts w:hint="eastAsia" w:ascii="仿宋" w:hAnsi="仿宋" w:eastAsia="仿宋"/>
          <w:sz w:val="32"/>
          <w:szCs w:val="32"/>
          <w:highlight w:val="none"/>
        </w:rPr>
        <w:t>教育支出</w:t>
      </w:r>
      <w:r>
        <w:rPr>
          <w:rFonts w:ascii="仿宋" w:hAnsi="仿宋" w:eastAsia="仿宋"/>
          <w:sz w:val="32"/>
          <w:u w:color="auto"/>
        </w:rPr>
        <w:t>（205</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1015.37</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1445.73</w:t>
      </w:r>
      <w:r>
        <w:rPr>
          <w:rFonts w:hint="eastAsia" w:ascii="仿宋" w:hAnsi="仿宋" w:eastAsia="仿宋"/>
          <w:sz w:val="32"/>
          <w:szCs w:val="32"/>
          <w:highlight w:val="none"/>
        </w:rPr>
        <w:t>万元，完成年初预算的</w:t>
      </w:r>
      <w:r>
        <w:rPr>
          <w:rFonts w:ascii="仿宋" w:hAnsi="仿宋" w:eastAsia="仿宋"/>
          <w:sz w:val="32"/>
          <w:szCs w:val="32"/>
          <w:highlight w:val="none"/>
        </w:rPr>
        <w:t>14</w:t>
      </w:r>
      <w:r>
        <w:rPr>
          <w:rFonts w:hint="eastAsia" w:ascii="仿宋" w:hAnsi="仿宋" w:eastAsia="仿宋"/>
          <w:sz w:val="32"/>
          <w:szCs w:val="32"/>
          <w:highlight w:val="none"/>
          <w:lang w:val="en-US" w:eastAsia="zh-CN"/>
        </w:rPr>
        <w:t>2</w:t>
      </w:r>
      <w:r>
        <w:rPr>
          <w:rFonts w:ascii="仿宋" w:hAnsi="仿宋" w:eastAsia="仿宋"/>
          <w:sz w:val="32"/>
          <w:szCs w:val="32"/>
          <w:highlight w:val="none"/>
        </w:rPr>
        <w:t>.</w:t>
      </w:r>
      <w:r>
        <w:rPr>
          <w:rFonts w:hint="eastAsia" w:ascii="仿宋" w:hAnsi="仿宋" w:eastAsia="仿宋"/>
          <w:sz w:val="32"/>
          <w:szCs w:val="32"/>
          <w:highlight w:val="none"/>
          <w:lang w:val="en-US" w:eastAsia="zh-CN"/>
        </w:rPr>
        <w:t>38</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cs="仿宋"/>
          <w:i w:val="0"/>
          <w:iCs w:val="0"/>
          <w:color w:val="auto"/>
          <w:sz w:val="32"/>
          <w:szCs w:val="32"/>
          <w:highlight w:val="none"/>
          <w:u w:val="none"/>
          <w:lang w:val="en-US" w:eastAsia="zh-CN"/>
        </w:rPr>
        <w:t>该类支出部分资金上级部门每年都做预算下接下达，本部门无需预算</w:t>
      </w:r>
    </w:p>
    <w:tbl>
      <w:tblPr>
        <w:tblStyle w:val="6"/>
        <w:tblpPr w:leftFromText="180" w:rightFromText="180" w:vertAnchor="text" w:horzAnchor="page" w:tblpX="1572" w:tblpY="613"/>
        <w:tblOverlap w:val="never"/>
        <w:tblW w:w="1030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961"/>
        <w:gridCol w:w="942"/>
        <w:gridCol w:w="1972"/>
        <w:gridCol w:w="340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961"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942"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972"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340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2050202</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小学教育</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662.69</w:t>
            </w:r>
          </w:p>
        </w:tc>
        <w:tc>
          <w:tcPr>
            <w:tcW w:w="961"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984.94</w:t>
            </w:r>
          </w:p>
        </w:tc>
        <w:tc>
          <w:tcPr>
            <w:tcW w:w="942"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148.63%</w:t>
            </w:r>
          </w:p>
        </w:tc>
        <w:tc>
          <w:tcPr>
            <w:tcW w:w="1972"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职工工资发放及开展教学活动等支出</w:t>
            </w:r>
          </w:p>
        </w:tc>
        <w:tc>
          <w:tcPr>
            <w:tcW w:w="340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i w:val="0"/>
                <w:iCs w:val="0"/>
                <w:color w:val="auto"/>
                <w:sz w:val="18"/>
                <w:szCs w:val="18"/>
                <w:highlight w:val="none"/>
                <w:u w:val="none"/>
                <w:lang w:val="en-US" w:eastAsia="zh-CN"/>
              </w:rPr>
              <w:t>该类支出部分资金上级部门每年都做预算下接下达，本部门无需预算。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2050203</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初中教育</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352.68</w:t>
            </w:r>
          </w:p>
        </w:tc>
        <w:tc>
          <w:tcPr>
            <w:tcW w:w="961"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458.63</w:t>
            </w:r>
          </w:p>
        </w:tc>
        <w:tc>
          <w:tcPr>
            <w:tcW w:w="942"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142.79%</w:t>
            </w:r>
          </w:p>
        </w:tc>
        <w:tc>
          <w:tcPr>
            <w:tcW w:w="1972"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职工工资发放及开展教学活动等支出</w:t>
            </w:r>
          </w:p>
        </w:tc>
        <w:tc>
          <w:tcPr>
            <w:tcW w:w="340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olor w:val="000000" w:themeColor="text1"/>
                <w:sz w:val="18"/>
                <w:szCs w:val="18"/>
                <w:highlight w:val="none"/>
                <w:lang w:val="en-US" w:eastAsia="zh-CN"/>
                <w14:textFill>
                  <w14:solidFill>
                    <w14:schemeClr w14:val="tx1"/>
                  </w14:solidFill>
                </w14:textFill>
              </w:rPr>
              <w:t>该类支出部分资金上级部门每年都有预算，直接下达，本部门无需做预算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2050299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其他普通教育支出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i w:val="0"/>
                <w:iCs w:val="0"/>
                <w:color w:val="000000"/>
                <w:sz w:val="18"/>
                <w:szCs w:val="18"/>
                <w:highlight w:val="none"/>
                <w:u w:val="none"/>
                <w:lang w:val="en-US" w:eastAsia="zh-CN"/>
              </w:rPr>
            </w:pPr>
          </w:p>
        </w:tc>
        <w:tc>
          <w:tcPr>
            <w:tcW w:w="961"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2.72</w:t>
            </w:r>
          </w:p>
        </w:tc>
        <w:tc>
          <w:tcPr>
            <w:tcW w:w="942"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972"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学校办公支出</w:t>
            </w:r>
          </w:p>
        </w:tc>
        <w:tc>
          <w:tcPr>
            <w:tcW w:w="340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olor w:val="000000" w:themeColor="text1"/>
                <w:sz w:val="18"/>
                <w:szCs w:val="18"/>
                <w:highlight w:val="none"/>
                <w:lang w:val="en-US" w:eastAsia="zh-CN"/>
                <w14:textFill>
                  <w14:solidFill>
                    <w14:schemeClr w14:val="tx1"/>
                  </w14:solidFill>
                </w14:textFill>
              </w:rPr>
              <w:t>此部分资金上级部门每年都有预算，直接下达，本部门无需做预算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2050999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其他教育费附加安排的支出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961"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2.16</w:t>
            </w:r>
          </w:p>
        </w:tc>
        <w:tc>
          <w:tcPr>
            <w:tcW w:w="942"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972"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firstLine="630" w:firstLineChars="300"/>
              <w:jc w:val="both"/>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协管员劳务费</w:t>
            </w:r>
          </w:p>
        </w:tc>
        <w:tc>
          <w:tcPr>
            <w:tcW w:w="340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olor w:val="000000" w:themeColor="text1"/>
                <w:sz w:val="18"/>
                <w:szCs w:val="18"/>
                <w:highlight w:val="none"/>
                <w:lang w:val="en-US" w:eastAsia="zh-CN"/>
                <w14:textFill>
                  <w14:solidFill>
                    <w14:schemeClr w14:val="tx1"/>
                  </w14:solidFill>
                </w14:textFill>
              </w:rPr>
              <w:t>此部分资金上级部门每年都有预算，直接下达，本部门无需做预算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1015.37</w:t>
            </w:r>
          </w:p>
        </w:tc>
        <w:tc>
          <w:tcPr>
            <w:tcW w:w="961"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1445.73</w:t>
            </w:r>
          </w:p>
        </w:tc>
        <w:tc>
          <w:tcPr>
            <w:tcW w:w="942"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142.38%</w:t>
            </w:r>
          </w:p>
        </w:tc>
        <w:tc>
          <w:tcPr>
            <w:tcW w:w="1972"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340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8"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keepNext w:val="0"/>
        <w:keepLines w:val="0"/>
        <w:widowControl w:val="0"/>
        <w:suppressLineNumbers w:val="0"/>
        <w:spacing w:before="0" w:beforeAutospacing="0" w:after="0" w:afterAutospacing="0"/>
        <w:ind w:left="0" w:right="0" w:firstLine="640" w:firstLineChars="200"/>
        <w:jc w:val="left"/>
        <w:rPr>
          <w:rFonts w:hint="eastAsia" w:eastAsia="仿宋"/>
          <w:color w:val="FF0000"/>
          <w:highlight w:val="none"/>
          <w:lang w:val="en-US" w:eastAsia="zh-CN"/>
        </w:rPr>
      </w:pPr>
      <w:r>
        <w:rPr>
          <w:rFonts w:hint="eastAsia" w:ascii="仿宋" w:hAnsi="仿宋" w:eastAsia="仿宋"/>
          <w:sz w:val="32"/>
          <w:szCs w:val="32"/>
          <w:highlight w:val="none"/>
          <w:lang w:eastAsia="zh-CN"/>
        </w:rPr>
        <w:t>（</w:t>
      </w:r>
      <w:r>
        <w:rPr>
          <w:rFonts w:hint="eastAsia" w:ascii="仿宋" w:hAnsi="仿宋" w:eastAsia="仿宋"/>
          <w:sz w:val="32"/>
          <w:szCs w:val="32"/>
          <w:highlight w:val="none"/>
          <w:lang w:val="en-US" w:eastAsia="zh-CN"/>
        </w:rPr>
        <w:t>三</w:t>
      </w:r>
      <w:r>
        <w:rPr>
          <w:rFonts w:hint="eastAsia" w:ascii="仿宋" w:hAnsi="仿宋" w:eastAsia="仿宋"/>
          <w:sz w:val="32"/>
          <w:szCs w:val="32"/>
          <w:highlight w:val="none"/>
          <w:lang w:eastAsia="zh-CN"/>
        </w:rPr>
        <w:t>）</w:t>
      </w:r>
      <w:r>
        <w:rPr>
          <w:rFonts w:hint="eastAsia" w:ascii="仿宋" w:hAnsi="仿宋" w:eastAsia="仿宋"/>
          <w:sz w:val="32"/>
          <w:szCs w:val="32"/>
          <w:highlight w:val="none"/>
        </w:rPr>
        <w:t>社会保障和就业支出</w:t>
      </w:r>
      <w:r>
        <w:rPr>
          <w:rFonts w:ascii="仿宋" w:hAnsi="仿宋" w:eastAsia="仿宋"/>
          <w:sz w:val="32"/>
          <w:u w:color="auto"/>
        </w:rPr>
        <w:t>（208</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156.78</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138.17</w:t>
      </w:r>
      <w:r>
        <w:rPr>
          <w:rFonts w:hint="eastAsia" w:ascii="仿宋" w:hAnsi="仿宋" w:eastAsia="仿宋"/>
          <w:sz w:val="32"/>
          <w:szCs w:val="32"/>
          <w:highlight w:val="none"/>
        </w:rPr>
        <w:t>万元，完成年初预算的</w:t>
      </w:r>
      <w:r>
        <w:rPr>
          <w:rFonts w:hint="eastAsia" w:ascii="仿宋" w:hAnsi="仿宋" w:eastAsia="仿宋"/>
          <w:sz w:val="32"/>
          <w:szCs w:val="32"/>
          <w:highlight w:val="none"/>
          <w:lang w:val="en-US" w:eastAsia="zh-CN"/>
        </w:rPr>
        <w:t>88.13</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r>
        <w:rPr>
          <w:rFonts w:hint="eastAsia" w:ascii="华文仿宋" w:hAnsi="华文仿宋" w:eastAsia="华文仿宋" w:cs="华文仿宋"/>
          <w:kern w:val="0"/>
          <w:sz w:val="32"/>
          <w:szCs w:val="32"/>
          <w:lang w:val="en-US" w:eastAsia="zh-CN"/>
        </w:rPr>
        <w:t>年内退休人员及调出人员增多，</w:t>
      </w:r>
      <w:r>
        <w:rPr>
          <w:rFonts w:hint="eastAsia" w:ascii="华文仿宋" w:hAnsi="华文仿宋" w:eastAsia="华文仿宋" w:cs="华文仿宋"/>
          <w:kern w:val="0"/>
          <w:sz w:val="32"/>
          <w:szCs w:val="32"/>
        </w:rPr>
        <w:t>缴纳教职工“五险”</w:t>
      </w:r>
      <w:r>
        <w:rPr>
          <w:rFonts w:hint="eastAsia" w:ascii="华文仿宋" w:hAnsi="华文仿宋" w:eastAsia="华文仿宋" w:cs="华文仿宋"/>
          <w:kern w:val="0"/>
          <w:sz w:val="32"/>
          <w:szCs w:val="32"/>
          <w:lang w:val="en-US" w:eastAsia="zh-CN"/>
        </w:rPr>
        <w:t>经费有所减少。</w:t>
      </w:r>
    </w:p>
    <w:p>
      <w:pPr>
        <w:jc w:val="left"/>
        <w:rPr>
          <w:rFonts w:hint="eastAsia" w:ascii="仿宋" w:hAnsi="仿宋" w:eastAsia="仿宋"/>
          <w:sz w:val="32"/>
          <w:szCs w:val="32"/>
          <w:highlight w:val="none"/>
          <w:lang w:val="en-US" w:eastAsia="zh-CN"/>
        </w:rPr>
      </w:pP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pPr w:leftFromText="180" w:rightFromText="180" w:vertAnchor="text" w:horzAnchor="page" w:tblpX="1302" w:tblpY="744"/>
        <w:tblOverlap w:val="never"/>
        <w:tblW w:w="1022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35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351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2080505</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机关事业单位基本养老保险缴费支出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156.78</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138.17</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88.13%</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缴纳教职工养老保险经费</w:t>
            </w:r>
          </w:p>
        </w:tc>
        <w:tc>
          <w:tcPr>
            <w:tcW w:w="351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18"/>
                <w:szCs w:val="18"/>
                <w:highlight w:val="none"/>
                <w:lang w:val="en-US" w:eastAsia="zh-CN"/>
              </w:rPr>
              <w:t>年内退休人员及调出人员增多，缴纳教职工“五险”经费有所减少。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156.78</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138.17</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88.13%</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缴纳教职工养老保险经费</w:t>
            </w:r>
          </w:p>
        </w:tc>
        <w:tc>
          <w:tcPr>
            <w:tcW w:w="351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18"/>
                <w:szCs w:val="18"/>
                <w:highlight w:val="none"/>
                <w:lang w:val="en-US" w:eastAsia="zh-CN"/>
              </w:rPr>
              <w:t>年内退休人员及调出人员增多，缴纳教职工“五险”经费有所减少。</w:t>
            </w: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5715"/>
            <wp:docPr id="10"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keepNext w:val="0"/>
        <w:keepLines w:val="0"/>
        <w:widowControl w:val="0"/>
        <w:numPr>
          <w:ilvl w:val="0"/>
          <w:numId w:val="0"/>
        </w:numPr>
        <w:suppressLineNumbers w:val="0"/>
        <w:spacing w:before="0" w:beforeAutospacing="0" w:after="0" w:afterAutospacing="0"/>
        <w:ind w:leftChars="200" w:right="0" w:rightChars="0" w:firstLine="640" w:firstLineChars="200"/>
        <w:jc w:val="left"/>
        <w:rPr>
          <w:rFonts w:hint="eastAsia" w:ascii="仿宋" w:hAnsi="仿宋" w:eastAsia="仿宋"/>
          <w:sz w:val="32"/>
          <w:szCs w:val="32"/>
          <w:highlight w:val="none"/>
          <w:lang w:val="en-US" w:eastAsia="zh-CN"/>
        </w:rPr>
      </w:pPr>
      <w:r>
        <w:rPr>
          <w:rFonts w:hint="eastAsia" w:ascii="仿宋" w:hAnsi="仿宋" w:eastAsia="仿宋"/>
          <w:sz w:val="32"/>
          <w:szCs w:val="32"/>
          <w:highlight w:val="none"/>
          <w:lang w:eastAsia="zh-CN"/>
        </w:rPr>
        <w:t>（</w:t>
      </w:r>
      <w:r>
        <w:rPr>
          <w:rFonts w:hint="eastAsia" w:ascii="仿宋" w:hAnsi="仿宋" w:eastAsia="仿宋"/>
          <w:sz w:val="32"/>
          <w:szCs w:val="32"/>
          <w:highlight w:val="none"/>
          <w:lang w:val="en-US" w:eastAsia="zh-CN"/>
        </w:rPr>
        <w:t>四</w:t>
      </w:r>
      <w:r>
        <w:rPr>
          <w:rFonts w:hint="eastAsia" w:ascii="仿宋" w:hAnsi="仿宋" w:eastAsia="仿宋"/>
          <w:sz w:val="32"/>
          <w:szCs w:val="32"/>
          <w:highlight w:val="none"/>
          <w:lang w:eastAsia="zh-CN"/>
        </w:rPr>
        <w:t>）</w:t>
      </w:r>
      <w:r>
        <w:rPr>
          <w:rFonts w:hint="eastAsia" w:ascii="仿宋" w:hAnsi="仿宋" w:eastAsia="仿宋"/>
          <w:sz w:val="32"/>
          <w:szCs w:val="32"/>
          <w:highlight w:val="none"/>
        </w:rPr>
        <w:t>住房保障支出</w:t>
      </w:r>
      <w:r>
        <w:rPr>
          <w:rFonts w:ascii="仿宋" w:hAnsi="仿宋" w:eastAsia="仿宋"/>
          <w:sz w:val="32"/>
          <w:u w:color="auto"/>
        </w:rPr>
        <w:t>（221</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117.58</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103.57</w:t>
      </w:r>
      <w:r>
        <w:rPr>
          <w:rFonts w:hint="eastAsia" w:ascii="仿宋" w:hAnsi="仿宋" w:eastAsia="仿宋"/>
          <w:sz w:val="32"/>
          <w:szCs w:val="32"/>
          <w:highlight w:val="none"/>
        </w:rPr>
        <w:t>万元，完成年初预算的</w:t>
      </w:r>
      <w:r>
        <w:rPr>
          <w:rFonts w:ascii="仿宋" w:hAnsi="仿宋" w:eastAsia="仿宋"/>
          <w:sz w:val="32"/>
          <w:szCs w:val="32"/>
          <w:highlight w:val="none"/>
        </w:rPr>
        <w:t>88.</w:t>
      </w:r>
      <w:r>
        <w:rPr>
          <w:rFonts w:hint="eastAsia" w:ascii="仿宋" w:hAnsi="仿宋" w:eastAsia="仿宋"/>
          <w:sz w:val="32"/>
          <w:szCs w:val="32"/>
          <w:highlight w:val="none"/>
          <w:lang w:val="en-US" w:eastAsia="zh-CN"/>
        </w:rPr>
        <w:t>08</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r>
        <w:rPr>
          <w:rFonts w:hint="eastAsia" w:ascii="华文仿宋" w:hAnsi="华文仿宋" w:eastAsia="华文仿宋" w:cs="华文仿宋"/>
          <w:kern w:val="0"/>
          <w:sz w:val="32"/>
          <w:szCs w:val="32"/>
          <w:lang w:val="en-US" w:eastAsia="zh-CN"/>
        </w:rPr>
        <w:t>年内退休人员及调出人员增多，</w:t>
      </w:r>
      <w:r>
        <w:rPr>
          <w:rFonts w:hint="eastAsia" w:ascii="华文仿宋" w:hAnsi="华文仿宋" w:eastAsia="华文仿宋" w:cs="华文仿宋"/>
          <w:kern w:val="0"/>
          <w:sz w:val="32"/>
          <w:szCs w:val="32"/>
        </w:rPr>
        <w:t>缴纳教职工</w:t>
      </w:r>
      <w:r>
        <w:rPr>
          <w:rFonts w:hint="eastAsia" w:ascii="华文仿宋" w:hAnsi="华文仿宋" w:eastAsia="华文仿宋" w:cs="华文仿宋"/>
          <w:kern w:val="0"/>
          <w:sz w:val="32"/>
          <w:szCs w:val="32"/>
          <w:lang w:val="en-US" w:eastAsia="zh-CN"/>
        </w:rPr>
        <w:t>住房公积金有所减少。</w:t>
      </w:r>
    </w:p>
    <w:tbl>
      <w:tblPr>
        <w:tblStyle w:val="6"/>
        <w:tblpPr w:leftFromText="180" w:rightFromText="180" w:vertAnchor="text" w:horzAnchor="page" w:tblpX="672" w:tblpY="572"/>
        <w:tblOverlap w:val="never"/>
        <w:tblW w:w="1033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36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3622"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2210201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住房公积金</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117.58</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103.57</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88.08%</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缴纳教职工住房公积金</w:t>
            </w:r>
          </w:p>
        </w:tc>
        <w:tc>
          <w:tcPr>
            <w:tcW w:w="3622"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18"/>
                <w:szCs w:val="18"/>
                <w:highlight w:val="none"/>
                <w:lang w:val="en-US" w:eastAsia="zh-CN"/>
              </w:rPr>
              <w:t>年内退休人员及调出人员增多，缴纳教职工住房公积金有所减少。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117.58</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103.57</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88.08%</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缴纳教职工住房公积金</w:t>
            </w:r>
          </w:p>
        </w:tc>
        <w:tc>
          <w:tcPr>
            <w:tcW w:w="3622"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18"/>
                <w:szCs w:val="18"/>
                <w:highlight w:val="none"/>
                <w:lang w:val="en-US" w:eastAsia="zh-CN"/>
              </w:rPr>
              <w:t>年内退休人员及调出人员增多，缴纳教职工住房公积金有所减少。</w:t>
            </w:r>
          </w:p>
        </w:tc>
      </w:tr>
    </w:tbl>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2578100"/>
            <wp:effectExtent l="4445" t="4445" r="16510" b="8255"/>
            <wp:docPr id="12"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r>
        <w:rPr>
          <w:rFonts w:hint="eastAsia" w:ascii="仿宋" w:hAnsi="仿宋" w:eastAsia="仿宋"/>
          <w:sz w:val="32"/>
          <w:szCs w:val="32"/>
          <w:highlight w:val="none"/>
          <w:lang w:eastAsia="zh-CN"/>
        </w:rPr>
        <w:t>（</w:t>
      </w:r>
      <w:r>
        <w:rPr>
          <w:rFonts w:hint="eastAsia" w:ascii="仿宋" w:hAnsi="仿宋" w:eastAsia="仿宋"/>
          <w:sz w:val="32"/>
          <w:szCs w:val="32"/>
          <w:highlight w:val="none"/>
          <w:lang w:val="en-US" w:eastAsia="zh-CN"/>
        </w:rPr>
        <w:t>五</w:t>
      </w:r>
      <w:r>
        <w:rPr>
          <w:rFonts w:hint="eastAsia" w:ascii="仿宋" w:hAnsi="仿宋" w:eastAsia="仿宋"/>
          <w:sz w:val="32"/>
          <w:szCs w:val="32"/>
          <w:highlight w:val="none"/>
          <w:lang w:eastAsia="zh-CN"/>
        </w:rPr>
        <w:t>）</w:t>
      </w:r>
      <w:r>
        <w:rPr>
          <w:rFonts w:hint="eastAsia" w:ascii="仿宋" w:hAnsi="仿宋" w:eastAsia="仿宋"/>
          <w:sz w:val="32"/>
          <w:szCs w:val="32"/>
          <w:highlight w:val="none"/>
        </w:rPr>
        <w:t>其他支出</w:t>
      </w:r>
      <w:r>
        <w:rPr>
          <w:rFonts w:ascii="仿宋" w:hAnsi="仿宋" w:eastAsia="仿宋"/>
          <w:sz w:val="32"/>
          <w:u w:color="auto"/>
        </w:rPr>
        <w:t>（229</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0</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151.39</w:t>
      </w:r>
      <w:r>
        <w:rPr>
          <w:rFonts w:hint="eastAsia" w:ascii="仿宋" w:hAnsi="仿宋" w:eastAsia="仿宋"/>
          <w:sz w:val="32"/>
          <w:szCs w:val="32"/>
          <w:highlight w:val="none"/>
        </w:rPr>
        <w:t>万元，完成年初预算的</w:t>
      </w:r>
      <w:r>
        <w:rPr>
          <w:rFonts w:ascii="仿宋" w:hAnsi="仿宋" w:eastAsia="仿宋"/>
          <w:sz w:val="32"/>
          <w:szCs w:val="32"/>
          <w:highlight w:val="none"/>
        </w:rPr>
        <w:t>9</w:t>
      </w:r>
      <w:r>
        <w:rPr>
          <w:rFonts w:hint="eastAsia" w:ascii="仿宋" w:hAnsi="仿宋" w:eastAsia="仿宋"/>
          <w:sz w:val="32"/>
          <w:szCs w:val="32"/>
          <w:highlight w:val="none"/>
          <w:lang w:val="en-US" w:eastAsia="zh-CN"/>
        </w:rPr>
        <w:t>6.82</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原因是：年初无此项预算，</w:t>
      </w:r>
      <w:r>
        <w:rPr>
          <w:rFonts w:hint="eastAsia" w:ascii="华文仿宋" w:hAnsi="华文仿宋" w:eastAsia="华文仿宋" w:cs="华文仿宋"/>
          <w:kern w:val="0"/>
          <w:sz w:val="32"/>
          <w:szCs w:val="32"/>
          <w:lang w:val="en-US" w:eastAsia="zh-CN"/>
        </w:rPr>
        <w:t>奖金专项收入增加</w:t>
      </w:r>
      <w:r>
        <w:rPr>
          <w:rFonts w:hint="eastAsia" w:ascii="仿宋" w:hAnsi="仿宋" w:eastAsia="仿宋" w:cs="仿宋"/>
          <w:color w:val="000000" w:themeColor="text1"/>
          <w:sz w:val="32"/>
          <w:szCs w:val="32"/>
          <w:highlight w:val="none"/>
          <w:lang w:val="en-US" w:eastAsia="zh-CN"/>
          <w14:textFill>
            <w14:solidFill>
              <w14:schemeClr w14:val="tx1"/>
            </w14:solidFill>
          </w14:textFill>
        </w:rPr>
        <w:t>。</w:t>
      </w:r>
    </w:p>
    <w:p>
      <w:pPr>
        <w:keepNext w:val="0"/>
        <w:keepLines w:val="0"/>
        <w:widowControl w:val="0"/>
        <w:numPr>
          <w:ilvl w:val="0"/>
          <w:numId w:val="0"/>
        </w:numPr>
        <w:suppressLineNumbers w:val="0"/>
        <w:spacing w:before="0" w:beforeAutospacing="0" w:after="0" w:afterAutospacing="0"/>
        <w:ind w:left="420" w:leftChars="0" w:right="0" w:rightChars="0" w:firstLine="420" w:firstLineChars="200"/>
        <w:jc w:val="left"/>
        <w:rPr>
          <w:rFonts w:hint="default" w:eastAsia="仿宋"/>
          <w:color w:val="auto"/>
          <w:highlight w:val="none"/>
          <w:lang w:val="en-US" w:eastAsia="zh-CN"/>
        </w:rPr>
      </w:pP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987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2508"/>
        <w:gridCol w:w="24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2508"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244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2299999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151.39</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both"/>
              <w:textAlignment w:val="center"/>
              <w:rPr>
                <w:rFonts w:hint="default" w:ascii="宋体" w:hAnsi="宋体" w:eastAsia="宋体" w:cs="宋体"/>
                <w:i w:val="0"/>
                <w:iCs w:val="0"/>
                <w:color w:val="000000"/>
                <w:sz w:val="18"/>
                <w:szCs w:val="18"/>
                <w:highlight w:val="none"/>
                <w:u w:val="none"/>
                <w:lang w:val="en-US" w:eastAsia="zh-CN"/>
              </w:rPr>
            </w:pPr>
          </w:p>
        </w:tc>
        <w:tc>
          <w:tcPr>
            <w:tcW w:w="2508"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发放奖励性补贴</w:t>
            </w:r>
          </w:p>
        </w:tc>
        <w:tc>
          <w:tcPr>
            <w:tcW w:w="244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olor w:val="000000" w:themeColor="text1"/>
                <w:sz w:val="18"/>
                <w:szCs w:val="18"/>
                <w:highlight w:val="none"/>
                <w:lang w:val="en-US" w:eastAsia="zh-CN"/>
                <w14:textFill>
                  <w14:solidFill>
                    <w14:schemeClr w14:val="tx1"/>
                  </w14:solidFill>
                </w14:textFill>
              </w:rPr>
              <w:t>此部分资金上级部门每年都有预算，直接下达，本部门无需做预算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151.39</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2508"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p>
        </w:tc>
        <w:tc>
          <w:tcPr>
            <w:tcW w:w="244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both"/>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5715"/>
            <wp:docPr id="14"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三、202</w:t>
      </w:r>
      <w:r>
        <w:rPr>
          <w:rFonts w:hint="eastAsia" w:ascii="黑体" w:hAnsi="黑体" w:eastAsia="黑体" w:cs="黑体"/>
          <w:sz w:val="32"/>
          <w:szCs w:val="32"/>
          <w:highlight w:val="none"/>
          <w:lang w:val="en-US" w:eastAsia="zh-CN"/>
        </w:rPr>
        <w:t>3</w:t>
      </w:r>
      <w:r>
        <w:rPr>
          <w:rFonts w:hint="eastAsia" w:ascii="黑体" w:hAnsi="黑体" w:eastAsia="黑体" w:cs="黑体"/>
          <w:sz w:val="32"/>
          <w:szCs w:val="32"/>
          <w:highlight w:val="none"/>
        </w:rPr>
        <w:t>年度一般公共预算财政拨款基本支出决算情况说明</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环江毛南族自治县长美学校202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年度一般公共预算财政拨款基本支出</w:t>
      </w:r>
      <w:r>
        <w:rPr>
          <w:rFonts w:hint="eastAsia" w:ascii="仿宋" w:hAnsi="仿宋" w:eastAsia="仿宋" w:cs="仿宋"/>
          <w:sz w:val="32"/>
          <w:u w:color="auto"/>
          <w:lang w:val="en-US" w:eastAsia="zh-CN"/>
        </w:rPr>
        <w:t>1531.61</w:t>
      </w:r>
      <w:r>
        <w:rPr>
          <w:rFonts w:hint="eastAsia" w:ascii="仿宋" w:hAnsi="仿宋" w:eastAsia="仿宋" w:cs="仿宋"/>
          <w:sz w:val="32"/>
          <w:szCs w:val="32"/>
          <w:highlight w:val="none"/>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其中：人员经费支出</w:t>
      </w:r>
      <w:r>
        <w:rPr>
          <w:rFonts w:hint="eastAsia" w:ascii="仿宋" w:hAnsi="仿宋" w:eastAsia="仿宋" w:cs="仿宋"/>
          <w:sz w:val="32"/>
          <w:szCs w:val="32"/>
          <w:highlight w:val="none"/>
          <w:lang w:val="en-US" w:eastAsia="zh-CN"/>
        </w:rPr>
        <w:t>1512.75</w:t>
      </w:r>
      <w:r>
        <w:rPr>
          <w:rFonts w:hint="default" w:ascii="仿宋_GB2312" w:hAnsi="微软雅黑" w:eastAsia="仿宋_GB2312" w:cs="仿宋_GB2312"/>
          <w:i w:val="0"/>
          <w:iCs w:val="0"/>
          <w:caps w:val="0"/>
          <w:color w:val="000000"/>
          <w:spacing w:val="0"/>
          <w:sz w:val="31"/>
          <w:szCs w:val="31"/>
          <w:highlight w:val="none"/>
          <w:shd w:val="clear" w:color="auto" w:fill="FFFFFF"/>
        </w:rPr>
        <w:t>万元，公用经费支出</w:t>
      </w:r>
      <w:r>
        <w:rPr>
          <w:rFonts w:hint="eastAsia" w:ascii="仿宋" w:hAnsi="仿宋" w:eastAsia="仿宋" w:cs="仿宋"/>
          <w:sz w:val="32"/>
          <w:szCs w:val="32"/>
          <w:highlight w:val="none"/>
          <w:lang w:val="en-US" w:eastAsia="zh-CN"/>
        </w:rPr>
        <w:t>18.86</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 w:hAnsi="仿宋" w:eastAsia="仿宋" w:cs="仿宋"/>
          <w:sz w:val="32"/>
          <w:szCs w:val="32"/>
          <w:highlight w:val="none"/>
        </w:rPr>
        <w:t>支出具体情况如下：</w:t>
      </w:r>
    </w:p>
    <w:p>
      <w:pPr>
        <w:keepNext w:val="0"/>
        <w:keepLines w:val="0"/>
        <w:widowControl w:val="0"/>
        <w:numPr>
          <w:ilvl w:val="0"/>
          <w:numId w:val="2"/>
        </w:numPr>
        <w:suppressLineNumbers w:val="0"/>
        <w:spacing w:before="0" w:beforeAutospacing="0" w:after="0" w:afterAutospacing="0"/>
        <w:ind w:left="21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工资福利支出</w:t>
      </w:r>
      <w:r>
        <w:rPr>
          <w:rFonts w:hint="eastAsia" w:ascii="仿宋" w:hAnsi="仿宋" w:eastAsia="仿宋" w:cs="仿宋"/>
          <w:sz w:val="32"/>
          <w:u w:color="auto"/>
          <w:lang w:val="en-US" w:eastAsia="zh-CN"/>
        </w:rPr>
        <w:t>1459.22</w:t>
      </w:r>
      <w:r>
        <w:rPr>
          <w:rFonts w:ascii="仿宋" w:hAnsi="仿宋" w:eastAsia="仿宋" w:cs="仿宋"/>
          <w:sz w:val="32"/>
          <w:u w:color="auto"/>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112.59%</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sz w:val="32"/>
          <w:szCs w:val="32"/>
          <w:highlight w:val="none"/>
        </w:rPr>
        <w:t>（简要说明预决算差异）</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教育各项收支比上年度均有所增加。</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30101基本工资418.06万元，30102津贴补贴130.9万元，30103奖金403.11万元，30107绩效工资204.15万元，30108机关事业单位基本养老保险缴费138.17万元，30110职工基本医疗保险缴费54.49万元，30112其他社会保障缴费6.78万元，30113住房公积金103.57万元。</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16"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jc w:val="both"/>
        <w:rPr>
          <w:rFonts w:hint="eastAsia" w:ascii="仿宋" w:hAnsi="仿宋" w:eastAsia="仿宋" w:cs="仿宋"/>
          <w:sz w:val="32"/>
          <w:szCs w:val="32"/>
          <w:highlight w:val="none"/>
        </w:rPr>
      </w:pPr>
    </w:p>
    <w:p>
      <w:pPr>
        <w:keepNext w:val="0"/>
        <w:keepLines w:val="0"/>
        <w:widowControl w:val="0"/>
        <w:numPr>
          <w:ilvl w:val="0"/>
          <w:numId w:val="2"/>
        </w:numPr>
        <w:suppressLineNumbers w:val="0"/>
        <w:spacing w:before="0" w:beforeAutospacing="0" w:after="0" w:afterAutospacing="0"/>
        <w:ind w:left="210" w:leftChars="0" w:right="0" w:firstLine="420" w:firstLineChars="0"/>
        <w:jc w:val="left"/>
        <w:rPr>
          <w:rFonts w:hint="default" w:ascii="仿宋" w:hAnsi="仿宋" w:eastAsia="仿宋" w:cs="仿宋"/>
          <w:color w:val="FF0000"/>
          <w:sz w:val="32"/>
          <w:szCs w:val="32"/>
          <w:highlight w:val="none"/>
          <w:lang w:val="en-US"/>
        </w:rPr>
      </w:pPr>
      <w:r>
        <w:rPr>
          <w:rFonts w:hint="eastAsia" w:ascii="仿宋" w:hAnsi="仿宋" w:eastAsia="仿宋" w:cs="仿宋"/>
          <w:sz w:val="32"/>
          <w:szCs w:val="32"/>
          <w:highlight w:val="none"/>
        </w:rPr>
        <w:t>商品和服务支出</w:t>
      </w:r>
      <w:r>
        <w:rPr>
          <w:rFonts w:hint="eastAsia" w:ascii="仿宋" w:hAnsi="仿宋" w:eastAsia="仿宋" w:cs="仿宋"/>
          <w:sz w:val="32"/>
          <w:u w:color="auto"/>
          <w:lang w:val="en-US" w:eastAsia="zh-CN"/>
        </w:rPr>
        <w:t>18.86</w:t>
      </w:r>
      <w:r>
        <w:rPr>
          <w:rFonts w:ascii="仿宋" w:hAnsi="仿宋" w:eastAsia="仿宋" w:cs="仿宋"/>
          <w:sz w:val="32"/>
          <w:u w:color="auto"/>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lang w:val="en-US" w:eastAsia="zh-CN"/>
        </w:rPr>
        <w:t>100</w:t>
      </w:r>
      <w:r>
        <w:rPr>
          <w:rFonts w:hint="eastAsia" w:ascii="仿宋" w:hAnsi="仿宋" w:eastAsia="仿宋" w:cs="仿宋"/>
          <w:sz w:val="32"/>
          <w:szCs w:val="32"/>
          <w:highlight w:val="none"/>
        </w:rPr>
        <w:t>%</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sz w:val="32"/>
          <w:szCs w:val="32"/>
          <w:highlight w:val="none"/>
        </w:rPr>
        <w:t>（简要说明预决算差异）</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无差异。</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lang w:val="en-US" w:eastAsia="zh-CN"/>
        </w:rPr>
        <w:t>30228工会经费18.86万元。</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18"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jc w:val="both"/>
        <w:rPr>
          <w:rFonts w:hint="eastAsia" w:ascii="仿宋" w:hAnsi="仿宋" w:eastAsia="仿宋" w:cs="仿宋"/>
          <w:sz w:val="32"/>
          <w:szCs w:val="32"/>
          <w:highlight w:val="none"/>
        </w:rPr>
      </w:pPr>
    </w:p>
    <w:p>
      <w:pPr>
        <w:keepNext w:val="0"/>
        <w:keepLines w:val="0"/>
        <w:widowControl w:val="0"/>
        <w:numPr>
          <w:ilvl w:val="0"/>
          <w:numId w:val="0"/>
        </w:numPr>
        <w:suppressLineNumbers w:val="0"/>
        <w:spacing w:before="0" w:beforeAutospacing="0" w:after="0" w:afterAutospacing="0"/>
        <w:ind w:leftChars="0" w:right="0" w:rightChars="0" w:firstLine="640" w:firstLineChars="200"/>
        <w:jc w:val="left"/>
        <w:rPr>
          <w:rFonts w:ascii="仿宋" w:hAnsi="仿宋" w:eastAsia="仿宋" w:cs="仿宋"/>
          <w:color w:val="FF0000"/>
          <w:sz w:val="32"/>
          <w:szCs w:val="32"/>
          <w:highlight w:val="yellow"/>
        </w:rPr>
      </w:pP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三）</w:t>
      </w:r>
      <w:r>
        <w:rPr>
          <w:rFonts w:hint="eastAsia" w:ascii="仿宋" w:hAnsi="仿宋" w:eastAsia="仿宋" w:cs="仿宋"/>
          <w:sz w:val="32"/>
          <w:szCs w:val="32"/>
          <w:highlight w:val="none"/>
        </w:rPr>
        <w:t>对个人和家庭的补助</w:t>
      </w:r>
      <w:r>
        <w:rPr>
          <w:rFonts w:hint="eastAsia" w:ascii="仿宋" w:hAnsi="仿宋" w:eastAsia="仿宋" w:cs="仿宋"/>
          <w:sz w:val="32"/>
          <w:u w:color="auto"/>
          <w:lang w:val="en-US" w:eastAsia="zh-CN"/>
        </w:rPr>
        <w:t>53.53</w:t>
      </w:r>
      <w:r>
        <w:rPr>
          <w:rFonts w:ascii="仿宋" w:hAnsi="仿宋" w:eastAsia="仿宋" w:cs="仿宋"/>
          <w:sz w:val="32"/>
          <w:u w:color="auto"/>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61.</w:t>
      </w:r>
      <w:r>
        <w:rPr>
          <w:rFonts w:hint="eastAsia" w:ascii="仿宋" w:hAnsi="仿宋" w:eastAsia="仿宋" w:cs="仿宋"/>
          <w:sz w:val="32"/>
          <w:szCs w:val="32"/>
          <w:highlight w:val="none"/>
          <w:lang w:val="en-US" w:eastAsia="zh-CN"/>
        </w:rPr>
        <w:t>73</w:t>
      </w:r>
      <w:r>
        <w:rPr>
          <w:rFonts w:hint="eastAsia" w:ascii="仿宋" w:hAnsi="仿宋" w:eastAsia="仿宋" w:cs="仿宋"/>
          <w:sz w:val="32"/>
          <w:szCs w:val="32"/>
          <w:highlight w:val="none"/>
        </w:rPr>
        <w:t>%</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sz w:val="32"/>
          <w:szCs w:val="32"/>
          <w:lang w:val="en-US" w:eastAsia="zh-CN" w:bidi="ar"/>
        </w:rPr>
        <w:t>生活补助提高以及年中有1人退休,年初无预算</w:t>
      </w:r>
      <w:r>
        <w:rPr>
          <w:rFonts w:hint="eastAsia" w:ascii="仿宋" w:hAnsi="仿宋" w:eastAsia="仿宋" w:cs="仿宋"/>
          <w:sz w:val="32"/>
          <w:szCs w:val="32"/>
          <w:lang w:eastAsia="zh-CN" w:bidi="ar"/>
        </w:rPr>
        <w:t>。</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30304抚恤金0.39万元；30305生活补助53.14万元。</w:t>
      </w:r>
    </w:p>
    <w:p>
      <w:pPr>
        <w:jc w:val="center"/>
        <w:rPr>
          <w:rFonts w:hint="eastAsia" w:ascii="仿宋" w:hAnsi="仿宋" w:eastAsia="仿宋" w:cs="仿宋"/>
          <w:sz w:val="32"/>
          <w:szCs w:val="32"/>
          <w:highlight w:val="none"/>
        </w:rPr>
      </w:pPr>
      <w:r>
        <w:drawing>
          <wp:inline distT="0" distB="0" distL="114300" distR="114300">
            <wp:extent cx="4572000" cy="3190875"/>
            <wp:effectExtent l="4445" t="4445" r="14605" b="5080"/>
            <wp:docPr id="7182"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jc w:val="both"/>
        <w:rPr>
          <w:rFonts w:hint="eastAsia" w:ascii="仿宋" w:hAnsi="仿宋" w:eastAsia="仿宋" w:cs="仿宋"/>
          <w:sz w:val="32"/>
          <w:szCs w:val="32"/>
          <w:highlight w:val="none"/>
        </w:rPr>
      </w:pPr>
    </w:p>
    <w:p>
      <w:pPr>
        <w:keepNext w:val="0"/>
        <w:keepLines w:val="0"/>
        <w:widowControl w:val="0"/>
        <w:numPr>
          <w:ilvl w:val="0"/>
          <w:numId w:val="2"/>
        </w:numPr>
        <w:suppressLineNumbers w:val="0"/>
        <w:spacing w:before="0" w:beforeAutospacing="0" w:after="0" w:afterAutospacing="0"/>
        <w:ind w:left="210" w:leftChars="0" w:right="0" w:firstLine="420" w:firstLineChars="0"/>
        <w:jc w:val="left"/>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rPr>
        <w:t>资本性支出</w:t>
      </w:r>
      <w:r>
        <w:rPr>
          <w:rFonts w:hint="eastAsia" w:ascii="仿宋" w:hAnsi="仿宋" w:eastAsia="仿宋" w:cs="仿宋"/>
          <w:sz w:val="32"/>
          <w:u w:color="auto"/>
          <w:lang w:val="en-US" w:eastAsia="zh-CN"/>
        </w:rPr>
        <w:t>0</w:t>
      </w:r>
      <w:r>
        <w:rPr>
          <w:rFonts w:ascii="仿宋" w:hAnsi="仿宋" w:eastAsia="仿宋" w:cs="仿宋"/>
          <w:sz w:val="32"/>
          <w:u w:color="auto"/>
        </w:rPr>
        <w:t>万元</w:t>
      </w:r>
      <w:r>
        <w:rPr>
          <w:rFonts w:hint="eastAsia" w:ascii="仿宋" w:hAnsi="仿宋" w:eastAsia="仿宋" w:cs="仿宋"/>
          <w:sz w:val="32"/>
          <w:u w:color="auto"/>
          <w:lang w:eastAsia="zh-CN"/>
        </w:rPr>
        <w:t>。</w:t>
      </w:r>
    </w:p>
    <w:p>
      <w:pPr>
        <w:jc w:val="center"/>
        <w:rPr>
          <w:rFonts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4"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四、202</w:t>
      </w:r>
      <w:r>
        <w:rPr>
          <w:rFonts w:hint="eastAsia" w:ascii="黑体" w:hAnsi="黑体" w:eastAsia="黑体" w:cs="黑体"/>
          <w:sz w:val="32"/>
          <w:szCs w:val="32"/>
          <w:highlight w:val="none"/>
          <w:lang w:val="en-US" w:eastAsia="zh-CN"/>
        </w:rPr>
        <w:t>3</w:t>
      </w:r>
      <w:r>
        <w:rPr>
          <w:rFonts w:hint="eastAsia" w:ascii="黑体" w:hAnsi="黑体" w:eastAsia="黑体" w:cs="黑体"/>
          <w:sz w:val="32"/>
          <w:szCs w:val="32"/>
          <w:highlight w:val="none"/>
        </w:rPr>
        <w:t>年度政府性基金支出决算情况</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环江毛南族自治县长美学校202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年度政府性基金支出</w:t>
      </w:r>
      <w:r>
        <w:rPr>
          <w:rFonts w:hint="eastAsia" w:ascii="仿宋" w:hAnsi="仿宋" w:eastAsia="仿宋" w:cs="仿宋"/>
          <w:sz w:val="32"/>
          <w:szCs w:val="32"/>
          <w:highlight w:val="none"/>
          <w:lang w:val="en-US" w:eastAsia="zh-CN"/>
        </w:rPr>
        <w:t>2.50</w:t>
      </w:r>
      <w:r>
        <w:rPr>
          <w:rFonts w:hint="eastAsia" w:ascii="仿宋" w:hAnsi="仿宋" w:eastAsia="仿宋" w:cs="仿宋"/>
          <w:sz w:val="32"/>
          <w:szCs w:val="32"/>
          <w:highlight w:val="none"/>
        </w:rPr>
        <w:t>万元，较202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年度决算数</w:t>
      </w:r>
      <w:r>
        <w:rPr>
          <w:rFonts w:ascii="仿宋" w:hAnsi="仿宋" w:eastAsia="仿宋" w:cs="仿宋"/>
          <w:sz w:val="32"/>
          <w:szCs w:val="32"/>
          <w:highlight w:val="none"/>
        </w:rPr>
        <w:t>增加</w:t>
      </w:r>
      <w:r>
        <w:rPr>
          <w:rFonts w:hint="eastAsia" w:ascii="仿宋" w:hAnsi="仿宋" w:eastAsia="仿宋" w:cs="仿宋"/>
          <w:sz w:val="32"/>
          <w:szCs w:val="32"/>
          <w:highlight w:val="none"/>
          <w:lang w:val="en-US" w:eastAsia="zh-CN"/>
        </w:rPr>
        <w:t>1.84</w:t>
      </w:r>
      <w:r>
        <w:rPr>
          <w:rFonts w:hint="eastAsia" w:ascii="仿宋" w:hAnsi="仿宋" w:eastAsia="仿宋" w:cs="仿宋"/>
          <w:sz w:val="32"/>
          <w:szCs w:val="32"/>
          <w:highlight w:val="none"/>
        </w:rPr>
        <w:t>万元，</w:t>
      </w:r>
      <w:r>
        <w:rPr>
          <w:rFonts w:ascii="仿宋" w:hAnsi="仿宋" w:eastAsia="仿宋" w:cs="仿宋"/>
          <w:sz w:val="32"/>
          <w:szCs w:val="32"/>
          <w:highlight w:val="none"/>
        </w:rPr>
        <w:t>增长</w:t>
      </w:r>
      <w:r>
        <w:rPr>
          <w:rFonts w:hint="eastAsia" w:ascii="仿宋" w:hAnsi="仿宋" w:eastAsia="仿宋" w:cs="仿宋"/>
          <w:sz w:val="32"/>
          <w:szCs w:val="32"/>
          <w:highlight w:val="none"/>
          <w:lang w:val="en-US" w:eastAsia="zh-CN"/>
        </w:rPr>
        <w:t>278.79</w:t>
      </w:r>
      <w:r>
        <w:rPr>
          <w:rFonts w:ascii="仿宋" w:hAnsi="仿宋" w:eastAsia="仿宋" w:cs="仿宋"/>
          <w:sz w:val="32"/>
          <w:szCs w:val="32"/>
          <w:highlight w:val="none"/>
        </w:rPr>
        <w:t>%</w:t>
      </w:r>
      <w:r>
        <w:rPr>
          <w:rFonts w:hint="eastAsia" w:ascii="仿宋" w:hAnsi="仿宋" w:eastAsia="仿宋" w:cs="仿宋"/>
          <w:sz w:val="32"/>
          <w:szCs w:val="32"/>
          <w:highlight w:val="none"/>
        </w:rPr>
        <w:t>其中：基本支出</w:t>
      </w:r>
      <w:r>
        <w:rPr>
          <w:rFonts w:ascii="仿宋" w:hAnsi="仿宋" w:eastAsia="仿宋" w:cs="仿宋"/>
          <w:sz w:val="32"/>
          <w:szCs w:val="32"/>
          <w:highlight w:val="none"/>
        </w:rPr>
        <w:t>0.00</w:t>
      </w:r>
      <w:r>
        <w:rPr>
          <w:rFonts w:hint="eastAsia" w:ascii="仿宋" w:hAnsi="仿宋" w:eastAsia="仿宋" w:cs="仿宋"/>
          <w:sz w:val="32"/>
          <w:szCs w:val="32"/>
          <w:highlight w:val="none"/>
        </w:rPr>
        <w:t>万元，项目支出</w:t>
      </w:r>
      <w:r>
        <w:rPr>
          <w:rFonts w:hint="eastAsia" w:ascii="仿宋" w:hAnsi="仿宋" w:eastAsia="仿宋" w:cs="仿宋"/>
          <w:sz w:val="32"/>
          <w:szCs w:val="32"/>
          <w:highlight w:val="none"/>
          <w:lang w:val="en-US" w:eastAsia="zh-CN"/>
        </w:rPr>
        <w:t>2.50</w:t>
      </w:r>
      <w:r>
        <w:rPr>
          <w:rFonts w:hint="eastAsia" w:ascii="仿宋" w:hAnsi="仿宋" w:eastAsia="仿宋" w:cs="仿宋"/>
          <w:sz w:val="32"/>
          <w:szCs w:val="32"/>
          <w:highlight w:val="none"/>
        </w:rPr>
        <w:t>万元。</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广西河池市环江毛南族自治县长美学校202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年度政府性基金支出年初预算为</w:t>
      </w:r>
      <w:r>
        <w:rPr>
          <w:rFonts w:ascii="仿宋" w:hAnsi="仿宋" w:eastAsia="仿宋" w:cs="仿宋"/>
          <w:sz w:val="32"/>
          <w:szCs w:val="32"/>
          <w:highlight w:val="none"/>
        </w:rPr>
        <w:t>0.00</w:t>
      </w:r>
      <w:r>
        <w:rPr>
          <w:rFonts w:hint="eastAsia" w:ascii="仿宋" w:hAnsi="仿宋" w:eastAsia="仿宋" w:cs="仿宋"/>
          <w:sz w:val="32"/>
          <w:szCs w:val="32"/>
          <w:highlight w:val="none"/>
        </w:rPr>
        <w:t>万元，支出决算为</w:t>
      </w:r>
      <w:r>
        <w:rPr>
          <w:rFonts w:hint="eastAsia" w:ascii="仿宋" w:hAnsi="仿宋" w:eastAsia="仿宋" w:cs="仿宋"/>
          <w:sz w:val="32"/>
          <w:szCs w:val="32"/>
          <w:highlight w:val="none"/>
          <w:lang w:val="en-US" w:eastAsia="zh-CN"/>
        </w:rPr>
        <w:t>2.5</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100%</w:t>
      </w:r>
      <w:r>
        <w:rPr>
          <w:rFonts w:hint="eastAsia" w:ascii="仿宋" w:hAnsi="仿宋" w:eastAsia="仿宋" w:cs="仿宋"/>
          <w:sz w:val="32"/>
          <w:szCs w:val="32"/>
          <w:highlight w:val="none"/>
        </w:rPr>
        <w:t>。</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color w:val="000000"/>
          <w:sz w:val="32"/>
          <w:szCs w:val="32"/>
          <w:shd w:val="clear" w:color="auto" w:fill="FFFFFF"/>
        </w:rPr>
        <w:t>(</w:t>
      </w:r>
      <w:r>
        <w:rPr>
          <w:rFonts w:ascii="仿宋" w:hAnsi="仿宋" w:eastAsia="仿宋" w:cs="仿宋"/>
          <w:color w:val="000000"/>
          <w:sz w:val="32"/>
          <w:u w:color="auto"/>
        </w:rPr>
        <w:t>1)其他支出</w:t>
      </w:r>
      <w:r>
        <w:rPr>
          <w:rFonts w:hint="eastAsia" w:ascii="仿宋" w:hAnsi="仿宋" w:eastAsia="仿宋" w:cs="仿宋"/>
          <w:color w:val="000000"/>
          <w:sz w:val="32"/>
          <w:szCs w:val="32"/>
          <w:shd w:val="clear" w:color="auto" w:fill="FFFFFF"/>
        </w:rPr>
        <w:t>（类）</w:t>
      </w:r>
      <w:r>
        <w:rPr>
          <w:rFonts w:hint="eastAsia" w:ascii="仿宋" w:hAnsi="仿宋" w:eastAsia="仿宋" w:cs="仿宋"/>
          <w:color w:val="000000"/>
          <w:sz w:val="32"/>
          <w:szCs w:val="32"/>
          <w:shd w:val="clear" w:color="auto" w:fill="FFFFFF"/>
          <w:lang w:val="en-US" w:eastAsia="zh-CN"/>
        </w:rPr>
        <w:t>彩票公益金安排的支出</w:t>
      </w:r>
      <w:r>
        <w:rPr>
          <w:rFonts w:hint="eastAsia" w:ascii="仿宋" w:hAnsi="仿宋" w:eastAsia="仿宋" w:cs="仿宋"/>
          <w:color w:val="000000"/>
          <w:sz w:val="32"/>
          <w:szCs w:val="32"/>
          <w:shd w:val="clear" w:color="auto" w:fill="FFFFFF"/>
        </w:rPr>
        <w:t>（款</w:t>
      </w:r>
      <w:r>
        <w:rPr>
          <w:rFonts w:hint="eastAsia" w:ascii="仿宋_GB2312" w:hAnsi="仿宋_GB2312" w:eastAsia="仿宋_GB2312" w:cs="仿宋_GB2312"/>
          <w:color w:val="000000"/>
          <w:sz w:val="32"/>
          <w:szCs w:val="32"/>
          <w:shd w:val="clear" w:color="auto" w:fill="FFFFFF"/>
          <w:lang w:eastAsia="zh-CN"/>
        </w:rPr>
        <w:t>）</w:t>
      </w:r>
      <w:r>
        <w:rPr>
          <w:rFonts w:hint="eastAsia" w:ascii="仿宋" w:hAnsi="仿宋" w:eastAsia="仿宋" w:cs="仿宋"/>
          <w:color w:val="000000"/>
          <w:sz w:val="32"/>
          <w:szCs w:val="32"/>
          <w:shd w:val="clear" w:color="auto" w:fill="FFFFFF"/>
          <w:lang w:val="en-US" w:eastAsia="zh-CN"/>
        </w:rPr>
        <w:t xml:space="preserve">  用于教育事业的彩票公益金支出</w:t>
      </w:r>
      <w:r>
        <w:rPr>
          <w:rFonts w:hint="eastAsia" w:ascii="仿宋" w:hAnsi="仿宋" w:eastAsia="仿宋" w:cs="仿宋"/>
          <w:color w:val="000000"/>
          <w:sz w:val="32"/>
          <w:szCs w:val="32"/>
          <w:shd w:val="clear" w:color="auto" w:fill="FFFFFF"/>
        </w:rPr>
        <w:t>（项）年初预算为</w:t>
      </w:r>
      <w:r>
        <w:rPr>
          <w:rFonts w:ascii="仿宋" w:hAnsi="仿宋" w:eastAsia="仿宋" w:cs="仿宋"/>
          <w:color w:val="000000"/>
          <w:sz w:val="32"/>
          <w:u w:color="auto"/>
        </w:rPr>
        <w:t>0.00</w:t>
      </w:r>
      <w:r>
        <w:rPr>
          <w:rFonts w:hint="eastAsia" w:ascii="仿宋" w:hAnsi="仿宋" w:eastAsia="仿宋" w:cs="仿宋"/>
          <w:color w:val="000000"/>
          <w:sz w:val="32"/>
          <w:szCs w:val="32"/>
          <w:shd w:val="clear" w:color="auto" w:fill="FFFFFF"/>
        </w:rPr>
        <w:t>万元，支出决算为</w:t>
      </w:r>
      <w:r>
        <w:rPr>
          <w:rFonts w:hint="eastAsia" w:ascii="仿宋" w:hAnsi="仿宋" w:eastAsia="仿宋" w:cs="仿宋"/>
          <w:color w:val="000000"/>
          <w:sz w:val="32"/>
          <w:u w:color="auto"/>
          <w:lang w:val="en-US" w:eastAsia="zh-CN"/>
        </w:rPr>
        <w:t>2.50</w:t>
      </w:r>
      <w:r>
        <w:rPr>
          <w:rFonts w:hint="eastAsia" w:ascii="仿宋" w:hAnsi="仿宋" w:eastAsia="仿宋" w:cs="仿宋"/>
          <w:color w:val="000000"/>
          <w:sz w:val="32"/>
          <w:szCs w:val="32"/>
          <w:shd w:val="clear" w:color="auto" w:fill="FFFFFF"/>
        </w:rPr>
        <w:t>万元，完成年初预算的</w:t>
      </w:r>
      <w:r>
        <w:rPr>
          <w:rFonts w:ascii="仿宋" w:hAnsi="仿宋" w:eastAsia="仿宋" w:cs="仿宋"/>
          <w:color w:val="000000"/>
          <w:sz w:val="32"/>
          <w:u w:color="auto"/>
        </w:rPr>
        <w:t>100%</w:t>
      </w:r>
      <w:r>
        <w:rPr>
          <w:rFonts w:hint="eastAsia" w:ascii="仿宋" w:hAnsi="仿宋" w:eastAsia="仿宋" w:cs="仿宋"/>
          <w:color w:val="000000"/>
          <w:sz w:val="32"/>
          <w:szCs w:val="32"/>
          <w:shd w:val="clear" w:color="auto" w:fill="FFFFFF"/>
        </w:rPr>
        <w:t>。</w:t>
      </w:r>
      <w:r>
        <w:rPr>
          <w:rFonts w:hint="eastAsia" w:ascii="仿宋" w:hAnsi="仿宋" w:eastAsia="仿宋" w:cs="仿宋"/>
          <w:color w:val="000000" w:themeColor="text1"/>
          <w:sz w:val="32"/>
          <w:szCs w:val="32"/>
          <w:shd w:val="clear" w:color="auto" w:fill="FFFFFF"/>
          <w:lang w:val="en-US" w:eastAsia="zh-CN"/>
          <w14:textFill>
            <w14:solidFill>
              <w14:schemeClr w14:val="tx1"/>
            </w14:solidFill>
          </w14:textFill>
        </w:rPr>
        <w:t>形成</w:t>
      </w:r>
      <w:r>
        <w:rPr>
          <w:rFonts w:hint="eastAsia" w:ascii="仿宋" w:hAnsi="仿宋" w:eastAsia="仿宋" w:cs="仿宋"/>
          <w:color w:val="000000" w:themeColor="text1"/>
          <w:sz w:val="32"/>
          <w:szCs w:val="32"/>
          <w:highlight w:val="none"/>
          <w14:textFill>
            <w14:solidFill>
              <w14:schemeClr w14:val="tx1"/>
            </w14:solidFill>
          </w14:textFill>
        </w:rPr>
        <w:t>预决算差异</w:t>
      </w:r>
      <w:r>
        <w:rPr>
          <w:rFonts w:hint="eastAsia" w:ascii="仿宋" w:hAnsi="仿宋" w:eastAsia="仿宋" w:cs="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cs="仿宋"/>
          <w:color w:val="auto"/>
          <w:kern w:val="2"/>
          <w:sz w:val="32"/>
          <w:szCs w:val="32"/>
          <w:highlight w:val="none"/>
          <w:lang w:val="en-US" w:eastAsia="zh-CN" w:bidi="ar"/>
        </w:rPr>
        <w:t>无。</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五、202</w:t>
      </w:r>
      <w:r>
        <w:rPr>
          <w:rFonts w:hint="eastAsia" w:ascii="黑体" w:hAnsi="黑体" w:eastAsia="黑体" w:cs="黑体"/>
          <w:sz w:val="32"/>
          <w:szCs w:val="32"/>
          <w:highlight w:val="none"/>
          <w:lang w:val="en-US" w:eastAsia="zh-CN"/>
        </w:rPr>
        <w:t>3</w:t>
      </w:r>
      <w:r>
        <w:rPr>
          <w:rFonts w:hint="eastAsia" w:ascii="黑体" w:hAnsi="黑体" w:eastAsia="黑体" w:cs="黑体"/>
          <w:sz w:val="32"/>
          <w:szCs w:val="32"/>
          <w:highlight w:val="none"/>
        </w:rPr>
        <w:t>年度国有资本经营预算支出决算情况</w:t>
      </w:r>
    </w:p>
    <w:p>
      <w:pPr>
        <w:ind w:firstLine="640" w:firstLineChars="200"/>
        <w:jc w:val="left"/>
        <w:rPr>
          <w:rFonts w:hint="eastAsia" w:ascii="仿宋" w:hAnsi="仿宋" w:eastAsia="仿宋" w:cs="仿宋"/>
          <w:color w:val="auto"/>
          <w:sz w:val="32"/>
          <w:szCs w:val="32"/>
          <w:highlight w:val="none"/>
        </w:rPr>
      </w:pPr>
      <w:bookmarkStart w:id="2" w:name="PO_part3A5B1C1DiffReason1"/>
      <w:r>
        <w:rPr>
          <w:rFonts w:hint="eastAsia" w:ascii="仿宋_GB2312" w:hAnsi="Times New Roman" w:eastAsia="仿宋_GB2312" w:cs="Times New Roman"/>
          <w:color w:val="auto"/>
          <w:sz w:val="32"/>
          <w:szCs w:val="32"/>
        </w:rPr>
        <w:t>环江毛南族自治县长美学校</w:t>
      </w:r>
      <w:r>
        <w:rPr>
          <w:rFonts w:ascii="仿宋_GB2312" w:hAnsi="仿宋_GB2312" w:eastAsia="仿宋_GB2312" w:cs="仿宋_GB2312"/>
          <w:color w:val="auto"/>
          <w:sz w:val="32"/>
          <w:u w:color="auto"/>
        </w:rPr>
        <w:t>没有国有资本经营预算收入，也没有国有资本经营预算收入</w:t>
      </w:r>
      <w:r>
        <w:rPr>
          <w:rFonts w:hint="eastAsia" w:ascii="仿宋_GB2312" w:hAnsi="Times New Roman" w:eastAsia="仿宋_GB2312" w:cs="Times New Roman"/>
          <w:color w:val="auto"/>
          <w:sz w:val="32"/>
          <w:szCs w:val="32"/>
        </w:rPr>
        <w:t>安排的支出，故本段落无表述。</w:t>
      </w:r>
      <w:bookmarkEnd w:id="2"/>
    </w:p>
    <w:p>
      <w:pPr>
        <w:numPr>
          <w:ilvl w:val="0"/>
          <w:numId w:val="3"/>
        </w:num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财政拨款“三公”经费支出决算情况说明</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rPr>
        <w:t>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年度一般公共预算财政拨款安排的“三公”经费支出</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rPr>
        <w:t>。</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七、其他重要事项情况说明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（一） 机关运行经费支出情况说明</w:t>
      </w:r>
    </w:p>
    <w:p>
      <w:pPr>
        <w:keepNext w:val="0"/>
        <w:keepLines w:val="0"/>
        <w:pageBreakBefore w:val="0"/>
        <w:widowControl/>
        <w:kinsoku/>
        <w:wordWrap/>
        <w:overflowPunct/>
        <w:topLinePunct w:val="0"/>
        <w:bidi w:val="0"/>
        <w:snapToGrid/>
        <w:spacing w:line="560" w:lineRule="exact"/>
        <w:ind w:firstLine="640"/>
        <w:textAlignment w:val="auto"/>
        <w:rPr>
          <w:rFonts w:hint="eastAsia" w:ascii="Times New Roman" w:hAnsi="Times New Roman" w:eastAsia="仿宋" w:cs="Times New Roman"/>
          <w:b w:val="0"/>
          <w:bCs w:val="0"/>
          <w:kern w:val="0"/>
          <w:sz w:val="32"/>
          <w:szCs w:val="32"/>
          <w:lang w:val="en-US" w:eastAsia="zh-CN"/>
        </w:rPr>
      </w:pPr>
      <w:r>
        <w:rPr>
          <w:rFonts w:hint="eastAsia" w:ascii="仿宋" w:hAnsi="仿宋" w:eastAsia="仿宋" w:cs="仿宋"/>
          <w:sz w:val="32"/>
          <w:szCs w:val="32"/>
          <w:highlight w:val="none"/>
        </w:rPr>
        <w:t>本部门202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年度机关运行经费支出</w:t>
      </w:r>
      <w:r>
        <w:rPr>
          <w:rFonts w:ascii="仿宋" w:hAnsi="仿宋" w:eastAsia="仿宋" w:cs="仿宋"/>
          <w:sz w:val="32"/>
          <w:szCs w:val="32"/>
          <w:highlight w:val="none"/>
        </w:rPr>
        <w:t>0.00</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rPr>
        <w:t>。</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（二）政府采购支出情况说明</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本部门202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年度政府采购支出总额</w:t>
      </w:r>
      <w:r>
        <w:rPr>
          <w:rFonts w:ascii="仿宋" w:hAnsi="仿宋" w:eastAsia="仿宋" w:cs="仿宋"/>
          <w:sz w:val="32"/>
          <w:szCs w:val="32"/>
          <w:highlight w:val="none"/>
        </w:rPr>
        <w:t>0.00</w:t>
      </w:r>
      <w:r>
        <w:rPr>
          <w:rFonts w:hint="eastAsia" w:ascii="仿宋" w:hAnsi="仿宋" w:eastAsia="仿宋" w:cs="仿宋"/>
          <w:sz w:val="32"/>
          <w:szCs w:val="32"/>
          <w:highlight w:val="none"/>
        </w:rPr>
        <w:t>万元，其中：政府采购货物支出</w:t>
      </w:r>
      <w:r>
        <w:rPr>
          <w:rFonts w:ascii="仿宋" w:hAnsi="仿宋" w:eastAsia="仿宋" w:cs="仿宋"/>
          <w:sz w:val="32"/>
          <w:szCs w:val="32"/>
          <w:highlight w:val="none"/>
        </w:rPr>
        <w:t>0.00</w:t>
      </w:r>
      <w:r>
        <w:rPr>
          <w:rFonts w:hint="eastAsia" w:ascii="仿宋" w:hAnsi="仿宋" w:eastAsia="仿宋" w:cs="仿宋"/>
          <w:sz w:val="32"/>
          <w:szCs w:val="32"/>
          <w:highlight w:val="none"/>
        </w:rPr>
        <w:t>万元、政府采购工程支出</w:t>
      </w:r>
      <w:r>
        <w:rPr>
          <w:rFonts w:ascii="仿宋" w:hAnsi="仿宋" w:eastAsia="仿宋" w:cs="仿宋"/>
          <w:sz w:val="32"/>
          <w:szCs w:val="32"/>
          <w:highlight w:val="none"/>
        </w:rPr>
        <w:t>0.00</w:t>
      </w:r>
      <w:r>
        <w:rPr>
          <w:rFonts w:hint="eastAsia" w:ascii="仿宋" w:hAnsi="仿宋" w:eastAsia="仿宋" w:cs="仿宋"/>
          <w:sz w:val="32"/>
          <w:szCs w:val="32"/>
          <w:highlight w:val="none"/>
        </w:rPr>
        <w:t>万元、政府采购服务支出</w:t>
      </w:r>
      <w:r>
        <w:rPr>
          <w:rFonts w:ascii="仿宋" w:hAnsi="仿宋" w:eastAsia="仿宋" w:cs="仿宋"/>
          <w:sz w:val="32"/>
          <w:szCs w:val="32"/>
          <w:highlight w:val="none"/>
        </w:rPr>
        <w:t>0.00</w:t>
      </w:r>
      <w:r>
        <w:rPr>
          <w:rFonts w:hint="eastAsia" w:ascii="仿宋" w:hAnsi="仿宋" w:eastAsia="仿宋" w:cs="仿宋"/>
          <w:sz w:val="32"/>
          <w:szCs w:val="32"/>
          <w:highlight w:val="none"/>
        </w:rPr>
        <w:t>万元。授予中小企业合同金额</w:t>
      </w:r>
      <w:r>
        <w:rPr>
          <w:rFonts w:ascii="仿宋" w:hAnsi="仿宋" w:eastAsia="仿宋" w:cs="仿宋"/>
          <w:sz w:val="32"/>
          <w:szCs w:val="32"/>
          <w:highlight w:val="none"/>
        </w:rPr>
        <w:t>0.00</w:t>
      </w:r>
      <w:r>
        <w:rPr>
          <w:rFonts w:hint="eastAsia" w:ascii="仿宋" w:hAnsi="仿宋" w:eastAsia="仿宋" w:cs="仿宋"/>
          <w:sz w:val="32"/>
          <w:szCs w:val="32"/>
          <w:highlight w:val="none"/>
        </w:rPr>
        <w:t>万元，占政府采购支出总额的</w:t>
      </w:r>
      <w:r>
        <w:rPr>
          <w:rFonts w:ascii="仿宋" w:hAnsi="仿宋" w:eastAsia="仿宋" w:cs="仿宋"/>
          <w:sz w:val="32"/>
          <w:szCs w:val="32"/>
          <w:highlight w:val="none"/>
        </w:rPr>
        <w:t>0%</w:t>
      </w:r>
      <w:r>
        <w:rPr>
          <w:rFonts w:hint="eastAsia" w:ascii="仿宋" w:hAnsi="仿宋" w:eastAsia="仿宋" w:cs="仿宋"/>
          <w:sz w:val="32"/>
          <w:szCs w:val="32"/>
          <w:highlight w:val="none"/>
        </w:rPr>
        <w:t>，其中：授予小微企业合同金额</w:t>
      </w:r>
      <w:r>
        <w:rPr>
          <w:rFonts w:ascii="仿宋" w:hAnsi="仿宋" w:eastAsia="仿宋" w:cs="仿宋"/>
          <w:sz w:val="32"/>
          <w:szCs w:val="32"/>
          <w:highlight w:val="none"/>
        </w:rPr>
        <w:t>0.00</w:t>
      </w:r>
      <w:r>
        <w:rPr>
          <w:rFonts w:hint="eastAsia" w:ascii="仿宋" w:hAnsi="仿宋" w:eastAsia="仿宋" w:cs="仿宋"/>
          <w:sz w:val="32"/>
          <w:szCs w:val="32"/>
          <w:highlight w:val="none"/>
        </w:rPr>
        <w:t>万元，占授予中小企业合同金额的</w:t>
      </w:r>
      <w:r>
        <w:rPr>
          <w:rFonts w:ascii="仿宋" w:hAnsi="仿宋" w:eastAsia="仿宋" w:cs="仿宋"/>
          <w:sz w:val="32"/>
          <w:szCs w:val="32"/>
          <w:highlight w:val="none"/>
        </w:rPr>
        <w:t>0%</w:t>
      </w:r>
      <w:r>
        <w:rPr>
          <w:rFonts w:hint="eastAsia" w:ascii="仿宋" w:hAnsi="仿宋" w:eastAsia="仿宋" w:cs="仿宋"/>
          <w:sz w:val="32"/>
          <w:szCs w:val="32"/>
          <w:highlight w:val="none"/>
        </w:rPr>
        <w:t>。</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（三）国有资产占用情况说明</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截至202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年12月31日，本部门共有车辆</w:t>
      </w:r>
      <w:r>
        <w:rPr>
          <w:rFonts w:ascii="仿宋" w:hAnsi="仿宋" w:eastAsia="仿宋" w:cs="仿宋"/>
          <w:sz w:val="32"/>
          <w:szCs w:val="32"/>
          <w:highlight w:val="none"/>
        </w:rPr>
        <w:t>0</w:t>
      </w:r>
      <w:r>
        <w:rPr>
          <w:rFonts w:hint="eastAsia" w:ascii="仿宋" w:hAnsi="仿宋" w:eastAsia="仿宋" w:cs="仿宋"/>
          <w:sz w:val="32"/>
          <w:szCs w:val="32"/>
          <w:highlight w:val="none"/>
        </w:rPr>
        <w:t>辆，其中：副部（省）级领导干部用车</w:t>
      </w:r>
      <w:r>
        <w:rPr>
          <w:rFonts w:ascii="仿宋" w:hAnsi="仿宋" w:eastAsia="仿宋" w:cs="仿宋"/>
          <w:sz w:val="32"/>
          <w:szCs w:val="32"/>
          <w:highlight w:val="none"/>
        </w:rPr>
        <w:t>0</w:t>
      </w:r>
      <w:r>
        <w:rPr>
          <w:rFonts w:hint="eastAsia" w:ascii="仿宋" w:hAnsi="仿宋" w:eastAsia="仿宋" w:cs="仿宋"/>
          <w:sz w:val="32"/>
          <w:szCs w:val="32"/>
          <w:highlight w:val="none"/>
        </w:rPr>
        <w:t>辆、机要通信用车</w:t>
      </w:r>
      <w:r>
        <w:rPr>
          <w:rFonts w:ascii="仿宋" w:hAnsi="仿宋" w:eastAsia="仿宋" w:cs="仿宋"/>
          <w:sz w:val="32"/>
          <w:szCs w:val="32"/>
          <w:highlight w:val="none"/>
        </w:rPr>
        <w:t>0</w:t>
      </w:r>
      <w:r>
        <w:rPr>
          <w:rFonts w:hint="eastAsia" w:ascii="仿宋" w:hAnsi="仿宋" w:eastAsia="仿宋" w:cs="仿宋"/>
          <w:sz w:val="32"/>
          <w:szCs w:val="32"/>
          <w:highlight w:val="none"/>
        </w:rPr>
        <w:t>辆、应急保障用车</w:t>
      </w:r>
      <w:r>
        <w:rPr>
          <w:rFonts w:ascii="仿宋" w:hAnsi="仿宋" w:eastAsia="仿宋" w:cs="仿宋"/>
          <w:sz w:val="32"/>
          <w:szCs w:val="32"/>
          <w:highlight w:val="none"/>
        </w:rPr>
        <w:t>0</w:t>
      </w:r>
      <w:r>
        <w:rPr>
          <w:rFonts w:hint="eastAsia" w:ascii="仿宋" w:hAnsi="仿宋" w:eastAsia="仿宋" w:cs="仿宋"/>
          <w:sz w:val="32"/>
          <w:szCs w:val="32"/>
          <w:highlight w:val="none"/>
        </w:rPr>
        <w:t>辆、执法执勤用车</w:t>
      </w:r>
      <w:r>
        <w:rPr>
          <w:rFonts w:ascii="仿宋" w:hAnsi="仿宋" w:eastAsia="仿宋" w:cs="仿宋"/>
          <w:sz w:val="32"/>
          <w:szCs w:val="32"/>
          <w:highlight w:val="none"/>
        </w:rPr>
        <w:t>0</w:t>
      </w:r>
      <w:r>
        <w:rPr>
          <w:rFonts w:hint="eastAsia" w:ascii="仿宋" w:hAnsi="仿宋" w:eastAsia="仿宋" w:cs="仿宋"/>
          <w:sz w:val="32"/>
          <w:szCs w:val="32"/>
          <w:highlight w:val="none"/>
        </w:rPr>
        <w:t>辆、特种专业技术用车</w:t>
      </w:r>
      <w:r>
        <w:rPr>
          <w:rFonts w:ascii="仿宋" w:hAnsi="仿宋" w:eastAsia="仿宋" w:cs="仿宋"/>
          <w:sz w:val="32"/>
          <w:szCs w:val="32"/>
          <w:highlight w:val="none"/>
        </w:rPr>
        <w:t>0</w:t>
      </w:r>
      <w:r>
        <w:rPr>
          <w:rFonts w:hint="eastAsia" w:ascii="仿宋" w:hAnsi="仿宋" w:eastAsia="仿宋" w:cs="仿宋"/>
          <w:sz w:val="32"/>
          <w:szCs w:val="32"/>
          <w:highlight w:val="none"/>
        </w:rPr>
        <w:t>辆、其他用车</w:t>
      </w:r>
      <w:r>
        <w:rPr>
          <w:rFonts w:ascii="仿宋" w:hAnsi="仿宋" w:eastAsia="仿宋" w:cs="仿宋"/>
          <w:sz w:val="32"/>
          <w:szCs w:val="32"/>
          <w:highlight w:val="none"/>
        </w:rPr>
        <w:t>0</w:t>
      </w:r>
      <w:r>
        <w:rPr>
          <w:rFonts w:hint="eastAsia" w:ascii="仿宋" w:hAnsi="仿宋" w:eastAsia="仿宋" w:cs="仿宋"/>
          <w:sz w:val="32"/>
          <w:szCs w:val="32"/>
          <w:highlight w:val="none"/>
        </w:rPr>
        <w:t>辆；单位价值50万元以上通用设备</w:t>
      </w:r>
      <w:r>
        <w:rPr>
          <w:rFonts w:ascii="仿宋" w:hAnsi="仿宋" w:eastAsia="仿宋" w:cs="仿宋"/>
          <w:sz w:val="32"/>
          <w:szCs w:val="32"/>
          <w:highlight w:val="none"/>
        </w:rPr>
        <w:t>0</w:t>
      </w:r>
      <w:r>
        <w:rPr>
          <w:rFonts w:hint="eastAsia" w:ascii="仿宋" w:hAnsi="仿宋" w:eastAsia="仿宋" w:cs="仿宋"/>
          <w:sz w:val="32"/>
          <w:szCs w:val="32"/>
          <w:highlight w:val="none"/>
        </w:rPr>
        <w:t>台（套）；单位价值</w:t>
      </w:r>
      <w:r>
        <w:rPr>
          <w:rFonts w:hint="eastAsia" w:ascii="仿宋" w:hAnsi="仿宋" w:eastAsia="仿宋" w:cs="仿宋"/>
          <w:sz w:val="32"/>
          <w:szCs w:val="32"/>
          <w:highlight w:val="none"/>
          <w:lang w:val="en-US" w:eastAsia="zh-CN"/>
        </w:rPr>
        <w:t>100万</w:t>
      </w:r>
      <w:r>
        <w:rPr>
          <w:rFonts w:hint="eastAsia" w:ascii="仿宋" w:hAnsi="仿宋" w:eastAsia="仿宋" w:cs="仿宋"/>
          <w:sz w:val="32"/>
          <w:szCs w:val="32"/>
          <w:highlight w:val="none"/>
        </w:rPr>
        <w:t>元以上专用设备</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台（套）。</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（四）预算绩效管理工作开展情况</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1.绩效管理工作开展情况。</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根据财政预算管理要求，本部门组织对</w:t>
      </w:r>
      <w:r>
        <w:rPr>
          <w:rFonts w:hint="eastAsia" w:ascii="仿宋" w:hAnsi="仿宋" w:eastAsia="仿宋" w:cs="仿宋"/>
          <w:color w:val="000000" w:themeColor="text1"/>
          <w:sz w:val="32"/>
          <w:szCs w:val="32"/>
          <w:lang w:eastAsia="zh-CN"/>
          <w14:textFill>
            <w14:solidFill>
              <w14:schemeClr w14:val="tx1"/>
            </w14:solidFill>
          </w14:textFill>
        </w:rPr>
        <w:t>202</w:t>
      </w:r>
      <w:r>
        <w:rPr>
          <w:rFonts w:hint="eastAsia" w:ascii="仿宋" w:hAnsi="仿宋" w:eastAsia="仿宋" w:cs="仿宋"/>
          <w:color w:val="000000" w:themeColor="text1"/>
          <w:sz w:val="32"/>
          <w:szCs w:val="32"/>
          <w:lang w:val="en-US" w:eastAsia="zh-CN"/>
          <w14:textFill>
            <w14:solidFill>
              <w14:schemeClr w14:val="tx1"/>
            </w14:solidFill>
          </w14:textFill>
        </w:rPr>
        <w:t>3</w:t>
      </w:r>
      <w:r>
        <w:rPr>
          <w:rFonts w:hint="eastAsia" w:ascii="仿宋" w:hAnsi="仿宋" w:eastAsia="仿宋" w:cs="仿宋"/>
          <w:color w:val="000000" w:themeColor="text1"/>
          <w:sz w:val="32"/>
          <w:szCs w:val="32"/>
          <w:lang w:eastAsia="zh-CN"/>
          <w14:textFill>
            <w14:solidFill>
              <w14:schemeClr w14:val="tx1"/>
            </w14:solidFill>
          </w14:textFill>
        </w:rPr>
        <w:t>年</w:t>
      </w:r>
      <w:r>
        <w:rPr>
          <w:rFonts w:hint="eastAsia" w:ascii="仿宋" w:hAnsi="仿宋" w:eastAsia="仿宋" w:cs="仿宋"/>
          <w:color w:val="000000" w:themeColor="text1"/>
          <w:sz w:val="32"/>
          <w:szCs w:val="32"/>
          <w14:textFill>
            <w14:solidFill>
              <w14:schemeClr w14:val="tx1"/>
            </w14:solidFill>
          </w14:textFill>
        </w:rPr>
        <w:t>度一般公共预算项目支出全面开展绩效自评</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其中，一</w:t>
      </w:r>
      <w:r>
        <w:rPr>
          <w:rFonts w:hint="eastAsia" w:ascii="仿宋" w:hAnsi="仿宋" w:eastAsia="仿宋" w:cs="仿宋"/>
          <w:color w:val="000000" w:themeColor="text1"/>
          <w:sz w:val="32"/>
          <w:szCs w:val="32"/>
          <w:lang w:val="en-US" w:eastAsia="zh-CN"/>
          <w14:textFill>
            <w14:solidFill>
              <w14:schemeClr w14:val="tx1"/>
            </w14:solidFill>
          </w14:textFill>
        </w:rPr>
        <w:t>等</w:t>
      </w:r>
      <w:r>
        <w:rPr>
          <w:rFonts w:hint="eastAsia" w:ascii="仿宋" w:hAnsi="仿宋" w:eastAsia="仿宋" w:cs="仿宋"/>
          <w:color w:val="000000" w:themeColor="text1"/>
          <w:sz w:val="32"/>
          <w:szCs w:val="32"/>
          <w14:textFill>
            <w14:solidFill>
              <w14:schemeClr w14:val="tx1"/>
            </w14:solidFill>
          </w14:textFill>
        </w:rPr>
        <w:t>项目</w:t>
      </w:r>
      <w:r>
        <w:rPr>
          <w:rFonts w:hint="eastAsia" w:ascii="仿宋" w:hAnsi="仿宋" w:eastAsia="仿宋" w:cs="仿宋"/>
          <w:color w:val="000000" w:themeColor="text1"/>
          <w:sz w:val="32"/>
          <w:szCs w:val="32"/>
          <w:lang w:val="en-US" w:eastAsia="zh-CN"/>
          <w14:textFill>
            <w14:solidFill>
              <w14:schemeClr w14:val="tx1"/>
            </w14:solidFill>
          </w14:textFill>
        </w:rPr>
        <w:t>27</w:t>
      </w:r>
      <w:r>
        <w:rPr>
          <w:rFonts w:hint="eastAsia" w:ascii="仿宋" w:hAnsi="仿宋" w:eastAsia="仿宋" w:cs="仿宋"/>
          <w:color w:val="000000" w:themeColor="text1"/>
          <w:sz w:val="32"/>
          <w:szCs w:val="32"/>
          <w14:textFill>
            <w14:solidFill>
              <w14:schemeClr w14:val="tx1"/>
            </w14:solidFill>
          </w14:textFill>
        </w:rPr>
        <w:t>个，</w:t>
      </w:r>
      <w:r>
        <w:rPr>
          <w:rFonts w:hint="eastAsia" w:ascii="仿宋" w:hAnsi="仿宋" w:eastAsia="仿宋" w:cs="仿宋"/>
          <w:color w:val="000000" w:themeColor="text1"/>
          <w:sz w:val="32"/>
          <w:szCs w:val="32"/>
          <w:lang w:val="en-US" w:eastAsia="zh-CN"/>
          <w14:textFill>
            <w14:solidFill>
              <w14:schemeClr w14:val="tx1"/>
            </w14:solidFill>
          </w14:textFill>
        </w:rPr>
        <w:t>二等</w:t>
      </w:r>
      <w:r>
        <w:rPr>
          <w:rFonts w:hint="eastAsia" w:ascii="仿宋" w:hAnsi="仿宋" w:eastAsia="仿宋" w:cs="仿宋"/>
          <w:color w:val="000000" w:themeColor="text1"/>
          <w:sz w:val="32"/>
          <w:szCs w:val="32"/>
          <w14:textFill>
            <w14:solidFill>
              <w14:schemeClr w14:val="tx1"/>
            </w14:solidFill>
          </w14:textFill>
        </w:rPr>
        <w:t>项目</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个</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共涉及资金</w:t>
      </w:r>
      <w:r>
        <w:rPr>
          <w:rFonts w:hint="eastAsia" w:ascii="Helvetica" w:hAnsi="Helvetica" w:eastAsia="宋体" w:cs="Helvetica"/>
          <w:i w:val="0"/>
          <w:iCs w:val="0"/>
          <w:caps w:val="0"/>
          <w:color w:val="5C6166"/>
          <w:spacing w:val="0"/>
          <w:sz w:val="30"/>
          <w:szCs w:val="30"/>
          <w:shd w:val="clear" w:fill="FCFCFD"/>
          <w:lang w:val="en-US" w:eastAsia="zh-CN"/>
        </w:rPr>
        <w:t>881.94</w:t>
      </w:r>
      <w:r>
        <w:rPr>
          <w:rFonts w:hint="eastAsia" w:ascii="仿宋" w:hAnsi="仿宋" w:eastAsia="仿宋" w:cs="仿宋"/>
          <w:color w:val="000000" w:themeColor="text1"/>
          <w:sz w:val="32"/>
          <w:szCs w:val="32"/>
          <w14:textFill>
            <w14:solidFill>
              <w14:schemeClr w14:val="tx1"/>
            </w14:solidFill>
          </w14:textFill>
        </w:rPr>
        <w:t>万元，占一般公共预算项目支出总额的</w:t>
      </w:r>
      <w:r>
        <w:rPr>
          <w:rFonts w:hint="eastAsia" w:ascii="仿宋" w:hAnsi="仿宋" w:eastAsia="仿宋" w:cs="仿宋"/>
          <w:color w:val="000000" w:themeColor="text1"/>
          <w:sz w:val="32"/>
          <w:szCs w:val="32"/>
          <w:lang w:val="en-US" w:eastAsia="zh-CN"/>
          <w14:textFill>
            <w14:solidFill>
              <w14:schemeClr w14:val="tx1"/>
            </w14:solidFill>
          </w14:textFill>
        </w:rPr>
        <w:t>47.47</w:t>
      </w:r>
      <w:r>
        <w:rPr>
          <w:rFonts w:hint="eastAsia" w:ascii="仿宋" w:hAnsi="仿宋" w:eastAsia="仿宋" w:cs="仿宋"/>
          <w:color w:val="000000" w:themeColor="text1"/>
          <w:sz w:val="32"/>
          <w:szCs w:val="32"/>
          <w14:textFill>
            <w14:solidFill>
              <w14:schemeClr w14:val="tx1"/>
            </w14:solidFill>
          </w14:textFill>
        </w:rPr>
        <w:t>%。组织对</w:t>
      </w:r>
      <w:r>
        <w:rPr>
          <w:rFonts w:hint="eastAsia" w:ascii="仿宋" w:hAnsi="仿宋" w:eastAsia="仿宋" w:cs="仿宋"/>
          <w:color w:val="000000" w:themeColor="text1"/>
          <w:sz w:val="32"/>
          <w:szCs w:val="32"/>
          <w:lang w:eastAsia="zh-CN"/>
          <w14:textFill>
            <w14:solidFill>
              <w14:schemeClr w14:val="tx1"/>
            </w14:solidFill>
          </w14:textFill>
        </w:rPr>
        <w:t>202</w:t>
      </w:r>
      <w:r>
        <w:rPr>
          <w:rFonts w:hint="eastAsia" w:ascii="仿宋" w:hAnsi="仿宋" w:eastAsia="仿宋" w:cs="仿宋"/>
          <w:color w:val="000000" w:themeColor="text1"/>
          <w:sz w:val="32"/>
          <w:szCs w:val="32"/>
          <w:lang w:val="en-US" w:eastAsia="zh-CN"/>
          <w14:textFill>
            <w14:solidFill>
              <w14:schemeClr w14:val="tx1"/>
            </w14:solidFill>
          </w14:textFill>
        </w:rPr>
        <w:t>3</w:t>
      </w:r>
      <w:r>
        <w:rPr>
          <w:rFonts w:hint="eastAsia" w:ascii="仿宋" w:hAnsi="仿宋" w:eastAsia="仿宋" w:cs="仿宋"/>
          <w:color w:val="000000" w:themeColor="text1"/>
          <w:sz w:val="32"/>
          <w:szCs w:val="32"/>
          <w:lang w:eastAsia="zh-CN"/>
          <w14:textFill>
            <w14:solidFill>
              <w14:schemeClr w14:val="tx1"/>
            </w14:solidFill>
          </w14:textFill>
        </w:rPr>
        <w:t>年</w:t>
      </w:r>
      <w:r>
        <w:rPr>
          <w:rFonts w:hint="eastAsia" w:ascii="仿宋" w:hAnsi="仿宋" w:eastAsia="仿宋" w:cs="仿宋"/>
          <w:color w:val="000000" w:themeColor="text1"/>
          <w:sz w:val="32"/>
          <w:szCs w:val="32"/>
          <w14:textFill>
            <w14:solidFill>
              <w14:schemeClr w14:val="tx1"/>
            </w14:solidFill>
          </w14:textFill>
        </w:rPr>
        <w:t>度</w:t>
      </w:r>
      <w:r>
        <w:rPr>
          <w:rFonts w:hint="eastAsia" w:ascii="仿宋" w:hAnsi="仿宋" w:eastAsia="仿宋" w:cs="仿宋"/>
          <w:color w:val="000000" w:themeColor="text1"/>
          <w:sz w:val="32"/>
          <w:szCs w:val="32"/>
          <w:lang w:val="en-US" w:eastAsia="zh-CN"/>
          <w14:textFill>
            <w14:solidFill>
              <w14:schemeClr w14:val="tx1"/>
            </w14:solidFill>
          </w14:textFill>
        </w:rPr>
        <w:t>一等</w:t>
      </w:r>
      <w:r>
        <w:rPr>
          <w:rFonts w:hint="eastAsia" w:ascii="仿宋" w:hAnsi="仿宋" w:eastAsia="仿宋" w:cs="仿宋"/>
          <w:color w:val="000000" w:themeColor="text1"/>
          <w:sz w:val="32"/>
          <w:szCs w:val="32"/>
          <w14:textFill>
            <w14:solidFill>
              <w14:schemeClr w14:val="tx1"/>
            </w14:solidFill>
          </w14:textFill>
        </w:rPr>
        <w:t>项目</w:t>
      </w:r>
      <w:r>
        <w:rPr>
          <w:rFonts w:hint="eastAsia" w:ascii="仿宋" w:hAnsi="仿宋" w:eastAsia="仿宋" w:cs="仿宋"/>
          <w:color w:val="000000" w:themeColor="text1"/>
          <w:sz w:val="32"/>
          <w:szCs w:val="32"/>
          <w:lang w:val="en-US" w:eastAsia="zh-CN"/>
          <w14:textFill>
            <w14:solidFill>
              <w14:schemeClr w14:val="tx1"/>
            </w14:solidFill>
          </w14:textFill>
        </w:rPr>
        <w:t>1</w:t>
      </w:r>
      <w:r>
        <w:rPr>
          <w:rFonts w:hint="eastAsia" w:ascii="仿宋" w:hAnsi="仿宋" w:eastAsia="仿宋" w:cs="仿宋"/>
          <w:color w:val="000000" w:themeColor="text1"/>
          <w:sz w:val="32"/>
          <w:szCs w:val="32"/>
          <w14:textFill>
            <w14:solidFill>
              <w14:schemeClr w14:val="tx1"/>
            </w14:solidFill>
          </w14:textFill>
        </w:rPr>
        <w:t>个政府性基金预算项目支出开展绩效自评，共涉及资金</w:t>
      </w:r>
      <w:r>
        <w:rPr>
          <w:rFonts w:hint="eastAsia" w:ascii="仿宋" w:hAnsi="仿宋" w:eastAsia="仿宋" w:cs="仿宋"/>
          <w:color w:val="000000" w:themeColor="text1"/>
          <w:sz w:val="32"/>
          <w:szCs w:val="32"/>
          <w:lang w:val="en-US" w:eastAsia="zh-CN"/>
          <w14:textFill>
            <w14:solidFill>
              <w14:schemeClr w14:val="tx1"/>
            </w14:solidFill>
          </w14:textFill>
        </w:rPr>
        <w:t>2.5</w:t>
      </w:r>
      <w:r>
        <w:rPr>
          <w:rFonts w:hint="eastAsia" w:ascii="仿宋" w:hAnsi="仿宋" w:eastAsia="仿宋" w:cs="仿宋"/>
          <w:color w:val="000000" w:themeColor="text1"/>
          <w:sz w:val="32"/>
          <w:szCs w:val="32"/>
          <w14:textFill>
            <w14:solidFill>
              <w14:schemeClr w14:val="tx1"/>
            </w14:solidFill>
          </w14:textFill>
        </w:rPr>
        <w:t>万元，占政府性基金预算项目支出总额的</w:t>
      </w:r>
      <w:r>
        <w:rPr>
          <w:rFonts w:hint="eastAsia" w:ascii="仿宋" w:hAnsi="仿宋" w:eastAsia="仿宋" w:cs="仿宋"/>
          <w:color w:val="000000" w:themeColor="text1"/>
          <w:sz w:val="32"/>
          <w:szCs w:val="32"/>
          <w:lang w:val="en-US" w:eastAsia="zh-CN"/>
          <w14:textFill>
            <w14:solidFill>
              <w14:schemeClr w14:val="tx1"/>
            </w14:solidFill>
          </w14:textFill>
        </w:rPr>
        <w:t>100</w:t>
      </w:r>
      <w:r>
        <w:rPr>
          <w:rFonts w:hint="eastAsia" w:ascii="仿宋" w:hAnsi="仿宋" w:eastAsia="仿宋" w:cs="仿宋"/>
          <w:color w:val="000000" w:themeColor="text1"/>
          <w:sz w:val="32"/>
          <w:szCs w:val="32"/>
          <w14:textFill>
            <w14:solidFill>
              <w14:schemeClr w14:val="tx1"/>
            </w14:solidFill>
          </w14:textFill>
        </w:rPr>
        <w:t>%。</w:t>
      </w:r>
    </w:p>
    <w:p>
      <w:pPr>
        <w:ind w:firstLine="640" w:firstLineChars="200"/>
        <w:jc w:val="left"/>
        <w:rPr>
          <w:rFonts w:hint="eastAsia" w:ascii="仿宋_GB2312" w:hAnsi="仿宋_GB2312" w:eastAsia="仿宋_GB2312" w:cs="仿宋_GB2312"/>
          <w:sz w:val="32"/>
          <w:szCs w:val="32"/>
          <w:lang w:eastAsia="zh-CN"/>
        </w:rPr>
      </w:pPr>
      <w:r>
        <w:rPr>
          <w:rFonts w:hint="eastAsia" w:ascii="仿宋" w:hAnsi="仿宋" w:eastAsia="仿宋" w:cs="仿宋"/>
          <w:color w:val="000000" w:themeColor="text1"/>
          <w:sz w:val="32"/>
          <w:szCs w:val="32"/>
          <w14:textFill>
            <w14:solidFill>
              <w14:schemeClr w14:val="tx1"/>
            </w14:solidFill>
          </w14:textFill>
        </w:rPr>
        <w:t>组织对</w:t>
      </w:r>
      <w:r>
        <w:rPr>
          <w:rFonts w:hint="eastAsia" w:ascii="仿宋" w:hAnsi="仿宋" w:eastAsia="仿宋" w:cs="仿宋"/>
          <w:color w:val="000000" w:themeColor="text1"/>
          <w:sz w:val="32"/>
          <w:szCs w:val="32"/>
          <w:lang w:val="en-US" w:eastAsia="zh-CN"/>
          <w14:textFill>
            <w14:solidFill>
              <w14:schemeClr w14:val="tx1"/>
            </w14:solidFill>
          </w14:textFill>
        </w:rPr>
        <w:t>本</w:t>
      </w:r>
      <w:r>
        <w:rPr>
          <w:rFonts w:hint="eastAsia" w:ascii="仿宋" w:hAnsi="仿宋" w:eastAsia="仿宋" w:cs="仿宋"/>
          <w:color w:val="000000" w:themeColor="text1"/>
          <w:sz w:val="32"/>
          <w:szCs w:val="32"/>
          <w14:textFill>
            <w14:solidFill>
              <w14:schemeClr w14:val="tx1"/>
            </w14:solidFill>
          </w14:textFill>
        </w:rPr>
        <w:t>部门开展整体支出绩效评价试点，涉及一般公共预算支出</w:t>
      </w:r>
      <w:r>
        <w:rPr>
          <w:rFonts w:hint="eastAsia" w:ascii="仿宋" w:hAnsi="仿宋" w:eastAsia="仿宋" w:cs="仿宋"/>
          <w:color w:val="000000" w:themeColor="text1"/>
          <w:sz w:val="32"/>
          <w:szCs w:val="32"/>
          <w:lang w:val="en-US" w:eastAsia="zh-CN"/>
          <w14:textFill>
            <w14:solidFill>
              <w14:schemeClr w14:val="tx1"/>
            </w14:solidFill>
          </w14:textFill>
        </w:rPr>
        <w:t>881.94</w:t>
      </w:r>
      <w:r>
        <w:rPr>
          <w:rFonts w:hint="eastAsia" w:ascii="仿宋" w:hAnsi="仿宋" w:eastAsia="仿宋" w:cs="仿宋"/>
          <w:color w:val="000000" w:themeColor="text1"/>
          <w:sz w:val="32"/>
          <w:szCs w:val="32"/>
          <w14:textFill>
            <w14:solidFill>
              <w14:schemeClr w14:val="tx1"/>
            </w14:solidFill>
          </w14:textFill>
        </w:rPr>
        <w:t>万元，政府性基金预算支出</w:t>
      </w:r>
      <w:r>
        <w:rPr>
          <w:rFonts w:hint="eastAsia" w:ascii="仿宋" w:hAnsi="仿宋" w:eastAsia="仿宋" w:cs="仿宋"/>
          <w:color w:val="000000" w:themeColor="text1"/>
          <w:sz w:val="32"/>
          <w:szCs w:val="32"/>
          <w:lang w:val="en-US" w:eastAsia="zh-CN"/>
          <w14:textFill>
            <w14:solidFill>
              <w14:schemeClr w14:val="tx1"/>
            </w14:solidFill>
          </w14:textFill>
        </w:rPr>
        <w:t>2.5</w:t>
      </w:r>
      <w:r>
        <w:rPr>
          <w:rFonts w:hint="eastAsia" w:ascii="仿宋" w:hAnsi="仿宋" w:eastAsia="仿宋" w:cs="仿宋"/>
          <w:color w:val="000000" w:themeColor="text1"/>
          <w:sz w:val="32"/>
          <w:szCs w:val="32"/>
          <w14:textFill>
            <w14:solidFill>
              <w14:schemeClr w14:val="tx1"/>
            </w14:solidFill>
          </w14:textFill>
        </w:rPr>
        <w:t>万元。从评价情况来看，</w:t>
      </w:r>
      <w:r>
        <w:rPr>
          <w:rFonts w:hint="eastAsia" w:ascii="仿宋_GB2312" w:hAnsi="仿宋_GB2312" w:eastAsia="仿宋_GB2312" w:cs="仿宋_GB2312"/>
          <w:sz w:val="32"/>
          <w:szCs w:val="32"/>
        </w:rPr>
        <w:t>通过本次绩效自评，我们认为该项目目标明确，组织管理到位，执行项目有力，资金管理规范</w:t>
      </w:r>
      <w:r>
        <w:rPr>
          <w:rFonts w:hint="eastAsia" w:ascii="仿宋_GB2312" w:hAnsi="仿宋_GB2312" w:eastAsia="仿宋_GB2312" w:cs="仿宋_GB2312"/>
          <w:sz w:val="32"/>
          <w:szCs w:val="32"/>
          <w:lang w:eastAsia="zh-CN"/>
        </w:rPr>
        <w:t>。</w:t>
      </w:r>
    </w:p>
    <w:p>
      <w:pPr>
        <w:ind w:firstLine="640" w:firstLineChars="200"/>
        <w:jc w:val="left"/>
        <w:rPr>
          <w:rFonts w:hint="eastAsia" w:ascii="仿宋" w:hAnsi="仿宋" w:eastAsia="仿宋" w:cs="仿宋"/>
          <w:color w:val="FF0000"/>
          <w:sz w:val="32"/>
          <w:szCs w:val="32"/>
        </w:rPr>
      </w:pPr>
      <w:r>
        <w:rPr>
          <w:rFonts w:hint="eastAsia" w:ascii="仿宋" w:hAnsi="仿宋" w:eastAsia="仿宋" w:cs="仿宋"/>
          <w:color w:val="000000" w:themeColor="text1"/>
          <w:sz w:val="32"/>
          <w:szCs w:val="32"/>
          <w14:textFill>
            <w14:solidFill>
              <w14:schemeClr w14:val="tx1"/>
            </w14:solidFill>
          </w14:textFill>
        </w:rPr>
        <w:t>2.部门决算中项目绩效自评结果</w:t>
      </w:r>
      <w:r>
        <w:rPr>
          <w:rFonts w:hint="eastAsia" w:ascii="仿宋" w:hAnsi="仿宋" w:eastAsia="仿宋" w:cs="仿宋"/>
          <w:color w:val="0000FF"/>
          <w:sz w:val="32"/>
          <w:szCs w:val="32"/>
        </w:rPr>
        <w:t>。</w:t>
      </w:r>
    </w:p>
    <w:p>
      <w:pPr>
        <w:ind w:firstLine="640" w:firstLineChars="200"/>
        <w:jc w:val="left"/>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color w:val="000000" w:themeColor="text1"/>
          <w:sz w:val="32"/>
          <w:szCs w:val="32"/>
          <w14:textFill>
            <w14:solidFill>
              <w14:schemeClr w14:val="tx1"/>
            </w14:solidFill>
          </w14:textFill>
        </w:rPr>
        <w:t>我</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校</w:t>
      </w:r>
      <w:r>
        <w:rPr>
          <w:rFonts w:hint="eastAsia" w:ascii="仿宋_GB2312" w:hAnsi="仿宋_GB2312" w:eastAsia="仿宋_GB2312" w:cs="仿宋_GB2312"/>
          <w:color w:val="000000" w:themeColor="text1"/>
          <w:sz w:val="32"/>
          <w:szCs w:val="32"/>
          <w14:textFill>
            <w14:solidFill>
              <w14:schemeClr w14:val="tx1"/>
            </w14:solidFill>
          </w14:textFill>
        </w:rPr>
        <w:t>根据年初设定的绩效目标，</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对28个项目进行</w:t>
      </w:r>
      <w:r>
        <w:rPr>
          <w:rFonts w:hint="eastAsia" w:ascii="仿宋_GB2312" w:hAnsi="仿宋_GB2312" w:eastAsia="仿宋_GB2312" w:cs="仿宋_GB2312"/>
          <w:b w:val="0"/>
          <w:bCs/>
          <w:sz w:val="32"/>
          <w:szCs w:val="32"/>
        </w:rPr>
        <w:t>自评</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color w:val="000000" w:themeColor="text1"/>
          <w:sz w:val="32"/>
          <w:szCs w:val="32"/>
          <w14:textFill>
            <w14:solidFill>
              <w14:schemeClr w14:val="tx1"/>
            </w14:solidFill>
          </w14:textFill>
        </w:rPr>
        <w:t>项目</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绩效</w:t>
      </w:r>
      <w:r>
        <w:rPr>
          <w:rFonts w:hint="eastAsia" w:ascii="仿宋_GB2312" w:hAnsi="仿宋_GB2312" w:eastAsia="仿宋_GB2312" w:cs="仿宋_GB2312"/>
          <w:color w:val="000000" w:themeColor="text1"/>
          <w:sz w:val="32"/>
          <w:szCs w:val="32"/>
          <w14:textFill>
            <w14:solidFill>
              <w14:schemeClr w14:val="tx1"/>
            </w14:solidFill>
          </w14:textFill>
        </w:rPr>
        <w:t>自评</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结果为：一等项目28个，二等项目0个;自评</w:t>
      </w:r>
      <w:r>
        <w:rPr>
          <w:rFonts w:hint="eastAsia" w:ascii="仿宋_GB2312" w:hAnsi="仿宋_GB2312" w:eastAsia="仿宋_GB2312" w:cs="仿宋_GB2312"/>
          <w:color w:val="000000" w:themeColor="text1"/>
          <w:sz w:val="32"/>
          <w:szCs w:val="32"/>
          <w14:textFill>
            <w14:solidFill>
              <w14:schemeClr w14:val="tx1"/>
            </w14:solidFill>
          </w14:textFill>
        </w:rPr>
        <w:t>得分为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:100</w:t>
      </w:r>
      <w:r>
        <w:rPr>
          <w:rFonts w:hint="eastAsia" w:ascii="仿宋_GB2312" w:hAnsi="仿宋_GB2312" w:eastAsia="仿宋_GB2312" w:cs="仿宋_GB2312"/>
          <w:color w:val="000000" w:themeColor="text1"/>
          <w:sz w:val="32"/>
          <w:szCs w:val="32"/>
          <w14:textFill>
            <w14:solidFill>
              <w14:schemeClr w14:val="tx1"/>
            </w14:solidFill>
          </w14:textFill>
        </w:rPr>
        <w:t>分</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的有14个项目，90分以上100分以下有14个。</w:t>
      </w:r>
      <w:r>
        <w:rPr>
          <w:rFonts w:hint="eastAsia" w:ascii="仿宋_GB2312" w:hAnsi="仿宋_GB2312" w:eastAsia="仿宋_GB2312" w:cs="仿宋_GB2312"/>
          <w:color w:val="000000" w:themeColor="text1"/>
          <w:sz w:val="32"/>
          <w:szCs w:val="32"/>
          <w14:textFill>
            <w14:solidFill>
              <w14:schemeClr w14:val="tx1"/>
            </w14:solidFill>
          </w14:textFill>
        </w:rPr>
        <w:t>发现的主要问题及原因：一是</w:t>
      </w:r>
      <w:r>
        <w:rPr>
          <w:rFonts w:hint="eastAsia" w:ascii="仿宋_GB2312" w:hAnsi="仿宋_GB2312" w:eastAsia="仿宋_GB2312" w:cs="仿宋_GB2312"/>
          <w:sz w:val="32"/>
          <w:szCs w:val="32"/>
        </w:rPr>
        <w:t>我单位未能制定相关管理制度，在项目实施方面还有待完善</w:t>
      </w:r>
      <w:r>
        <w:rPr>
          <w:rFonts w:hint="eastAsia" w:ascii="仿宋_GB2312" w:hAnsi="仿宋_GB2312" w:eastAsia="仿宋_GB2312" w:cs="仿宋_GB2312"/>
          <w:color w:val="000000" w:themeColor="text1"/>
          <w:sz w:val="32"/>
          <w:szCs w:val="32"/>
          <w14:textFill>
            <w14:solidFill>
              <w14:schemeClr w14:val="tx1"/>
            </w14:solidFill>
          </w14:textFill>
        </w:rPr>
        <w:t>；二是</w:t>
      </w:r>
      <w:r>
        <w:rPr>
          <w:rFonts w:hint="eastAsia" w:ascii="仿宋_GB2312" w:hAnsi="仿宋_GB2312" w:eastAsia="仿宋_GB2312" w:cs="仿宋_GB2312"/>
          <w:sz w:val="32"/>
          <w:szCs w:val="32"/>
        </w:rPr>
        <w:t>学校报账材料整理比较</w:t>
      </w:r>
      <w:r>
        <w:rPr>
          <w:rFonts w:hint="eastAsia" w:ascii="仿宋_GB2312" w:hAnsi="仿宋_GB2312" w:eastAsia="仿宋_GB2312" w:cs="仿宋_GB2312"/>
          <w:sz w:val="32"/>
          <w:szCs w:val="32"/>
          <w:lang w:val="en-US" w:eastAsia="zh-CN"/>
        </w:rPr>
        <w:t>缓慢</w:t>
      </w:r>
      <w:r>
        <w:rPr>
          <w:rFonts w:hint="eastAsia" w:ascii="仿宋_GB2312" w:hAnsi="仿宋_GB2312" w:eastAsia="仿宋_GB2312" w:cs="仿宋_GB2312"/>
          <w:sz w:val="32"/>
          <w:szCs w:val="32"/>
        </w:rPr>
        <w:t>，不能及时支付</w:t>
      </w:r>
      <w:r>
        <w:rPr>
          <w:rFonts w:hint="eastAsia" w:ascii="仿宋_GB2312" w:hAnsi="仿宋_GB2312" w:eastAsia="仿宋_GB2312" w:cs="仿宋_GB2312"/>
          <w:sz w:val="32"/>
          <w:szCs w:val="32"/>
          <w:lang w:val="en-US" w:eastAsia="zh-CN"/>
        </w:rPr>
        <w:t>各项开支</w:t>
      </w:r>
      <w:r>
        <w:rPr>
          <w:rFonts w:hint="eastAsia" w:ascii="仿宋_GB2312" w:hAnsi="仿宋_GB2312" w:eastAsia="仿宋_GB2312" w:cs="仿宋_GB2312"/>
          <w:color w:val="000000" w:themeColor="text1"/>
          <w:sz w:val="32"/>
          <w:szCs w:val="32"/>
          <w14:textFill>
            <w14:solidFill>
              <w14:schemeClr w14:val="tx1"/>
            </w14:solidFill>
          </w14:textFill>
        </w:rPr>
        <w:t>。下一步改进措施：一是</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组织制定完善相关</w:t>
      </w:r>
      <w:r>
        <w:rPr>
          <w:rFonts w:hint="eastAsia" w:ascii="仿宋_GB2312" w:hAnsi="仿宋_GB2312" w:eastAsia="仿宋_GB2312" w:cs="仿宋_GB2312"/>
          <w:sz w:val="32"/>
          <w:szCs w:val="32"/>
        </w:rPr>
        <w:t>管理制度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完善项目实施</w:t>
      </w:r>
      <w:r>
        <w:rPr>
          <w:rFonts w:hint="eastAsia" w:ascii="仿宋_GB2312" w:hAnsi="仿宋_GB2312" w:eastAsia="仿宋_GB2312" w:cs="仿宋_GB2312"/>
          <w:sz w:val="32"/>
          <w:szCs w:val="32"/>
          <w:lang w:val="en-US" w:eastAsia="zh-CN"/>
        </w:rPr>
        <w:t>方案</w:t>
      </w:r>
      <w:r>
        <w:rPr>
          <w:rFonts w:hint="eastAsia" w:ascii="仿宋_GB2312" w:hAnsi="仿宋_GB2312" w:eastAsia="仿宋_GB2312" w:cs="仿宋_GB2312"/>
          <w:color w:val="000000" w:themeColor="text1"/>
          <w:sz w:val="32"/>
          <w:szCs w:val="32"/>
          <w14:textFill>
            <w14:solidFill>
              <w14:schemeClr w14:val="tx1"/>
            </w14:solidFill>
          </w14:textFill>
        </w:rPr>
        <w:t>；二是</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项目完成后，及时收集</w:t>
      </w:r>
      <w:r>
        <w:rPr>
          <w:rFonts w:hint="eastAsia" w:ascii="仿宋_GB2312" w:hAnsi="仿宋_GB2312" w:eastAsia="仿宋_GB2312" w:cs="仿宋_GB2312"/>
          <w:sz w:val="32"/>
          <w:szCs w:val="32"/>
        </w:rPr>
        <w:t>报账材料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及时支付</w:t>
      </w:r>
      <w:r>
        <w:rPr>
          <w:rFonts w:hint="eastAsia" w:ascii="仿宋_GB2312" w:hAnsi="仿宋_GB2312" w:eastAsia="仿宋_GB2312" w:cs="仿宋_GB2312"/>
          <w:color w:val="000000" w:themeColor="text1"/>
          <w:sz w:val="32"/>
          <w:szCs w:val="32"/>
          <w14:textFill>
            <w14:solidFill>
              <w14:schemeClr w14:val="tx1"/>
            </w14:solidFill>
          </w14:textFill>
        </w:rPr>
        <w:t>。</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第四部分  名词解释</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一、财政拨款收入：指</w:t>
      </w:r>
      <w:r>
        <w:rPr>
          <w:rFonts w:ascii="仿宋" w:hAnsi="仿宋" w:eastAsia="仿宋" w:cs="仿宋"/>
          <w:sz w:val="32"/>
          <w:u w:color="auto"/>
        </w:rPr>
        <w:t>环江毛南族自治县财政部门当年拨付的资金。</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二、事业收入：指事业单位开展专业业务活动及辅助活动所取得的收入。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三、经营收入：指事业单位在专业业务活动及其辅助活动之外开展非独立核算经营活动取得的收入。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四、其他收入：指除上述“财政拨款收入”“事业收入”“经营收入”等以外的收入。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五、用事业基金弥补收支差额指事业单位在当年的“财政拨款收入”“事业收入”“经营收入”“其他收入”不足以安排当年支出的情况下，使用非财政拨款结余弥补本年度收支缺口的资金。 </w:t>
      </w:r>
    </w:p>
    <w:p>
      <w:pPr>
        <w:ind w:firstLine="640" w:firstLineChars="20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六、年初结转和结余：指以前年度尚未完成、结转到本年 按有关规定继续使用的资金</w:t>
      </w:r>
      <w:r>
        <w:rPr>
          <w:rFonts w:hint="eastAsia" w:ascii="仿宋" w:hAnsi="仿宋" w:eastAsia="仿宋" w:cs="仿宋"/>
          <w:sz w:val="32"/>
          <w:szCs w:val="32"/>
          <w:highlight w:val="none"/>
          <w:lang w:eastAsia="zh-CN"/>
        </w:rPr>
        <w:t>。</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七、结余分配：指事业单位按规定提取的职工福利基金、事业基金和缴纳的所得税，以及建设单位按规定应交回的基本建设竣工项目结余资金。 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八、年末结转和结余：指本年度或以前年度预算安排、因客观条件发生变化无法按原计划实施，需要延迟到以后年度按有关规定继续使用的资金。 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九、基本支出：指为保障机构正常运转、完成日常工作任务而发生的人员支出和公用支出。 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十、项目支出：指在基本支出之外为完成特定行政任务和事业发展目标所发生的支出。 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十一、经营支出：指事业单位在专业业务活动及其辅助活动之外开展非独立核算经营活动发生的支出。</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十二、“三公”经费：纳入</w:t>
      </w:r>
      <w:r>
        <w:rPr>
          <w:rFonts w:ascii="仿宋" w:hAnsi="仿宋" w:eastAsia="仿宋" w:cs="仿宋"/>
          <w:sz w:val="32"/>
          <w:u w:color="auto"/>
        </w:rPr>
        <w:t>环江毛南族自治县财政预决算管理的“三公”经费，是指环江毛南族自治县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pgMar w:top="1440" w:right="1406" w:bottom="1440" w:left="1803" w:header="851" w:footer="992" w:gutter="0"/>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华文行楷">
    <w:panose1 w:val="02010800040101010101"/>
    <w:charset w:val="86"/>
    <w:family w:val="auto"/>
    <w:pitch w:val="default"/>
    <w:sig w:usb0="00000001" w:usb1="080F0000" w:usb2="00000000" w:usb3="00000000" w:csb0="00040000" w:csb1="00000000"/>
  </w:font>
  <w:font w:name="仿宋_GB2312">
    <w:panose1 w:val="02010609030101010101"/>
    <w:charset w:val="86"/>
    <w:family w:val="decorative"/>
    <w:pitch w:val="default"/>
    <w:sig w:usb0="00000001" w:usb1="080E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Helvetica">
    <w:altName w:val="Arial"/>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F86D39"/>
    <w:multiLevelType w:val="singleLevel"/>
    <w:tmpl w:val="9BF86D39"/>
    <w:lvl w:ilvl="0" w:tentative="0">
      <w:start w:val="1"/>
      <w:numFmt w:val="chineseCounting"/>
      <w:suff w:val="nothing"/>
      <w:lvlText w:val="（%1）"/>
      <w:lvlJc w:val="left"/>
      <w:pPr>
        <w:ind w:left="0" w:firstLine="420"/>
      </w:pPr>
      <w:rPr>
        <w:rFonts w:hint="eastAsia"/>
        <w:color w:val="auto"/>
        <w:sz w:val="32"/>
        <w:szCs w:val="32"/>
      </w:rPr>
    </w:lvl>
  </w:abstractNum>
  <w:abstractNum w:abstractNumId="1">
    <w:nsid w:val="DB743884"/>
    <w:multiLevelType w:val="singleLevel"/>
    <w:tmpl w:val="DB743884"/>
    <w:lvl w:ilvl="0" w:tentative="0">
      <w:start w:val="1"/>
      <w:numFmt w:val="chineseCounting"/>
      <w:suff w:val="nothing"/>
      <w:lvlText w:val="（%1）"/>
      <w:lvlJc w:val="left"/>
      <w:pPr>
        <w:ind w:left="210" w:firstLine="420"/>
      </w:pPr>
      <w:rPr>
        <w:rFonts w:hint="eastAsia"/>
        <w:color w:val="auto"/>
      </w:rPr>
    </w:lvl>
  </w:abstractNum>
  <w:abstractNum w:abstractNumId="2">
    <w:nsid w:val="1AC8C785"/>
    <w:multiLevelType w:val="singleLevel"/>
    <w:tmpl w:val="1AC8C785"/>
    <w:lvl w:ilvl="0" w:tentative="0">
      <w:start w:val="6"/>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ViNWQ1YjI5MTMxMTFkNWYxMTJmYzc0NzMyMDkxZjUifQ=="/>
  </w:docVars>
  <w:rsids>
    <w:rsidRoot w:val="637D7558"/>
    <w:rsid w:val="00002C84"/>
    <w:rsid w:val="00022149"/>
    <w:rsid w:val="00047F6C"/>
    <w:rsid w:val="00093C26"/>
    <w:rsid w:val="00094B91"/>
    <w:rsid w:val="000969AD"/>
    <w:rsid w:val="000B06D8"/>
    <w:rsid w:val="000E5855"/>
    <w:rsid w:val="001418A5"/>
    <w:rsid w:val="00147D40"/>
    <w:rsid w:val="00156EF2"/>
    <w:rsid w:val="001D7B97"/>
    <w:rsid w:val="00210E20"/>
    <w:rsid w:val="00223F38"/>
    <w:rsid w:val="00233613"/>
    <w:rsid w:val="00254DBE"/>
    <w:rsid w:val="00275CAB"/>
    <w:rsid w:val="0028709C"/>
    <w:rsid w:val="0029328F"/>
    <w:rsid w:val="002B2731"/>
    <w:rsid w:val="00382867"/>
    <w:rsid w:val="003A4973"/>
    <w:rsid w:val="003C1C96"/>
    <w:rsid w:val="003C69F8"/>
    <w:rsid w:val="003E40BA"/>
    <w:rsid w:val="003E7165"/>
    <w:rsid w:val="0041579D"/>
    <w:rsid w:val="00427074"/>
    <w:rsid w:val="00434D04"/>
    <w:rsid w:val="004C4D73"/>
    <w:rsid w:val="004D7D0E"/>
    <w:rsid w:val="005234F5"/>
    <w:rsid w:val="00531745"/>
    <w:rsid w:val="00574196"/>
    <w:rsid w:val="006123AD"/>
    <w:rsid w:val="00645B83"/>
    <w:rsid w:val="0066173C"/>
    <w:rsid w:val="006D677A"/>
    <w:rsid w:val="00704336"/>
    <w:rsid w:val="007640BB"/>
    <w:rsid w:val="00771953"/>
    <w:rsid w:val="00776E0B"/>
    <w:rsid w:val="007A0641"/>
    <w:rsid w:val="007C52E7"/>
    <w:rsid w:val="007C54EA"/>
    <w:rsid w:val="007C776D"/>
    <w:rsid w:val="007D7CE3"/>
    <w:rsid w:val="007E2F6C"/>
    <w:rsid w:val="00817C69"/>
    <w:rsid w:val="00823A94"/>
    <w:rsid w:val="00824151"/>
    <w:rsid w:val="008315A9"/>
    <w:rsid w:val="00834354"/>
    <w:rsid w:val="008F1B95"/>
    <w:rsid w:val="008F4AE2"/>
    <w:rsid w:val="008F6882"/>
    <w:rsid w:val="00934C72"/>
    <w:rsid w:val="00946CCF"/>
    <w:rsid w:val="0097721B"/>
    <w:rsid w:val="009831F8"/>
    <w:rsid w:val="009B3E00"/>
    <w:rsid w:val="009D1667"/>
    <w:rsid w:val="00A07CCE"/>
    <w:rsid w:val="00A27624"/>
    <w:rsid w:val="00A358E6"/>
    <w:rsid w:val="00AA78EE"/>
    <w:rsid w:val="00AB53E1"/>
    <w:rsid w:val="00AE5F66"/>
    <w:rsid w:val="00B07A0B"/>
    <w:rsid w:val="00B22F28"/>
    <w:rsid w:val="00B37453"/>
    <w:rsid w:val="00B45479"/>
    <w:rsid w:val="00B60171"/>
    <w:rsid w:val="00B837AC"/>
    <w:rsid w:val="00BB4FB8"/>
    <w:rsid w:val="00BD315D"/>
    <w:rsid w:val="00C3279E"/>
    <w:rsid w:val="00C34857"/>
    <w:rsid w:val="00CA2E26"/>
    <w:rsid w:val="00D00918"/>
    <w:rsid w:val="00D14326"/>
    <w:rsid w:val="00D772CC"/>
    <w:rsid w:val="00D84F30"/>
    <w:rsid w:val="00D878A6"/>
    <w:rsid w:val="00DE74BD"/>
    <w:rsid w:val="00DE7D07"/>
    <w:rsid w:val="00EB7822"/>
    <w:rsid w:val="00EC50A9"/>
    <w:rsid w:val="00ED04DB"/>
    <w:rsid w:val="00F21455"/>
    <w:rsid w:val="00F5354B"/>
    <w:rsid w:val="00F95135"/>
    <w:rsid w:val="00F9658C"/>
    <w:rsid w:val="00F978FD"/>
    <w:rsid w:val="00FA738E"/>
    <w:rsid w:val="00FC438B"/>
    <w:rsid w:val="01234E98"/>
    <w:rsid w:val="015F1951"/>
    <w:rsid w:val="01657C13"/>
    <w:rsid w:val="020C171D"/>
    <w:rsid w:val="0216715F"/>
    <w:rsid w:val="02533F0F"/>
    <w:rsid w:val="027B3F11"/>
    <w:rsid w:val="02AC1975"/>
    <w:rsid w:val="02E0291A"/>
    <w:rsid w:val="032B2AA3"/>
    <w:rsid w:val="033A47AC"/>
    <w:rsid w:val="03597303"/>
    <w:rsid w:val="035B12CD"/>
    <w:rsid w:val="03766BF7"/>
    <w:rsid w:val="037979A5"/>
    <w:rsid w:val="03B60BF9"/>
    <w:rsid w:val="043739A4"/>
    <w:rsid w:val="044B5C73"/>
    <w:rsid w:val="045E5916"/>
    <w:rsid w:val="04E54546"/>
    <w:rsid w:val="04E92909"/>
    <w:rsid w:val="04FA4B16"/>
    <w:rsid w:val="04FC088E"/>
    <w:rsid w:val="04FC231A"/>
    <w:rsid w:val="05096B07"/>
    <w:rsid w:val="05465FAD"/>
    <w:rsid w:val="05992762"/>
    <w:rsid w:val="05B13426"/>
    <w:rsid w:val="05EA06E6"/>
    <w:rsid w:val="05FD2371"/>
    <w:rsid w:val="061340E1"/>
    <w:rsid w:val="06450013"/>
    <w:rsid w:val="064A4289"/>
    <w:rsid w:val="06750B86"/>
    <w:rsid w:val="06E96BF0"/>
    <w:rsid w:val="0708246E"/>
    <w:rsid w:val="070F6BEE"/>
    <w:rsid w:val="07504EC1"/>
    <w:rsid w:val="07B0770E"/>
    <w:rsid w:val="07CD2D8D"/>
    <w:rsid w:val="07E004AE"/>
    <w:rsid w:val="07E72C91"/>
    <w:rsid w:val="07F27D26"/>
    <w:rsid w:val="0858402D"/>
    <w:rsid w:val="086E1AA3"/>
    <w:rsid w:val="087F4D74"/>
    <w:rsid w:val="0927525D"/>
    <w:rsid w:val="0942143F"/>
    <w:rsid w:val="09750C0F"/>
    <w:rsid w:val="098470A4"/>
    <w:rsid w:val="09F47D86"/>
    <w:rsid w:val="0A851326"/>
    <w:rsid w:val="0AA17496"/>
    <w:rsid w:val="0B41524D"/>
    <w:rsid w:val="0B433ABE"/>
    <w:rsid w:val="0BED0F30"/>
    <w:rsid w:val="0C1939C9"/>
    <w:rsid w:val="0C4B09E8"/>
    <w:rsid w:val="0C992E66"/>
    <w:rsid w:val="0CF54541"/>
    <w:rsid w:val="0D100297"/>
    <w:rsid w:val="0D1644B7"/>
    <w:rsid w:val="0D202B45"/>
    <w:rsid w:val="0D3C0DF7"/>
    <w:rsid w:val="0DBC505E"/>
    <w:rsid w:val="0E0013EF"/>
    <w:rsid w:val="0E1F1149"/>
    <w:rsid w:val="0E446C23"/>
    <w:rsid w:val="0E74112A"/>
    <w:rsid w:val="0ED4462A"/>
    <w:rsid w:val="0ED73668"/>
    <w:rsid w:val="0EEA55A1"/>
    <w:rsid w:val="0F0E19F8"/>
    <w:rsid w:val="0F707EAE"/>
    <w:rsid w:val="0F8D4C87"/>
    <w:rsid w:val="10505FAA"/>
    <w:rsid w:val="105F7E7E"/>
    <w:rsid w:val="108118B3"/>
    <w:rsid w:val="10A122E9"/>
    <w:rsid w:val="11010252"/>
    <w:rsid w:val="11047FD3"/>
    <w:rsid w:val="11763776"/>
    <w:rsid w:val="11962949"/>
    <w:rsid w:val="11974DD0"/>
    <w:rsid w:val="119D4DB9"/>
    <w:rsid w:val="11E56B5B"/>
    <w:rsid w:val="12042B30"/>
    <w:rsid w:val="12296A3A"/>
    <w:rsid w:val="1238505E"/>
    <w:rsid w:val="125C77AB"/>
    <w:rsid w:val="13703D6C"/>
    <w:rsid w:val="13B660AC"/>
    <w:rsid w:val="13E946D3"/>
    <w:rsid w:val="143E5B0D"/>
    <w:rsid w:val="14405D02"/>
    <w:rsid w:val="147A17CF"/>
    <w:rsid w:val="14AF3ABC"/>
    <w:rsid w:val="14CB726E"/>
    <w:rsid w:val="14D42C8D"/>
    <w:rsid w:val="14E0467E"/>
    <w:rsid w:val="1534372C"/>
    <w:rsid w:val="1578536E"/>
    <w:rsid w:val="15B42ABF"/>
    <w:rsid w:val="15D356A7"/>
    <w:rsid w:val="15E74980"/>
    <w:rsid w:val="16085872"/>
    <w:rsid w:val="165F6ECF"/>
    <w:rsid w:val="16994F4E"/>
    <w:rsid w:val="16A376E9"/>
    <w:rsid w:val="171C6B6E"/>
    <w:rsid w:val="17622036"/>
    <w:rsid w:val="176A0662"/>
    <w:rsid w:val="17A0782A"/>
    <w:rsid w:val="17E23913"/>
    <w:rsid w:val="17E92249"/>
    <w:rsid w:val="17F673BF"/>
    <w:rsid w:val="182E24C7"/>
    <w:rsid w:val="188C7801"/>
    <w:rsid w:val="189342A4"/>
    <w:rsid w:val="18D304F1"/>
    <w:rsid w:val="18F338FE"/>
    <w:rsid w:val="19F32577"/>
    <w:rsid w:val="19F45B80"/>
    <w:rsid w:val="19F5075E"/>
    <w:rsid w:val="1A3F329F"/>
    <w:rsid w:val="1A84475F"/>
    <w:rsid w:val="1A8C5DB8"/>
    <w:rsid w:val="1AE36B06"/>
    <w:rsid w:val="1B0C078D"/>
    <w:rsid w:val="1B2B31E2"/>
    <w:rsid w:val="1B414DF5"/>
    <w:rsid w:val="1B4C295A"/>
    <w:rsid w:val="1B87029B"/>
    <w:rsid w:val="1B901690"/>
    <w:rsid w:val="1B973C63"/>
    <w:rsid w:val="1BA1001E"/>
    <w:rsid w:val="1BA80D15"/>
    <w:rsid w:val="1BB93E21"/>
    <w:rsid w:val="1BD01CD5"/>
    <w:rsid w:val="1BEA548C"/>
    <w:rsid w:val="1CCE090A"/>
    <w:rsid w:val="1CFA06E0"/>
    <w:rsid w:val="1CFC6E53"/>
    <w:rsid w:val="1D317259"/>
    <w:rsid w:val="1D3D7158"/>
    <w:rsid w:val="1DAB47A7"/>
    <w:rsid w:val="1DAD126E"/>
    <w:rsid w:val="1DE005DE"/>
    <w:rsid w:val="1DED6BA1"/>
    <w:rsid w:val="1E664F5B"/>
    <w:rsid w:val="1E875215"/>
    <w:rsid w:val="1EB34BE1"/>
    <w:rsid w:val="1F0B3750"/>
    <w:rsid w:val="1F833C2E"/>
    <w:rsid w:val="1FF57FB5"/>
    <w:rsid w:val="2063580D"/>
    <w:rsid w:val="215E639F"/>
    <w:rsid w:val="217B12AB"/>
    <w:rsid w:val="21A73454"/>
    <w:rsid w:val="21DE339D"/>
    <w:rsid w:val="21EC3183"/>
    <w:rsid w:val="221265AE"/>
    <w:rsid w:val="225A65A3"/>
    <w:rsid w:val="225E72CD"/>
    <w:rsid w:val="22E06CA1"/>
    <w:rsid w:val="231057D9"/>
    <w:rsid w:val="23367CC4"/>
    <w:rsid w:val="23386ADD"/>
    <w:rsid w:val="236C50A2"/>
    <w:rsid w:val="23A117B9"/>
    <w:rsid w:val="23E1610F"/>
    <w:rsid w:val="243E38B6"/>
    <w:rsid w:val="246E2F77"/>
    <w:rsid w:val="248B0E8F"/>
    <w:rsid w:val="24CF1A0F"/>
    <w:rsid w:val="24D26ABE"/>
    <w:rsid w:val="24FF4E0B"/>
    <w:rsid w:val="254B4E2B"/>
    <w:rsid w:val="255D6CCF"/>
    <w:rsid w:val="257007B0"/>
    <w:rsid w:val="257F6C45"/>
    <w:rsid w:val="258A1146"/>
    <w:rsid w:val="258C05A9"/>
    <w:rsid w:val="258D183B"/>
    <w:rsid w:val="25DE1BBE"/>
    <w:rsid w:val="26426630"/>
    <w:rsid w:val="26492DAF"/>
    <w:rsid w:val="264B2FCC"/>
    <w:rsid w:val="26551754"/>
    <w:rsid w:val="267E4DBC"/>
    <w:rsid w:val="2699169D"/>
    <w:rsid w:val="271565B1"/>
    <w:rsid w:val="273B4DEE"/>
    <w:rsid w:val="27775733"/>
    <w:rsid w:val="27BB727D"/>
    <w:rsid w:val="27CC1EEA"/>
    <w:rsid w:val="27D70CD3"/>
    <w:rsid w:val="28123DA1"/>
    <w:rsid w:val="28397580"/>
    <w:rsid w:val="283D7C94"/>
    <w:rsid w:val="286914E7"/>
    <w:rsid w:val="28C84508"/>
    <w:rsid w:val="28CF1C92"/>
    <w:rsid w:val="291C47AB"/>
    <w:rsid w:val="29411B62"/>
    <w:rsid w:val="29480E03"/>
    <w:rsid w:val="2983634D"/>
    <w:rsid w:val="29B175E9"/>
    <w:rsid w:val="29CE5335"/>
    <w:rsid w:val="29D137E8"/>
    <w:rsid w:val="2A3F7D15"/>
    <w:rsid w:val="2B32787F"/>
    <w:rsid w:val="2B8549FB"/>
    <w:rsid w:val="2B8A39A7"/>
    <w:rsid w:val="2BB02055"/>
    <w:rsid w:val="2BBF7820"/>
    <w:rsid w:val="2C0954BB"/>
    <w:rsid w:val="2C136339"/>
    <w:rsid w:val="2C575A56"/>
    <w:rsid w:val="2C67247C"/>
    <w:rsid w:val="2CD05FD9"/>
    <w:rsid w:val="2CE10D2D"/>
    <w:rsid w:val="2CE35D0C"/>
    <w:rsid w:val="2CF302E4"/>
    <w:rsid w:val="2D087520"/>
    <w:rsid w:val="2DAE631A"/>
    <w:rsid w:val="2DBC2C57"/>
    <w:rsid w:val="2DCD3FDC"/>
    <w:rsid w:val="2DF6556F"/>
    <w:rsid w:val="2E27684E"/>
    <w:rsid w:val="2E30435C"/>
    <w:rsid w:val="2E976DAE"/>
    <w:rsid w:val="2E9848D4"/>
    <w:rsid w:val="2EBE5799"/>
    <w:rsid w:val="2F257714"/>
    <w:rsid w:val="2F2F5238"/>
    <w:rsid w:val="2F3275E5"/>
    <w:rsid w:val="2F505B14"/>
    <w:rsid w:val="2F947791"/>
    <w:rsid w:val="2F9652B7"/>
    <w:rsid w:val="2FFD70E5"/>
    <w:rsid w:val="30274161"/>
    <w:rsid w:val="30AA08EF"/>
    <w:rsid w:val="30D23D1C"/>
    <w:rsid w:val="30E738F1"/>
    <w:rsid w:val="31093867"/>
    <w:rsid w:val="31140D25"/>
    <w:rsid w:val="311A3CC6"/>
    <w:rsid w:val="31221CF5"/>
    <w:rsid w:val="31400178"/>
    <w:rsid w:val="314D7BF8"/>
    <w:rsid w:val="31B71515"/>
    <w:rsid w:val="31C75BFC"/>
    <w:rsid w:val="32146967"/>
    <w:rsid w:val="321E3342"/>
    <w:rsid w:val="327759C8"/>
    <w:rsid w:val="328046F9"/>
    <w:rsid w:val="32E14A9C"/>
    <w:rsid w:val="330B46AE"/>
    <w:rsid w:val="33185FE3"/>
    <w:rsid w:val="33294694"/>
    <w:rsid w:val="33953AD8"/>
    <w:rsid w:val="34446324"/>
    <w:rsid w:val="347A1238"/>
    <w:rsid w:val="34A00986"/>
    <w:rsid w:val="34D348B8"/>
    <w:rsid w:val="34EE2E36"/>
    <w:rsid w:val="35321393"/>
    <w:rsid w:val="35B342D3"/>
    <w:rsid w:val="35BE7316"/>
    <w:rsid w:val="35FF348B"/>
    <w:rsid w:val="36777241"/>
    <w:rsid w:val="36B3674F"/>
    <w:rsid w:val="36FD5C1C"/>
    <w:rsid w:val="37086DBC"/>
    <w:rsid w:val="371E78D5"/>
    <w:rsid w:val="3755796E"/>
    <w:rsid w:val="37BC4753"/>
    <w:rsid w:val="37DB08E1"/>
    <w:rsid w:val="382471D8"/>
    <w:rsid w:val="383425AF"/>
    <w:rsid w:val="386677F1"/>
    <w:rsid w:val="38A951DB"/>
    <w:rsid w:val="38B31605"/>
    <w:rsid w:val="38BB18EB"/>
    <w:rsid w:val="39003F4F"/>
    <w:rsid w:val="39541053"/>
    <w:rsid w:val="395A55A8"/>
    <w:rsid w:val="398B779E"/>
    <w:rsid w:val="3A105C66"/>
    <w:rsid w:val="3A3A0F35"/>
    <w:rsid w:val="3A4B3142"/>
    <w:rsid w:val="3A52627F"/>
    <w:rsid w:val="3A6C3008"/>
    <w:rsid w:val="3AAC0D36"/>
    <w:rsid w:val="3AC30F2B"/>
    <w:rsid w:val="3AE50EA1"/>
    <w:rsid w:val="3AFD07C1"/>
    <w:rsid w:val="3B027CA5"/>
    <w:rsid w:val="3B846744"/>
    <w:rsid w:val="3C07002B"/>
    <w:rsid w:val="3C3A4A3A"/>
    <w:rsid w:val="3C3E2F5F"/>
    <w:rsid w:val="3C5C4325"/>
    <w:rsid w:val="3C5E3FD1"/>
    <w:rsid w:val="3CBB635D"/>
    <w:rsid w:val="3D0D152A"/>
    <w:rsid w:val="3D2A703F"/>
    <w:rsid w:val="3D605AF2"/>
    <w:rsid w:val="3D650E15"/>
    <w:rsid w:val="3D6C1E29"/>
    <w:rsid w:val="3D7824A0"/>
    <w:rsid w:val="3D7D1865"/>
    <w:rsid w:val="3DA94408"/>
    <w:rsid w:val="3DF62756"/>
    <w:rsid w:val="3E0E69B8"/>
    <w:rsid w:val="3E1201FF"/>
    <w:rsid w:val="3EB70DA6"/>
    <w:rsid w:val="3EE01D9D"/>
    <w:rsid w:val="3EEA651E"/>
    <w:rsid w:val="3F1B7587"/>
    <w:rsid w:val="3F261A88"/>
    <w:rsid w:val="3F32667F"/>
    <w:rsid w:val="3F7D5B4C"/>
    <w:rsid w:val="3FA70E1B"/>
    <w:rsid w:val="3FB0296B"/>
    <w:rsid w:val="3FC1012F"/>
    <w:rsid w:val="3FC306F2"/>
    <w:rsid w:val="3FED1344"/>
    <w:rsid w:val="3FEE2C7C"/>
    <w:rsid w:val="400C5122"/>
    <w:rsid w:val="40311450"/>
    <w:rsid w:val="40DF6C59"/>
    <w:rsid w:val="40E65973"/>
    <w:rsid w:val="414615A8"/>
    <w:rsid w:val="41486C0E"/>
    <w:rsid w:val="41562AF9"/>
    <w:rsid w:val="4191768D"/>
    <w:rsid w:val="41990C37"/>
    <w:rsid w:val="41E57B4F"/>
    <w:rsid w:val="422A0866"/>
    <w:rsid w:val="424C7A58"/>
    <w:rsid w:val="42A94EAA"/>
    <w:rsid w:val="42F44377"/>
    <w:rsid w:val="42FA30E7"/>
    <w:rsid w:val="42FF2D1C"/>
    <w:rsid w:val="4307442B"/>
    <w:rsid w:val="432F26F6"/>
    <w:rsid w:val="433D6D73"/>
    <w:rsid w:val="436332AB"/>
    <w:rsid w:val="43880F63"/>
    <w:rsid w:val="43D85A47"/>
    <w:rsid w:val="43EC2ED8"/>
    <w:rsid w:val="44136A7F"/>
    <w:rsid w:val="441C5A6F"/>
    <w:rsid w:val="441F5424"/>
    <w:rsid w:val="44255D38"/>
    <w:rsid w:val="445362C3"/>
    <w:rsid w:val="44C44FCC"/>
    <w:rsid w:val="44CC7369"/>
    <w:rsid w:val="453D7BC2"/>
    <w:rsid w:val="454D5FC1"/>
    <w:rsid w:val="456A6AE6"/>
    <w:rsid w:val="457F5108"/>
    <w:rsid w:val="459B6277"/>
    <w:rsid w:val="459E4A6E"/>
    <w:rsid w:val="46027484"/>
    <w:rsid w:val="463B22BD"/>
    <w:rsid w:val="46951B6B"/>
    <w:rsid w:val="46B017C3"/>
    <w:rsid w:val="46E6047B"/>
    <w:rsid w:val="47354F5E"/>
    <w:rsid w:val="475C073D"/>
    <w:rsid w:val="4763532E"/>
    <w:rsid w:val="47B07B63"/>
    <w:rsid w:val="47EF7803"/>
    <w:rsid w:val="48211C89"/>
    <w:rsid w:val="48565A26"/>
    <w:rsid w:val="48621D83"/>
    <w:rsid w:val="48BD37CD"/>
    <w:rsid w:val="48CC36A0"/>
    <w:rsid w:val="490A76A8"/>
    <w:rsid w:val="49864801"/>
    <w:rsid w:val="49A34401"/>
    <w:rsid w:val="4A1D136F"/>
    <w:rsid w:val="4A3E30AB"/>
    <w:rsid w:val="4A5751EC"/>
    <w:rsid w:val="4A67190C"/>
    <w:rsid w:val="4AA91EEB"/>
    <w:rsid w:val="4AC14DAC"/>
    <w:rsid w:val="4AE9550D"/>
    <w:rsid w:val="4AF84C20"/>
    <w:rsid w:val="4BA96EC8"/>
    <w:rsid w:val="4BBB1920"/>
    <w:rsid w:val="4BC15012"/>
    <w:rsid w:val="4BD25472"/>
    <w:rsid w:val="4C0A4C0B"/>
    <w:rsid w:val="4C123AC0"/>
    <w:rsid w:val="4C285091"/>
    <w:rsid w:val="4C516396"/>
    <w:rsid w:val="4C6B2C64"/>
    <w:rsid w:val="4C8F6510"/>
    <w:rsid w:val="4C9D15DC"/>
    <w:rsid w:val="4D0A56C2"/>
    <w:rsid w:val="4D0C050F"/>
    <w:rsid w:val="4D154C85"/>
    <w:rsid w:val="4D537EEC"/>
    <w:rsid w:val="4DD54DA5"/>
    <w:rsid w:val="4DF01BDF"/>
    <w:rsid w:val="4E2875CB"/>
    <w:rsid w:val="4E976C7C"/>
    <w:rsid w:val="4EB12599"/>
    <w:rsid w:val="4EB35ECE"/>
    <w:rsid w:val="4EEF633A"/>
    <w:rsid w:val="4F0C47F7"/>
    <w:rsid w:val="4F306126"/>
    <w:rsid w:val="4FB05A0F"/>
    <w:rsid w:val="4FCE7CFE"/>
    <w:rsid w:val="4FEB6B02"/>
    <w:rsid w:val="4FFF25AD"/>
    <w:rsid w:val="50025BF9"/>
    <w:rsid w:val="50055E16"/>
    <w:rsid w:val="5052092F"/>
    <w:rsid w:val="505D6948"/>
    <w:rsid w:val="507765E7"/>
    <w:rsid w:val="508F4E24"/>
    <w:rsid w:val="50A76ECD"/>
    <w:rsid w:val="50AC54AE"/>
    <w:rsid w:val="50B96C00"/>
    <w:rsid w:val="510078F8"/>
    <w:rsid w:val="51020C27"/>
    <w:rsid w:val="511B5579"/>
    <w:rsid w:val="513E3305"/>
    <w:rsid w:val="51461E90"/>
    <w:rsid w:val="51463753"/>
    <w:rsid w:val="51721D7C"/>
    <w:rsid w:val="51A71304"/>
    <w:rsid w:val="51AB6ECF"/>
    <w:rsid w:val="52291B63"/>
    <w:rsid w:val="52320A18"/>
    <w:rsid w:val="524B1ADA"/>
    <w:rsid w:val="52553A93"/>
    <w:rsid w:val="527F1783"/>
    <w:rsid w:val="52AE4A26"/>
    <w:rsid w:val="5333606C"/>
    <w:rsid w:val="53521F8B"/>
    <w:rsid w:val="53876B42"/>
    <w:rsid w:val="53A56FC8"/>
    <w:rsid w:val="53CC09F8"/>
    <w:rsid w:val="53DB6E8D"/>
    <w:rsid w:val="53E22F47"/>
    <w:rsid w:val="54437F12"/>
    <w:rsid w:val="54522FF8"/>
    <w:rsid w:val="54774E08"/>
    <w:rsid w:val="55450629"/>
    <w:rsid w:val="55B856D8"/>
    <w:rsid w:val="56261760"/>
    <w:rsid w:val="56692963"/>
    <w:rsid w:val="568B0F48"/>
    <w:rsid w:val="56F1208A"/>
    <w:rsid w:val="56FE35BF"/>
    <w:rsid w:val="57482A8C"/>
    <w:rsid w:val="576109DB"/>
    <w:rsid w:val="5786217B"/>
    <w:rsid w:val="57B7551B"/>
    <w:rsid w:val="581B3CFC"/>
    <w:rsid w:val="581F559B"/>
    <w:rsid w:val="59337A15"/>
    <w:rsid w:val="595C62A8"/>
    <w:rsid w:val="59810274"/>
    <w:rsid w:val="59884257"/>
    <w:rsid w:val="5A6000EC"/>
    <w:rsid w:val="5A897643"/>
    <w:rsid w:val="5AAF1500"/>
    <w:rsid w:val="5B37709F"/>
    <w:rsid w:val="5B5A4B3C"/>
    <w:rsid w:val="5BC07095"/>
    <w:rsid w:val="5BD463A5"/>
    <w:rsid w:val="5BD82630"/>
    <w:rsid w:val="5BF16DC6"/>
    <w:rsid w:val="5C1967A5"/>
    <w:rsid w:val="5C4557EC"/>
    <w:rsid w:val="5C930305"/>
    <w:rsid w:val="5CA96A00"/>
    <w:rsid w:val="5CC94D93"/>
    <w:rsid w:val="5CDB3A5A"/>
    <w:rsid w:val="5CF730BC"/>
    <w:rsid w:val="5D7C523D"/>
    <w:rsid w:val="5DB84EB9"/>
    <w:rsid w:val="5E131EC4"/>
    <w:rsid w:val="5E3561D1"/>
    <w:rsid w:val="5E5F0DCE"/>
    <w:rsid w:val="5EAE21C6"/>
    <w:rsid w:val="5EB01642"/>
    <w:rsid w:val="5F0F06FB"/>
    <w:rsid w:val="5F183AB6"/>
    <w:rsid w:val="5FA40A7B"/>
    <w:rsid w:val="5FA665A1"/>
    <w:rsid w:val="5FB0504C"/>
    <w:rsid w:val="5FD56D29"/>
    <w:rsid w:val="5FEC7F3F"/>
    <w:rsid w:val="604C7149"/>
    <w:rsid w:val="606745F8"/>
    <w:rsid w:val="60F74BC3"/>
    <w:rsid w:val="611761ED"/>
    <w:rsid w:val="614E0C9F"/>
    <w:rsid w:val="61613BC9"/>
    <w:rsid w:val="61720E31"/>
    <w:rsid w:val="617D3BF8"/>
    <w:rsid w:val="61841F6A"/>
    <w:rsid w:val="61A13D7C"/>
    <w:rsid w:val="61CB2CF5"/>
    <w:rsid w:val="61CE7DA8"/>
    <w:rsid w:val="61D03DA9"/>
    <w:rsid w:val="61FC6F61"/>
    <w:rsid w:val="62043512"/>
    <w:rsid w:val="623007A9"/>
    <w:rsid w:val="628240CB"/>
    <w:rsid w:val="62CB03F8"/>
    <w:rsid w:val="62E874E1"/>
    <w:rsid w:val="637D7558"/>
    <w:rsid w:val="63BD1004"/>
    <w:rsid w:val="63C06A2F"/>
    <w:rsid w:val="644F19AC"/>
    <w:rsid w:val="645C7B76"/>
    <w:rsid w:val="64A26657"/>
    <w:rsid w:val="64F93617"/>
    <w:rsid w:val="64FF0C2E"/>
    <w:rsid w:val="6502071E"/>
    <w:rsid w:val="65186A6A"/>
    <w:rsid w:val="65AA4920"/>
    <w:rsid w:val="65E31D0B"/>
    <w:rsid w:val="665F74AA"/>
    <w:rsid w:val="666D423B"/>
    <w:rsid w:val="6692787F"/>
    <w:rsid w:val="66937291"/>
    <w:rsid w:val="66DB1226"/>
    <w:rsid w:val="66E3632D"/>
    <w:rsid w:val="674C6BAB"/>
    <w:rsid w:val="67694F1E"/>
    <w:rsid w:val="67B657F0"/>
    <w:rsid w:val="67D86126"/>
    <w:rsid w:val="68016A6B"/>
    <w:rsid w:val="68C006D4"/>
    <w:rsid w:val="68F22857"/>
    <w:rsid w:val="69154786"/>
    <w:rsid w:val="69597934"/>
    <w:rsid w:val="69766FE4"/>
    <w:rsid w:val="69AF0748"/>
    <w:rsid w:val="69C02956"/>
    <w:rsid w:val="6A326754"/>
    <w:rsid w:val="6ACD532A"/>
    <w:rsid w:val="6ADB7A47"/>
    <w:rsid w:val="6AEF34F2"/>
    <w:rsid w:val="6B964DDC"/>
    <w:rsid w:val="6BF500B0"/>
    <w:rsid w:val="6C783074"/>
    <w:rsid w:val="6CC72F52"/>
    <w:rsid w:val="6D9E65C6"/>
    <w:rsid w:val="6DA81947"/>
    <w:rsid w:val="6DA9556C"/>
    <w:rsid w:val="6DF332FA"/>
    <w:rsid w:val="6E337B9A"/>
    <w:rsid w:val="6E34121C"/>
    <w:rsid w:val="6E4753F3"/>
    <w:rsid w:val="6E647D53"/>
    <w:rsid w:val="6EB66DE2"/>
    <w:rsid w:val="6EBF142E"/>
    <w:rsid w:val="6ED07197"/>
    <w:rsid w:val="6ED3075F"/>
    <w:rsid w:val="6EEE22D6"/>
    <w:rsid w:val="6F2A2D4B"/>
    <w:rsid w:val="6F571666"/>
    <w:rsid w:val="6F63000B"/>
    <w:rsid w:val="6F775864"/>
    <w:rsid w:val="6F8A0C1E"/>
    <w:rsid w:val="6FC0720B"/>
    <w:rsid w:val="70311EB7"/>
    <w:rsid w:val="703F45D4"/>
    <w:rsid w:val="70467D61"/>
    <w:rsid w:val="70D721ED"/>
    <w:rsid w:val="70F52C1D"/>
    <w:rsid w:val="710475CC"/>
    <w:rsid w:val="713752AB"/>
    <w:rsid w:val="714E0847"/>
    <w:rsid w:val="715D6546"/>
    <w:rsid w:val="71BE069E"/>
    <w:rsid w:val="71C01745"/>
    <w:rsid w:val="71C147B5"/>
    <w:rsid w:val="72A42E14"/>
    <w:rsid w:val="72BD3ED6"/>
    <w:rsid w:val="72D66D46"/>
    <w:rsid w:val="737547B1"/>
    <w:rsid w:val="73953409"/>
    <w:rsid w:val="73A3131E"/>
    <w:rsid w:val="73D9089C"/>
    <w:rsid w:val="73E069A3"/>
    <w:rsid w:val="74382050"/>
    <w:rsid w:val="74820F33"/>
    <w:rsid w:val="74E25787"/>
    <w:rsid w:val="755F1275"/>
    <w:rsid w:val="756D25FC"/>
    <w:rsid w:val="75B75911"/>
    <w:rsid w:val="75DC4673"/>
    <w:rsid w:val="76007DF5"/>
    <w:rsid w:val="760360A4"/>
    <w:rsid w:val="763933D7"/>
    <w:rsid w:val="76544B51"/>
    <w:rsid w:val="7657019E"/>
    <w:rsid w:val="76C92E49"/>
    <w:rsid w:val="779531A8"/>
    <w:rsid w:val="77A54661"/>
    <w:rsid w:val="77BE04D4"/>
    <w:rsid w:val="77C644FB"/>
    <w:rsid w:val="78104AA8"/>
    <w:rsid w:val="781C32C2"/>
    <w:rsid w:val="786848E4"/>
    <w:rsid w:val="78E257C5"/>
    <w:rsid w:val="79017475"/>
    <w:rsid w:val="790E2D96"/>
    <w:rsid w:val="794B35BE"/>
    <w:rsid w:val="7984574E"/>
    <w:rsid w:val="798476A8"/>
    <w:rsid w:val="79CC221C"/>
    <w:rsid w:val="7A652E89"/>
    <w:rsid w:val="7A8C48BA"/>
    <w:rsid w:val="7A9D6AC7"/>
    <w:rsid w:val="7AAD2A82"/>
    <w:rsid w:val="7AF81F4F"/>
    <w:rsid w:val="7B0A3A31"/>
    <w:rsid w:val="7B3360ED"/>
    <w:rsid w:val="7B672C31"/>
    <w:rsid w:val="7B8437E3"/>
    <w:rsid w:val="7B9B0B2D"/>
    <w:rsid w:val="7BB10350"/>
    <w:rsid w:val="7BB75966"/>
    <w:rsid w:val="7BCE2CB0"/>
    <w:rsid w:val="7BDF037E"/>
    <w:rsid w:val="7BF50948"/>
    <w:rsid w:val="7C4132B5"/>
    <w:rsid w:val="7C4215EE"/>
    <w:rsid w:val="7C4A5F2C"/>
    <w:rsid w:val="7C6723F9"/>
    <w:rsid w:val="7CC876FF"/>
    <w:rsid w:val="7CCB71F0"/>
    <w:rsid w:val="7CE23AF4"/>
    <w:rsid w:val="7CE66A78"/>
    <w:rsid w:val="7CE82114"/>
    <w:rsid w:val="7D23564C"/>
    <w:rsid w:val="7D5E062D"/>
    <w:rsid w:val="7DF76CD8"/>
    <w:rsid w:val="7E9417F3"/>
    <w:rsid w:val="7ED148FF"/>
    <w:rsid w:val="7F0A04A3"/>
    <w:rsid w:val="7F695C26"/>
    <w:rsid w:val="7F8A5140"/>
    <w:rsid w:val="7FA033BD"/>
    <w:rsid w:val="7FA34F1F"/>
    <w:rsid w:val="7FCF62D3"/>
    <w:rsid w:val="7FEE56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7">
    <w:name w:val="Default Paragraph Font"/>
    <w:semiHidden/>
    <w:unhideWhenUsed/>
    <w:qFormat/>
    <w:uiPriority w:val="1"/>
  </w:style>
  <w:style w:type="table" w:default="1" w:styleId="6">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Emphasis"/>
    <w:basedOn w:val="7"/>
    <w:qFormat/>
    <w:uiPriority w:val="0"/>
    <w:rPr>
      <w:i/>
    </w:rPr>
  </w:style>
  <w:style w:type="character" w:customStyle="1" w:styleId="9">
    <w:name w:val="页眉 Char"/>
    <w:basedOn w:val="7"/>
    <w:link w:val="4"/>
    <w:qFormat/>
    <w:uiPriority w:val="0"/>
    <w:rPr>
      <w:rFonts w:asciiTheme="minorHAnsi" w:hAnsiTheme="minorHAnsi" w:eastAsiaTheme="minorEastAsia" w:cstheme="minorBidi"/>
      <w:kern w:val="2"/>
      <w:sz w:val="18"/>
      <w:szCs w:val="18"/>
    </w:rPr>
  </w:style>
  <w:style w:type="character" w:customStyle="1" w:styleId="10">
    <w:name w:val="页脚 Char"/>
    <w:basedOn w:val="7"/>
    <w:link w:val="3"/>
    <w:qFormat/>
    <w:uiPriority w:val="0"/>
    <w:rPr>
      <w:rFonts w:asciiTheme="minorHAnsi" w:hAnsiTheme="minorHAnsi" w:eastAsiaTheme="minorEastAsia" w:cstheme="minorBidi"/>
      <w:kern w:val="2"/>
      <w:sz w:val="18"/>
      <w:szCs w:val="18"/>
    </w:rPr>
  </w:style>
  <w:style w:type="paragraph" w:styleId="11">
    <w:name w:val="List Paragraph"/>
    <w:basedOn w:val="1"/>
    <w:qFormat/>
    <w:uiPriority w:val="99"/>
    <w:pPr>
      <w:ind w:firstLine="420" w:firstLineChars="200"/>
    </w:pPr>
  </w:style>
  <w:style w:type="character" w:customStyle="1" w:styleId="12">
    <w:name w:val="font11"/>
    <w:basedOn w:val="7"/>
    <w:qFormat/>
    <w:uiPriority w:val="0"/>
    <w:rPr>
      <w:rFonts w:hint="eastAsia" w:ascii="宋体" w:hAnsi="宋体" w:eastAsia="宋体" w:cs="宋体"/>
      <w:b/>
      <w:bCs/>
      <w:color w:val="000000"/>
      <w:sz w:val="36"/>
      <w:szCs w:val="36"/>
      <w:u w:val="none"/>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hart" Target="charts/chart11.xml"/><Relationship Id="rId15" Type="http://schemas.openxmlformats.org/officeDocument/2006/relationships/chart" Target="charts/chart10.xml"/><Relationship Id="rId14" Type="http://schemas.openxmlformats.org/officeDocument/2006/relationships/chart" Target="charts/chart9.xml"/><Relationship Id="rId13" Type="http://schemas.openxmlformats.org/officeDocument/2006/relationships/chart" Target="charts/chart8.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10.xml.rels><?xml version="1.0" encoding="UTF-8" standalone="yes"?>
<Relationships xmlns="http://schemas.openxmlformats.org/package/2006/relationships"><Relationship Id="rId1" Type="http://schemas.openxmlformats.org/officeDocument/2006/relationships/oleObject" Target="file:///C:\Users\hjxjyj\Desktop\&#22270;&#34920;.xls" TargetMode="External"/></Relationships>
</file>

<file path=word/charts/_rels/chart11.xml.rels><?xml version="1.0" encoding="UTF-8" standalone="yes"?>
<Relationships xmlns="http://schemas.openxmlformats.org/package/2006/relationships"><Relationship Id="rId1" Type="http://schemas.openxmlformats.org/officeDocument/2006/relationships/package" Target="../embeddings/Workbook7.xlsx"/></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0.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8.xlsx"/></Relationships>
</file>

<file path=word/charts/_rels/chart8.xml.rels><?xml version="1.0" encoding="UTF-8" standalone="yes"?>
<Relationships xmlns="http://schemas.openxmlformats.org/package/2006/relationships"><Relationship Id="rId1" Type="http://schemas.openxmlformats.org/officeDocument/2006/relationships/package" Target="../embeddings/Workbook9.xlsx"/></Relationships>
</file>

<file path=word/charts/_rels/chart9.xml.rels><?xml version="1.0" encoding="UTF-8" standalone="yes"?>
<Relationships xmlns="http://schemas.openxmlformats.org/package/2006/relationships"><Relationship Id="rId1" Type="http://schemas.openxmlformats.org/officeDocument/2006/relationships/package" Target="../embeddings/Workbook5.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en-US" b="0"/>
              <a:t>决算收入支出图表</a:t>
            </a:r>
            <a:endParaRPr lang="zh-CN" altLang="en-US" b="0"/>
          </a:p>
        </c:rich>
      </c:tx>
      <c:layout/>
      <c:overlay val="0"/>
    </c:title>
    <c:autoTitleDeleted val="0"/>
    <c:plotArea>
      <c:layout/>
      <c:pieChart>
        <c:varyColors val="1"/>
        <c:ser>
          <c:idx val="0"/>
          <c:order val="0"/>
          <c:tx>
            <c:strRef>
              <c:f>Sheet1!$B$1</c:f>
              <c:strCache>
                <c:ptCount val="1"/>
                <c:pt idx="0">
                  <c:v>决算收入支出图表</c:v>
                </c:pt>
              </c:strCache>
            </c:strRef>
          </c:tx>
          <c:explosion val="25"/>
          <c:dPt>
            <c:idx val="0"/>
            <c:bubble3D val="0"/>
            <c:explosion val="0"/>
          </c:dPt>
          <c:dLbls>
            <c:delete val="1"/>
          </c:dLbls>
          <c:cat>
            <c:strRef>
              <c:f>Sheet1!$A$2</c:f>
              <c:strCache>
                <c:ptCount val="1"/>
                <c:pt idx="0">
                  <c:v>一般公共预算财政拨款收入</c:v>
                </c:pt>
              </c:strCache>
            </c:strRef>
          </c:cat>
          <c:val>
            <c:numRef>
              <c:f>Sheet1!$B$2</c:f>
              <c:numCache>
                <c:formatCode>General</c:formatCode>
                <c:ptCount val="1"/>
                <c:pt idx="0">
                  <c:v>523.24</c:v>
                </c:pt>
              </c:numCache>
            </c:numRef>
          </c:val>
        </c:ser>
        <c:dLbls>
          <c:showLegendKey val="0"/>
          <c:showVal val="0"/>
          <c:showCatName val="0"/>
          <c:showSerName val="0"/>
          <c:showPercent val="0"/>
          <c:showBubbleSize val="0"/>
          <c:showLeaderLines val="1"/>
        </c:dLbls>
        <c:firstSliceAng val="0"/>
      </c:pieChart>
    </c:plotArea>
    <c:legend>
      <c:legendPos val="b"/>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sz="1800" b="1">
                <a:latin typeface="宋体" panose="02010600030101010101" charset="-122"/>
                <a:ea typeface="宋体" panose="02010600030101010101" charset="-122"/>
              </a:rPr>
              <a:t>对个人和家庭的补助</a:t>
            </a:r>
            <a:endParaRPr sz="1800" b="1" i="0" u="none" strike="noStrike" baseline="0">
              <a:solidFill>
                <a:srgbClr val="595959">
                  <a:alpha val="100000"/>
                </a:srgbClr>
              </a:solidFill>
              <a:latin typeface="宋体" panose="02010600030101010101" charset="-122"/>
              <a:ea typeface="宋体" panose="02010600030101010101" charset="-122"/>
              <a:cs typeface="宋体" panose="02010600030101010101" charset="-122"/>
            </a:endParaRPr>
          </a:p>
        </c:rich>
      </c:tx>
      <c:layout/>
      <c:overlay val="0"/>
      <c:spPr>
        <a:noFill/>
        <a:ln>
          <a:noFill/>
        </a:ln>
        <a:effectLst/>
      </c:spPr>
    </c:title>
    <c:autoTitleDeleted val="0"/>
    <c:plotArea>
      <c:layout/>
      <c:barChart>
        <c:barDir val="col"/>
        <c:grouping val="clustered"/>
        <c:varyColors val="0"/>
        <c:ser>
          <c:idx val="0"/>
          <c:order val="0"/>
          <c:tx>
            <c:strRef>
              <c:f>[图表.xls]Sheet2!$D$10</c:f>
              <c:strCache>
                <c:ptCount val="1"/>
                <c:pt idx="0">
                  <c:v>科目代码</c:v>
                </c:pt>
              </c:strCache>
            </c:strRef>
          </c:tx>
          <c:spPr>
            <a:solidFill>
              <a:schemeClr val="accent1"/>
            </a:solidFill>
            <a:ln>
              <a:noFill/>
            </a:ln>
            <a:effectLst/>
          </c:spPr>
          <c:invertIfNegative val="0"/>
          <c:dLbls>
            <c:delete val="1"/>
          </c:dLbls>
          <c:cat>
            <c:numRef>
              <c:f>[图表.xls]Sheet2!$C$11:$C$12</c:f>
              <c:numCache>
                <c:formatCode>General</c:formatCode>
                <c:ptCount val="2"/>
                <c:pt idx="0">
                  <c:v>30304</c:v>
                </c:pt>
                <c:pt idx="1">
                  <c:v>30305</c:v>
                </c:pt>
              </c:numCache>
            </c:numRef>
          </c:cat>
          <c:val>
            <c:numRef>
              <c:f>[图表.xls]Sheet2!$D$11:$D$12</c:f>
              <c:numCache>
                <c:formatCode>General</c:formatCode>
                <c:ptCount val="2"/>
                <c:pt idx="0">
                  <c:v>0.39</c:v>
                </c:pt>
                <c:pt idx="1">
                  <c:v>53.14</c:v>
                </c:pt>
              </c:numCache>
            </c:numRef>
          </c:val>
        </c:ser>
        <c:dLbls>
          <c:showLegendKey val="0"/>
          <c:showVal val="0"/>
          <c:showCatName val="0"/>
          <c:showSerName val="0"/>
          <c:showPercent val="0"/>
          <c:showBubbleSize val="0"/>
        </c:dLbls>
        <c:gapWidth val="219"/>
        <c:overlap val="-27"/>
        <c:axId val="445306102"/>
        <c:axId val="865076229"/>
      </c:barChart>
      <c:catAx>
        <c:axId val="445306102"/>
        <c:scaling>
          <c:orientation val="minMax"/>
        </c:scaling>
        <c:delete val="0"/>
        <c:axPos val="b"/>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865076229"/>
        <c:crosses val="autoZero"/>
        <c:auto val="1"/>
        <c:lblAlgn val="ctr"/>
        <c:lblOffset val="100"/>
        <c:noMultiLvlLbl val="0"/>
      </c:catAx>
      <c:valAx>
        <c:axId val="865076229"/>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45306102"/>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资本性支出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Sheet1!$A$2:$A$17</c:f>
              <c:numCache>
                <c:formatCode>General</c:formatCode>
                <c:ptCount val="16"/>
                <c:pt idx="0">
                  <c:v>31001</c:v>
                </c:pt>
                <c:pt idx="1">
                  <c:v>31002</c:v>
                </c:pt>
                <c:pt idx="2">
                  <c:v>31003</c:v>
                </c:pt>
                <c:pt idx="3">
                  <c:v>31005</c:v>
                </c:pt>
                <c:pt idx="4">
                  <c:v>31006</c:v>
                </c:pt>
                <c:pt idx="5">
                  <c:v>31007</c:v>
                </c:pt>
                <c:pt idx="6">
                  <c:v>31008</c:v>
                </c:pt>
                <c:pt idx="7">
                  <c:v>31009</c:v>
                </c:pt>
                <c:pt idx="8">
                  <c:v>31010</c:v>
                </c:pt>
                <c:pt idx="9">
                  <c:v>31011</c:v>
                </c:pt>
                <c:pt idx="10">
                  <c:v>31012</c:v>
                </c:pt>
                <c:pt idx="11">
                  <c:v>31013</c:v>
                </c:pt>
                <c:pt idx="12">
                  <c:v>31019</c:v>
                </c:pt>
                <c:pt idx="13">
                  <c:v>31021</c:v>
                </c:pt>
                <c:pt idx="14">
                  <c:v>31022</c:v>
                </c:pt>
                <c:pt idx="15">
                  <c:v>31099</c:v>
                </c:pt>
              </c:numCache>
            </c:numRef>
          </c:cat>
          <c:val>
            <c:numRef>
              <c:f>Sheet1!$B$2:$B$17</c:f>
              <c:numCache>
                <c:formatCode>General</c:formatCode>
                <c:ptCount val="16"/>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支出决算图表</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2022年</c:v>
                </c:pt>
              </c:strCache>
            </c:strRef>
          </c:tx>
          <c:spPr>
            <a:solidFill>
              <a:schemeClr val="accent1"/>
            </a:solidFill>
            <a:ln>
              <a:noFill/>
            </a:ln>
            <a:effectLst/>
          </c:spPr>
          <c:invertIfNegative val="0"/>
          <c:dLbls>
            <c:delete val="1"/>
          </c:dLbls>
          <c:cat>
            <c:strRef>
              <c:f>Sheet1!$A$2:$A$6</c:f>
              <c:strCache>
                <c:ptCount val="5"/>
                <c:pt idx="0">
                  <c:v>一般公共服务支出</c:v>
                </c:pt>
                <c:pt idx="1">
                  <c:v>教育支出</c:v>
                </c:pt>
                <c:pt idx="2">
                  <c:v>社会保障和就业支出</c:v>
                </c:pt>
                <c:pt idx="3">
                  <c:v>住房保障支出</c:v>
                </c:pt>
                <c:pt idx="4">
                  <c:v>其他支出</c:v>
                </c:pt>
              </c:strCache>
            </c:strRef>
          </c:cat>
          <c:val>
            <c:numRef>
              <c:f>Sheet1!$B$2:$B$6</c:f>
              <c:numCache>
                <c:formatCode>General</c:formatCode>
                <c:ptCount val="5"/>
                <c:pt idx="0">
                  <c:v>17.04</c:v>
                </c:pt>
                <c:pt idx="1">
                  <c:v>1289.57</c:v>
                </c:pt>
                <c:pt idx="2">
                  <c:v>107.08</c:v>
                </c:pt>
                <c:pt idx="3">
                  <c:v>90.17</c:v>
                </c:pt>
                <c:pt idx="4">
                  <c:v>80.35</c:v>
                </c:pt>
              </c:numCache>
            </c:numRef>
          </c:val>
        </c:ser>
        <c:ser>
          <c:idx val="1"/>
          <c:order val="1"/>
          <c:tx>
            <c:strRef>
              <c:f>Sheet1!$C$1</c:f>
              <c:strCache>
                <c:ptCount val="1"/>
                <c:pt idx="0">
                  <c:v>2023年</c:v>
                </c:pt>
              </c:strCache>
            </c:strRef>
          </c:tx>
          <c:spPr>
            <a:solidFill>
              <a:schemeClr val="accent2"/>
            </a:solidFill>
            <a:ln>
              <a:noFill/>
            </a:ln>
            <a:effectLst/>
          </c:spPr>
          <c:invertIfNegative val="0"/>
          <c:dLbls>
            <c:delete val="1"/>
          </c:dLbls>
          <c:cat>
            <c:strRef>
              <c:f>Sheet1!$A$2:$A$6</c:f>
              <c:strCache>
                <c:ptCount val="5"/>
                <c:pt idx="0">
                  <c:v>一般公共服务支出</c:v>
                </c:pt>
                <c:pt idx="1">
                  <c:v>教育支出</c:v>
                </c:pt>
                <c:pt idx="2">
                  <c:v>社会保障和就业支出</c:v>
                </c:pt>
                <c:pt idx="3">
                  <c:v>住房保障支出</c:v>
                </c:pt>
                <c:pt idx="4">
                  <c:v>其他支出</c:v>
                </c:pt>
              </c:strCache>
            </c:strRef>
          </c:cat>
          <c:val>
            <c:numRef>
              <c:f>Sheet1!$C$2:$C$6</c:f>
              <c:numCache>
                <c:formatCode>General</c:formatCode>
                <c:ptCount val="5"/>
                <c:pt idx="0">
                  <c:v>18.86</c:v>
                </c:pt>
                <c:pt idx="1">
                  <c:v>1448.29</c:v>
                </c:pt>
                <c:pt idx="2">
                  <c:v>138.17</c:v>
                </c:pt>
                <c:pt idx="3">
                  <c:v>103.56</c:v>
                </c:pt>
                <c:pt idx="4">
                  <c:v>151.39</c:v>
                </c:pt>
              </c:numCache>
            </c:numRef>
          </c:val>
        </c:ser>
        <c:dLbls>
          <c:showLegendKey val="0"/>
          <c:showVal val="0"/>
          <c:showCatName val="0"/>
          <c:showSerName val="0"/>
          <c:showPercent val="0"/>
          <c:showBubbleSize val="0"/>
        </c:dLbls>
        <c:gapWidth val="219"/>
        <c:overlap val="-27"/>
        <c:axId val="-172443552"/>
        <c:axId val="-172442464"/>
      </c:barChart>
      <c:catAx>
        <c:axId val="-172443552"/>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2464"/>
        <c:crosses val="autoZero"/>
        <c:auto val="1"/>
        <c:lblAlgn val="ctr"/>
        <c:lblOffset val="100"/>
        <c:noMultiLvlLbl val="0"/>
      </c:catAx>
      <c:valAx>
        <c:axId val="-1724424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55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一般公共服务支出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2012999</c:v>
                </c:pt>
                <c:pt idx="1">
                  <c:v>201x</c:v>
                </c:pt>
              </c:strCache>
            </c:strRef>
          </c:cat>
          <c:val>
            <c:numRef>
              <c:f>Sheet1!$B$2:$B$3</c:f>
              <c:numCache>
                <c:formatCode>General</c:formatCode>
                <c:ptCount val="2"/>
                <c:pt idx="0">
                  <c:v>18.86</c:v>
                </c:pt>
                <c:pt idx="1">
                  <c:v>18.86</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教育支出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Sheet1!$A$2:$A$6</c:f>
              <c:strCache>
                <c:ptCount val="5"/>
                <c:pt idx="0">
                  <c:v>2050202</c:v>
                </c:pt>
                <c:pt idx="1">
                  <c:v>2050203</c:v>
                </c:pt>
                <c:pt idx="2">
                  <c:v>2050299</c:v>
                </c:pt>
                <c:pt idx="3">
                  <c:v>2050999</c:v>
                </c:pt>
                <c:pt idx="4">
                  <c:v>205X</c:v>
                </c:pt>
              </c:strCache>
            </c:strRef>
          </c:cat>
          <c:val>
            <c:numRef>
              <c:f>Sheet1!$B$2:$B$6</c:f>
              <c:numCache>
                <c:formatCode>General</c:formatCode>
                <c:ptCount val="5"/>
                <c:pt idx="0">
                  <c:v>984.94</c:v>
                </c:pt>
                <c:pt idx="1">
                  <c:v>458.63</c:v>
                </c:pt>
                <c:pt idx="2">
                  <c:v>0</c:v>
                </c:pt>
                <c:pt idx="3">
                  <c:v>2.16</c:v>
                </c:pt>
                <c:pt idx="4">
                  <c:v>1445.73</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社会保障和就业支出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2080505</c:v>
                </c:pt>
                <c:pt idx="1">
                  <c:v>208X</c:v>
                </c:pt>
              </c:strCache>
            </c:strRef>
          </c:cat>
          <c:val>
            <c:numRef>
              <c:f>Sheet1!$B$2:$B$3</c:f>
              <c:numCache>
                <c:formatCode>General</c:formatCode>
                <c:ptCount val="2"/>
                <c:pt idx="0">
                  <c:v>138.17</c:v>
                </c:pt>
                <c:pt idx="1">
                  <c:v>138.17</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住房保障支出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2210201</c:v>
                </c:pt>
                <c:pt idx="1">
                  <c:v>221X</c:v>
                </c:pt>
              </c:strCache>
            </c:strRef>
          </c:cat>
          <c:val>
            <c:numRef>
              <c:f>Sheet1!$B$2:$B$3</c:f>
              <c:numCache>
                <c:formatCode>General</c:formatCode>
                <c:ptCount val="2"/>
                <c:pt idx="0">
                  <c:v>103.57</c:v>
                </c:pt>
                <c:pt idx="1">
                  <c:v>103.57</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其他支出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2299999</c:v>
                </c:pt>
                <c:pt idx="1">
                  <c:v>229X</c:v>
                </c:pt>
              </c:strCache>
            </c:strRef>
          </c:cat>
          <c:val>
            <c:numRef>
              <c:f>Sheet1!$B$2:$B$3</c:f>
              <c:numCache>
                <c:formatCode>General</c:formatCode>
                <c:ptCount val="2"/>
                <c:pt idx="0">
                  <c:v>151.39</c:v>
                </c:pt>
                <c:pt idx="1">
                  <c:v>151.39</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工资福利支出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Sheet1!$A$2:$A$14</c:f>
              <c:numCache>
                <c:formatCode>General</c:formatCode>
                <c:ptCount val="13"/>
                <c:pt idx="0">
                  <c:v>30101</c:v>
                </c:pt>
                <c:pt idx="1">
                  <c:v>30102</c:v>
                </c:pt>
                <c:pt idx="2">
                  <c:v>30103</c:v>
                </c:pt>
                <c:pt idx="3">
                  <c:v>30106</c:v>
                </c:pt>
                <c:pt idx="4">
                  <c:v>30107</c:v>
                </c:pt>
                <c:pt idx="5">
                  <c:v>30108</c:v>
                </c:pt>
                <c:pt idx="6">
                  <c:v>30109</c:v>
                </c:pt>
                <c:pt idx="7">
                  <c:v>30110</c:v>
                </c:pt>
                <c:pt idx="8">
                  <c:v>30111</c:v>
                </c:pt>
                <c:pt idx="9">
                  <c:v>30112</c:v>
                </c:pt>
                <c:pt idx="10">
                  <c:v>30113</c:v>
                </c:pt>
                <c:pt idx="11">
                  <c:v>30114</c:v>
                </c:pt>
                <c:pt idx="12">
                  <c:v>30199</c:v>
                </c:pt>
              </c:numCache>
            </c:numRef>
          </c:cat>
          <c:val>
            <c:numRef>
              <c:f>Sheet1!$B$2:$B$14</c:f>
              <c:numCache>
                <c:formatCode>#,##0.00</c:formatCode>
                <c:ptCount val="13"/>
                <c:pt idx="0">
                  <c:v>418.0572</c:v>
                </c:pt>
                <c:pt idx="1">
                  <c:v>130.9013</c:v>
                </c:pt>
                <c:pt idx="2">
                  <c:v>403.11216</c:v>
                </c:pt>
                <c:pt idx="3" c:formatCode="General">
                  <c:v>0</c:v>
                </c:pt>
                <c:pt idx="4">
                  <c:v>204.14622</c:v>
                </c:pt>
                <c:pt idx="5">
                  <c:v>138.16752</c:v>
                </c:pt>
                <c:pt idx="6" c:formatCode="General">
                  <c:v>0</c:v>
                </c:pt>
                <c:pt idx="7">
                  <c:v>54.489077</c:v>
                </c:pt>
                <c:pt idx="8" c:formatCode="General">
                  <c:v>0</c:v>
                </c:pt>
                <c:pt idx="9">
                  <c:v>6.783046</c:v>
                </c:pt>
                <c:pt idx="10">
                  <c:v>103.5653</c:v>
                </c:pt>
                <c:pt idx="11" c:formatCode="General">
                  <c:v>0</c:v>
                </c:pt>
                <c:pt idx="12" c:formatCode="General">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0.00"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商品和服务支出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Sheet1!$A$2:$A$28</c:f>
              <c:numCache>
                <c:formatCode>General</c:formatCode>
                <c:ptCount val="27"/>
                <c:pt idx="0">
                  <c:v>30201</c:v>
                </c:pt>
                <c:pt idx="1">
                  <c:v>30202</c:v>
                </c:pt>
                <c:pt idx="2">
                  <c:v>30203</c:v>
                </c:pt>
                <c:pt idx="3">
                  <c:v>30204</c:v>
                </c:pt>
                <c:pt idx="4">
                  <c:v>30205</c:v>
                </c:pt>
                <c:pt idx="5">
                  <c:v>30206</c:v>
                </c:pt>
                <c:pt idx="6">
                  <c:v>30207</c:v>
                </c:pt>
                <c:pt idx="7">
                  <c:v>30208</c:v>
                </c:pt>
                <c:pt idx="8">
                  <c:v>30209</c:v>
                </c:pt>
                <c:pt idx="9">
                  <c:v>30211</c:v>
                </c:pt>
                <c:pt idx="10">
                  <c:v>30212</c:v>
                </c:pt>
                <c:pt idx="11">
                  <c:v>30213</c:v>
                </c:pt>
                <c:pt idx="12">
                  <c:v>30214</c:v>
                </c:pt>
                <c:pt idx="13">
                  <c:v>30215</c:v>
                </c:pt>
                <c:pt idx="14">
                  <c:v>30216</c:v>
                </c:pt>
                <c:pt idx="15">
                  <c:v>30217</c:v>
                </c:pt>
                <c:pt idx="16">
                  <c:v>30218</c:v>
                </c:pt>
                <c:pt idx="17">
                  <c:v>30224</c:v>
                </c:pt>
                <c:pt idx="18">
                  <c:v>30225</c:v>
                </c:pt>
                <c:pt idx="19">
                  <c:v>30226</c:v>
                </c:pt>
                <c:pt idx="20">
                  <c:v>30227</c:v>
                </c:pt>
                <c:pt idx="21">
                  <c:v>30228</c:v>
                </c:pt>
                <c:pt idx="22">
                  <c:v>30229</c:v>
                </c:pt>
                <c:pt idx="23">
                  <c:v>30231</c:v>
                </c:pt>
                <c:pt idx="24">
                  <c:v>30239</c:v>
                </c:pt>
                <c:pt idx="25">
                  <c:v>30240</c:v>
                </c:pt>
                <c:pt idx="26">
                  <c:v>30299</c:v>
                </c:pt>
              </c:numCache>
            </c:numRef>
          </c:cat>
          <c:val>
            <c:numRef>
              <c:f>Sheet1!$B$2:$B$28</c:f>
              <c:numCache>
                <c:formatCode>General</c:formatCode>
                <c:ptCount val="27"/>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18.86</c:v>
                </c:pt>
                <c:pt idx="22">
                  <c:v>0</c:v>
                </c:pt>
                <c:pt idx="23">
                  <c:v>0</c:v>
                </c:pt>
                <c:pt idx="24">
                  <c:v>0</c:v>
                </c:pt>
                <c:pt idx="25">
                  <c:v>0</c:v>
                </c:pt>
                <c:pt idx="26">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38</Pages>
  <Words>3332</Words>
  <Characters>4258</Characters>
  <Lines>90</Lines>
  <Paragraphs>25</Paragraphs>
  <TotalTime>6</TotalTime>
  <ScaleCrop>false</ScaleCrop>
  <LinksUpToDate>false</LinksUpToDate>
  <CharactersWithSpaces>4314</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2023-08-17T02:06:00Z</dcterms:created>
  <dc:creator>C D D</dc:creator>
  <cp:lastModifiedBy>Administrator</cp:lastModifiedBy>
  <dcterms:modified xsi:type="dcterms:W3CDTF">2024-12-31T08:29:21Z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843F27823027460BAAAF19DF60EFFF0C_13</vt:lpwstr>
  </property>
  <property fmtid="{D5CDD505-2E9C-101B-9397-08002B2CF9AE}" pid="4" name="KSOTemplateDocerSaveRecord">
    <vt:lpwstr>eyJoZGlkIjoiYmFlM2U2OWY5MzUyNGUzZGM4MDRhMWZkNDhmZTdkZTEifQ==</vt:lpwstr>
  </property>
</Properties>
</file>