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环江毛南族自治县教育局（本级）202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both"/>
        <w:rPr>
          <w:rFonts w:hint="eastAsia" w:ascii="黑体" w:hAnsi="黑体" w:eastAsia="黑体" w:cs="黑体"/>
          <w:b/>
          <w:bCs/>
          <w:sz w:val="36"/>
          <w:szCs w:val="36"/>
          <w:highlight w:val="none"/>
          <w:lang w:eastAsia="zh-CN"/>
        </w:rPr>
      </w:pPr>
    </w:p>
    <w:p>
      <w:pPr>
        <w:ind w:firstLine="2168" w:firstLineChars="600"/>
        <w:jc w:val="both"/>
        <w:rPr>
          <w:rFonts w:hint="default" w:ascii="仿宋" w:hAnsi="仿宋" w:eastAsia="仿宋" w:cs="仿宋"/>
          <w:sz w:val="32"/>
          <w:szCs w:val="32"/>
          <w:highlight w:val="none"/>
          <w:lang w:val="en-US"/>
        </w:rPr>
      </w:pPr>
      <w:r>
        <w:rPr>
          <w:rFonts w:hint="eastAsia" w:ascii="黑体" w:hAnsi="黑体" w:eastAsia="黑体" w:cs="黑体"/>
          <w:b/>
          <w:bCs/>
          <w:sz w:val="36"/>
          <w:szCs w:val="36"/>
          <w:highlight w:val="none"/>
          <w:lang w:eastAsia="zh-CN"/>
        </w:rPr>
        <w:t>单位负责人：</w:t>
      </w:r>
      <w:r>
        <w:rPr>
          <w:rFonts w:hint="eastAsia" w:ascii="黑体" w:hAnsi="黑体" w:eastAsia="黑体" w:cs="黑体"/>
          <w:b/>
          <w:bCs/>
          <w:sz w:val="36"/>
          <w:szCs w:val="36"/>
          <w:highlight w:val="none"/>
          <w:lang w:val="en-US" w:eastAsia="zh-CN"/>
        </w:rPr>
        <w:t>郑志咏</w:t>
      </w:r>
    </w:p>
    <w:p>
      <w:pPr>
        <w:ind w:firstLine="2530" w:firstLineChars="700"/>
        <w:jc w:val="both"/>
        <w:rPr>
          <w:rFonts w:hint="eastAsia" w:ascii="黑体" w:hAnsi="黑体" w:eastAsia="黑体" w:cs="黑体"/>
          <w:b/>
          <w:bCs/>
          <w:sz w:val="36"/>
          <w:szCs w:val="36"/>
          <w:highlight w:val="none"/>
          <w:lang w:val="en"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w:t>
      </w:r>
      <w:r>
        <w:rPr>
          <w:rFonts w:hint="eastAsia" w:ascii="黑体" w:hAnsi="黑体" w:eastAsia="黑体" w:cs="黑体"/>
          <w:b/>
          <w:bCs/>
          <w:sz w:val="36"/>
          <w:szCs w:val="36"/>
          <w:highlight w:val="none"/>
          <w:lang w:val="en" w:eastAsia="zh-CN"/>
        </w:rPr>
        <w:t>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环江毛南族自治县教育局（本级）</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环江毛南族自治县教育局（本级）</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环江毛南族自治县教育局（本级）</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环江毛南族自治县教育局（本级）</w:t>
      </w:r>
      <w:r>
        <w:rPr>
          <w:rFonts w:hint="eastAsia" w:ascii="黑体" w:hAnsi="黑体" w:eastAsia="黑体" w:cs="黑体"/>
          <w:b/>
          <w:bCs/>
          <w:sz w:val="32"/>
          <w:szCs w:val="32"/>
          <w:highlight w:val="none"/>
        </w:rPr>
        <w:t>概况</w:t>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（一）贯彻执行党和国家的教育方针、政策和法律法规；拟订全县教育改革与发展规划并组织实施。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 （二）编制本县教育事业发展规划并检查实施情况，向自治县人民政府和上级教育部门作出报告。</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（三）督促检查全县贯彻执行教育方针、政策、法令、法规和上级的各项规定；评估指导全县教育教学工作。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（四）负责推进义务教育均衡发展和促进教育公平，负责义务教育的宏观指导与协调，指导普通高中教育、职业技术教育、成人教育、民族教育、幼儿教育和特殊教育工作。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（五）负责全县教育系统校长队伍、人才队伍和教师队伍建设，包括校长岗位培训、后备干部队伍建设、教师学历教育、继续教育等。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（六）负责组织全县做好中考、高中毕业会考、高考的考务工作、招生录取工作和中小学学籍管理工作。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（七）按照中央关于全面推进素质教育要求，负责教育教学管理、教育教学改革及教育教学科学研究工作，检查指导全县实施素质教育工作，并组织推广先进的教育教学经验。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（八）检查指导学校教育教学设备的装备、管理和使用工作。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（九）检查指导全县开展电化教育和信息化教学工作。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（十）负责全县教师初级专业技术职务资格的评审，中、高级专业技术职务资格的申报工作。按照管理权限对教师进行考核、聘任、奖惩、晋升等工作。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（十一）负责监督审计全县教育经费和教育基建经费拨付及教育附加费和教育费附加的征收、管理与使用工作。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（十二）负责全县中小学校教学教育常规管理评估工作，指导全县中小学、中职学校德育、体育、卫生、艺术、安全工作以及团组织和少先队工作。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（十三）指导全县的教育督导工作，组织和指导对中等及中等以下教育，扫除青壮年文盲工作的督导检查和评估工作，指导基础教育发展水平、质量的监测工作。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（十四）检查指导基础教育阶段民办教育、高中阶段民办教育办学工作。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（十五）负责指导全县学生资助管理工作。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（十六）负责语言文字和指导推广普通话工作。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（十七）</w:t>
      </w:r>
      <w:r>
        <w:rPr>
          <w:rFonts w:hint="eastAsia" w:ascii="仿宋_GB2312" w:eastAsia="仿宋_GB2312" w:cs="仿宋_GB2312"/>
          <w:color w:val="auto"/>
          <w:kern w:val="0"/>
          <w:sz w:val="32"/>
          <w:szCs w:val="32"/>
          <w:lang w:eastAsia="zh-CN"/>
        </w:rPr>
        <w:t>承办</w:t>
      </w:r>
      <w:r>
        <w:rPr>
          <w:rFonts w:hint="eastAsia" w:ascii="仿宋_GB2312" w:eastAsia="仿宋_GB2312" w:cs="仿宋_GB2312"/>
          <w:color w:val="auto"/>
          <w:kern w:val="0"/>
          <w:sz w:val="32"/>
          <w:szCs w:val="32"/>
        </w:rPr>
        <w:t>自治县人民政府交办的其他工作。</w:t>
      </w:r>
    </w:p>
    <w:p>
      <w:pPr>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二、部门决算单位构成</w:t>
      </w:r>
    </w:p>
    <w:p>
      <w:pPr>
        <w:spacing w:line="460" w:lineRule="exact"/>
        <w:ind w:firstLine="543" w:firstLineChars="193"/>
        <w:rPr>
          <w:rFonts w:hint="eastAsia" w:ascii="宋体" w:hAnsi="宋体" w:cs="宋体"/>
          <w:b/>
          <w:bCs/>
          <w:color w:val="auto"/>
          <w:sz w:val="28"/>
          <w:szCs w:val="28"/>
        </w:rPr>
      </w:pPr>
      <w:r>
        <w:rPr>
          <w:rFonts w:hint="eastAsia" w:ascii="宋体" w:hAnsi="宋体" w:cs="宋体"/>
          <w:b/>
          <w:bCs/>
          <w:color w:val="auto"/>
          <w:sz w:val="28"/>
          <w:szCs w:val="28"/>
        </w:rPr>
        <w:t>（一）内设机构情况</w:t>
      </w:r>
    </w:p>
    <w:p>
      <w:pPr>
        <w:spacing w:line="460" w:lineRule="exact"/>
        <w:ind w:firstLine="617" w:firstLineChars="193"/>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教育局有十</w:t>
      </w:r>
      <w:r>
        <w:rPr>
          <w:rFonts w:hint="eastAsia" w:ascii="仿宋_GB2312" w:eastAsia="仿宋_GB2312" w:cs="仿宋_GB2312"/>
          <w:color w:val="auto"/>
          <w:kern w:val="0"/>
          <w:sz w:val="32"/>
          <w:szCs w:val="32"/>
          <w:lang w:eastAsia="zh-CN"/>
        </w:rPr>
        <w:t>三</w:t>
      </w:r>
      <w:r>
        <w:rPr>
          <w:rFonts w:hint="eastAsia" w:ascii="仿宋_GB2312" w:eastAsia="仿宋_GB2312" w:cs="仿宋_GB2312"/>
          <w:color w:val="auto"/>
          <w:kern w:val="0"/>
          <w:sz w:val="32"/>
          <w:szCs w:val="32"/>
        </w:rPr>
        <w:t>个内设机构，分别为：行政办公室、</w:t>
      </w:r>
      <w:r>
        <w:rPr>
          <w:rFonts w:hint="eastAsia" w:ascii="仿宋_GB2312" w:eastAsia="仿宋_GB2312" w:cs="仿宋_GB2312"/>
          <w:color w:val="auto"/>
          <w:kern w:val="0"/>
          <w:sz w:val="32"/>
          <w:szCs w:val="32"/>
          <w:lang w:eastAsia="zh-CN"/>
        </w:rPr>
        <w:t>语委办</w:t>
      </w:r>
      <w:r>
        <w:rPr>
          <w:rFonts w:hint="eastAsia" w:ascii="仿宋_GB2312" w:eastAsia="仿宋_GB2312" w:cs="仿宋_GB2312"/>
          <w:color w:val="auto"/>
          <w:kern w:val="0"/>
          <w:sz w:val="32"/>
          <w:szCs w:val="32"/>
        </w:rPr>
        <w:t>、规划建设股、计划财务股、职业教育与成人教育股、教育督导室、学生营养改善办、人事股、</w:t>
      </w:r>
      <w:r>
        <w:rPr>
          <w:rFonts w:hint="eastAsia" w:ascii="仿宋_GB2312" w:eastAsia="仿宋_GB2312" w:cs="仿宋_GB2312"/>
          <w:color w:val="auto"/>
          <w:kern w:val="0"/>
          <w:sz w:val="32"/>
          <w:szCs w:val="32"/>
          <w:lang w:eastAsia="zh-CN"/>
        </w:rPr>
        <w:t>学前教育管理中心</w:t>
      </w:r>
      <w:r>
        <w:rPr>
          <w:rFonts w:hint="eastAsia" w:ascii="仿宋_GB2312" w:eastAsia="仿宋_GB2312" w:cs="仿宋_GB2312"/>
          <w:color w:val="auto"/>
          <w:kern w:val="0"/>
          <w:sz w:val="32"/>
          <w:szCs w:val="32"/>
        </w:rPr>
        <w:t>、电教站、德育室、安全办</w:t>
      </w:r>
      <w:r>
        <w:rPr>
          <w:rFonts w:hint="eastAsia" w:ascii="仿宋_GB2312" w:eastAsia="仿宋_GB2312" w:cs="仿宋_GB2312"/>
          <w:color w:val="auto"/>
          <w:kern w:val="0"/>
          <w:sz w:val="32"/>
          <w:szCs w:val="32"/>
          <w:lang w:eastAsia="zh-CN"/>
        </w:rPr>
        <w:t>、教师培训中心</w:t>
      </w:r>
      <w:r>
        <w:rPr>
          <w:rFonts w:hint="eastAsia" w:ascii="仿宋_GB2312" w:eastAsia="仿宋_GB2312" w:cs="仿宋_GB2312"/>
          <w:color w:val="auto"/>
          <w:kern w:val="0"/>
          <w:sz w:val="32"/>
          <w:szCs w:val="32"/>
        </w:rPr>
        <w:t>。</w:t>
      </w:r>
    </w:p>
    <w:p>
      <w:pPr>
        <w:spacing w:line="460" w:lineRule="exact"/>
        <w:ind w:firstLine="543" w:firstLineChars="193"/>
        <w:rPr>
          <w:rFonts w:hint="eastAsia" w:ascii="宋体" w:hAnsi="宋体" w:cs="宋体"/>
          <w:b/>
          <w:bCs/>
          <w:color w:val="auto"/>
          <w:sz w:val="28"/>
          <w:szCs w:val="28"/>
        </w:rPr>
      </w:pPr>
      <w:r>
        <w:rPr>
          <w:rFonts w:hint="eastAsia" w:ascii="宋体" w:hAnsi="宋体" w:cs="宋体"/>
          <w:b/>
          <w:bCs/>
          <w:color w:val="auto"/>
          <w:sz w:val="28"/>
          <w:szCs w:val="28"/>
        </w:rPr>
        <w:t>（二）二层机构情况</w:t>
      </w:r>
    </w:p>
    <w:p>
      <w:pPr>
        <w:ind w:firstLine="640" w:firstLineChars="200"/>
        <w:jc w:val="left"/>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仿宋_GB2312"/>
          <w:color w:val="auto"/>
          <w:kern w:val="0"/>
          <w:sz w:val="32"/>
          <w:szCs w:val="32"/>
        </w:rPr>
        <w:t>教育局有</w:t>
      </w:r>
      <w:r>
        <w:rPr>
          <w:rFonts w:hint="eastAsia" w:ascii="仿宋_GB2312" w:eastAsia="仿宋_GB2312" w:cs="仿宋_GB2312"/>
          <w:color w:val="auto"/>
          <w:kern w:val="0"/>
          <w:sz w:val="32"/>
          <w:szCs w:val="32"/>
          <w:lang w:eastAsia="zh-CN"/>
        </w:rPr>
        <w:t>六</w:t>
      </w:r>
      <w:r>
        <w:rPr>
          <w:rFonts w:hint="eastAsia" w:ascii="仿宋_GB2312" w:eastAsia="仿宋_GB2312" w:cs="仿宋_GB2312"/>
          <w:color w:val="auto"/>
          <w:kern w:val="0"/>
          <w:sz w:val="32"/>
          <w:szCs w:val="32"/>
        </w:rPr>
        <w:t>个二层机构分别为：学生资助管理中心、教育经费代管理中心、青少年校外活动中心、招生考试</w:t>
      </w:r>
      <w:r>
        <w:rPr>
          <w:rFonts w:hint="eastAsia" w:ascii="仿宋_GB2312" w:eastAsia="仿宋_GB2312" w:cs="仿宋_GB2312"/>
          <w:color w:val="auto"/>
          <w:kern w:val="0"/>
          <w:sz w:val="32"/>
          <w:szCs w:val="32"/>
          <w:lang w:eastAsia="zh-CN"/>
        </w:rPr>
        <w:t>服务中心</w:t>
      </w:r>
      <w:r>
        <w:rPr>
          <w:rFonts w:hint="eastAsia" w:ascii="仿宋_GB2312" w:eastAsia="仿宋_GB2312" w:cs="仿宋_GB2312"/>
          <w:color w:val="auto"/>
          <w:kern w:val="0"/>
          <w:sz w:val="32"/>
          <w:szCs w:val="32"/>
        </w:rPr>
        <w:t>、教育科学研究室、</w:t>
      </w:r>
      <w:r>
        <w:rPr>
          <w:rFonts w:hint="eastAsia" w:ascii="仿宋_GB2312" w:eastAsia="仿宋_GB2312" w:cs="仿宋_GB2312"/>
          <w:color w:val="auto"/>
          <w:kern w:val="0"/>
          <w:sz w:val="32"/>
          <w:szCs w:val="32"/>
          <w:lang w:eastAsia="zh-CN"/>
        </w:rPr>
        <w:t>教育综合发展中心</w:t>
      </w:r>
      <w:r>
        <w:rPr>
          <w:rFonts w:hint="eastAsia" w:ascii="仿宋_GB2312" w:eastAsia="仿宋_GB2312" w:cs="仿宋_GB2312"/>
          <w:color w:val="auto"/>
          <w:kern w:val="0"/>
          <w:sz w:val="32"/>
          <w:szCs w:val="32"/>
        </w:rPr>
        <w:t>。</w:t>
      </w: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环江毛南族自治县教育局（本级）</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4070" w:type="dxa"/>
        <w:tblInd w:w="93" w:type="dxa"/>
        <w:tblLayout w:type="fixed"/>
        <w:tblCellMar>
          <w:top w:w="0" w:type="dxa"/>
          <w:left w:w="108" w:type="dxa"/>
          <w:bottom w:w="0" w:type="dxa"/>
          <w:right w:w="108" w:type="dxa"/>
        </w:tblCellMar>
      </w:tblPr>
      <w:tblGrid>
        <w:gridCol w:w="3"/>
        <w:gridCol w:w="2543"/>
        <w:gridCol w:w="1307"/>
        <w:gridCol w:w="1020"/>
        <w:gridCol w:w="66"/>
        <w:gridCol w:w="2096"/>
        <w:gridCol w:w="135"/>
        <w:gridCol w:w="2669"/>
        <w:gridCol w:w="884"/>
        <w:gridCol w:w="1005"/>
        <w:gridCol w:w="313"/>
        <w:gridCol w:w="1892"/>
        <w:gridCol w:w="10"/>
      </w:tblGrid>
      <w:tr>
        <w:tblPrEx>
          <w:tblCellMar>
            <w:top w:w="0" w:type="dxa"/>
            <w:left w:w="108" w:type="dxa"/>
            <w:bottom w:w="0" w:type="dxa"/>
            <w:right w:w="108" w:type="dxa"/>
          </w:tblCellMar>
        </w:tblPrEx>
        <w:trPr>
          <w:gridBefore w:val="1"/>
          <w:wBefore w:w="3" w:type="dxa"/>
          <w:trHeight w:val="902" w:hRule="atLeast"/>
        </w:trPr>
        <w:tc>
          <w:tcPr>
            <w:tcW w:w="1394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gridBefore w:val="1"/>
          <w:wBefore w:w="3" w:type="dxa"/>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gridBefore w:val="1"/>
          <w:wBefore w:w="3" w:type="dxa"/>
          <w:trHeight w:val="301" w:hRule="atLeast"/>
        </w:trPr>
        <w:tc>
          <w:tcPr>
            <w:tcW w:w="7167"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703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898"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7,242.24</w:t>
            </w: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646.00</w:t>
            </w: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7,888.24</w:t>
            </w: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7,888.24</w:t>
            </w: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13933" w:type="dxa"/>
            <w:gridSpan w:val="12"/>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00" w:hRule="atLeast"/>
        </w:trPr>
        <w:tc>
          <w:tcPr>
            <w:tcW w:w="13933" w:type="dxa"/>
            <w:gridSpan w:val="12"/>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hint="eastAsia"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tbl>
      <w:tblPr>
        <w:tblStyle w:val="6"/>
        <w:tblW w:w="14790" w:type="dxa"/>
        <w:tblInd w:w="93" w:type="dxa"/>
        <w:tblLayout w:type="fixed"/>
        <w:tblCellMar>
          <w:top w:w="0" w:type="dxa"/>
          <w:left w:w="108" w:type="dxa"/>
          <w:bottom w:w="0" w:type="dxa"/>
          <w:right w:w="108" w:type="dxa"/>
        </w:tblCellMar>
      </w:tblPr>
      <w:tblGrid>
        <w:gridCol w:w="3"/>
        <w:gridCol w:w="1300"/>
        <w:gridCol w:w="1662"/>
        <w:gridCol w:w="236"/>
        <w:gridCol w:w="236"/>
        <w:gridCol w:w="2126"/>
        <w:gridCol w:w="1131"/>
        <w:gridCol w:w="1373"/>
        <w:gridCol w:w="1036"/>
        <w:gridCol w:w="1110"/>
        <w:gridCol w:w="1041"/>
        <w:gridCol w:w="1440"/>
        <w:gridCol w:w="1269"/>
      </w:tblGrid>
      <w:tr>
        <w:tblPrEx>
          <w:tblCellMar>
            <w:top w:w="0" w:type="dxa"/>
            <w:left w:w="108" w:type="dxa"/>
            <w:bottom w:w="0" w:type="dxa"/>
            <w:right w:w="108" w:type="dxa"/>
          </w:tblCellMar>
        </w:tblPrEx>
        <w:trPr>
          <w:gridBefore w:val="1"/>
          <w:wBefore w:w="3" w:type="dxa"/>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gridBefore w:val="1"/>
          <w:wBefore w:w="3" w:type="dxa"/>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2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gridBefore w:val="1"/>
          <w:wBefore w:w="3" w:type="dxa"/>
          <w:trHeight w:val="317" w:hRule="atLeast"/>
        </w:trPr>
        <w:tc>
          <w:tcPr>
            <w:tcW w:w="806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1036"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Before w:val="1"/>
          <w:wBefore w:w="3" w:type="dxa"/>
          <w:trHeight w:val="327" w:hRule="atLeast"/>
        </w:trPr>
        <w:tc>
          <w:tcPr>
            <w:tcW w:w="55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1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事业收入</w:t>
            </w:r>
          </w:p>
        </w:tc>
        <w:tc>
          <w:tcPr>
            <w:tcW w:w="10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gridBefore w:val="1"/>
          <w:wBefore w:w="3" w:type="dxa"/>
          <w:trHeight w:val="327" w:hRule="atLeast"/>
        </w:trPr>
        <w:tc>
          <w:tcPr>
            <w:tcW w:w="13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426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1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wBefore w:w="3" w:type="dxa"/>
          <w:trHeight w:val="327" w:hRule="atLeast"/>
        </w:trPr>
        <w:tc>
          <w:tcPr>
            <w:tcW w:w="13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6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wBefore w:w="3" w:type="dxa"/>
          <w:trHeight w:val="327" w:hRule="atLeast"/>
        </w:trPr>
        <w:tc>
          <w:tcPr>
            <w:tcW w:w="13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6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wBefore w:w="3" w:type="dxa"/>
          <w:trHeight w:val="327" w:hRule="atLeast"/>
        </w:trPr>
        <w:tc>
          <w:tcPr>
            <w:tcW w:w="55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108" w:type="dxa"/>
            <w:bottom w:w="0" w:type="dxa"/>
            <w:right w:w="108" w:type="dxa"/>
          </w:tblCellMar>
        </w:tblPrEx>
        <w:trPr>
          <w:gridBefore w:val="1"/>
          <w:wBefore w:w="3" w:type="dxa"/>
          <w:trHeight w:val="461" w:hRule="atLeast"/>
        </w:trPr>
        <w:tc>
          <w:tcPr>
            <w:tcW w:w="55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7,888.24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7,888.24</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13.00</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2050101</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93.64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93.64</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2050199</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694.66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694.66</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2050201</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学前教育</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151.38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151.38</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2050202</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小学教育</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16.25</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2050204</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高中教育</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828.21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828.21</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2050205</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高等教育</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47.86</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2,584.15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2,584.15</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2050302</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中等职业教育</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145.26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145.26</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2050799</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其他特殊教育支出</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25.00</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2050999</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897.94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897.94</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2059999</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其他教育支出</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0.25</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105.21</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2100410</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48.19</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2121903</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城市建设支出</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340.18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340.18</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2130504</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1,040.00</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2130599</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356.08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356.08</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78.85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78.85</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2296004</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305.83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305.83</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wBefore w:w="3" w:type="dxa"/>
          <w:trHeight w:val="327"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116.31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116.31</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963" w:type="dxa"/>
            <w:gridSpan w:val="13"/>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W w:w="13980" w:type="dxa"/>
        <w:tblInd w:w="96" w:type="dxa"/>
        <w:tblLayout w:type="fixed"/>
        <w:tblCellMar>
          <w:top w:w="0" w:type="dxa"/>
          <w:left w:w="108" w:type="dxa"/>
          <w:bottom w:w="0" w:type="dxa"/>
          <w:right w:w="108" w:type="dxa"/>
        </w:tblCellMar>
      </w:tblPr>
      <w:tblGrid>
        <w:gridCol w:w="1142"/>
        <w:gridCol w:w="237"/>
        <w:gridCol w:w="303"/>
        <w:gridCol w:w="2222"/>
        <w:gridCol w:w="1506"/>
        <w:gridCol w:w="121"/>
        <w:gridCol w:w="1319"/>
        <w:gridCol w:w="361"/>
        <w:gridCol w:w="1259"/>
        <w:gridCol w:w="501"/>
        <w:gridCol w:w="1239"/>
        <w:gridCol w:w="1050"/>
        <w:gridCol w:w="1018"/>
        <w:gridCol w:w="1702"/>
      </w:tblGrid>
      <w:tr>
        <w:tblPrEx>
          <w:tblCellMar>
            <w:top w:w="0" w:type="dxa"/>
            <w:left w:w="108" w:type="dxa"/>
            <w:bottom w:w="0" w:type="dxa"/>
            <w:right w:w="108" w:type="dxa"/>
          </w:tblCellMar>
        </w:tblPrEx>
        <w:trPr>
          <w:trHeight w:val="623" w:hRule="atLeast"/>
        </w:trPr>
        <w:tc>
          <w:tcPr>
            <w:tcW w:w="13980" w:type="dxa"/>
            <w:gridSpan w:val="14"/>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89"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1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10"/>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2289" w:type="dxa"/>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18"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54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17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1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CellMar>
            <w:top w:w="0" w:type="dxa"/>
            <w:left w:w="108" w:type="dxa"/>
            <w:bottom w:w="0" w:type="dxa"/>
            <w:right w:w="108" w:type="dxa"/>
          </w:tblCellMar>
        </w:tblPrEx>
        <w:trPr>
          <w:trHeight w:val="322" w:hRule="atLeast"/>
        </w:trPr>
        <w:tc>
          <w:tcPr>
            <w:tcW w:w="1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4268"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6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54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363" w:hRule="exact"/>
        </w:trPr>
        <w:tc>
          <w:tcPr>
            <w:tcW w:w="54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7,888.24</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1,291.88</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6,596.36</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13.00</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13.00</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2050101</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93.64</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93.64</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2050199</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694.66</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609.31</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85.35</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2050201</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学前教育</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151.38</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151.38</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2050202</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小学教育</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16.25</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16.25</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2050204</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高中教育</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828.21</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828.21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2050205</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高等教育</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47.86</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47.86</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2,584.15</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275.56</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2,308.58</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2050302</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中等职业教育</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145.26</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145.26</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2050799</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其他特殊教育支出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25.00</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2050999</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897.94</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897.94</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2059999</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其他教育支出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0.25</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0.25</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105.21</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105.21</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2100410</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48.19</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48.19</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2121903</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城市建设支出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340.18</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340.18</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2130504</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1,040.00</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1,040.00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2130599</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356.08</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356.08</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78.85</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78.85</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2296004</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305.83</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305.83</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42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116.31</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116.31</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3980" w:type="dxa"/>
            <w:gridSpan w:val="14"/>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4968" w:type="pct"/>
        <w:tblInd w:w="0" w:type="dxa"/>
        <w:tblLayout w:type="fixed"/>
        <w:tblCellMar>
          <w:top w:w="0" w:type="dxa"/>
          <w:left w:w="108" w:type="dxa"/>
          <w:bottom w:w="0" w:type="dxa"/>
          <w:right w:w="108" w:type="dxa"/>
        </w:tblCellMar>
      </w:tblPr>
      <w:tblGrid>
        <w:gridCol w:w="3510"/>
        <w:gridCol w:w="435"/>
        <w:gridCol w:w="1336"/>
        <w:gridCol w:w="3687"/>
        <w:gridCol w:w="558"/>
        <w:gridCol w:w="428"/>
        <w:gridCol w:w="847"/>
        <w:gridCol w:w="55"/>
        <w:gridCol w:w="403"/>
        <w:gridCol w:w="465"/>
        <w:gridCol w:w="292"/>
        <w:gridCol w:w="538"/>
        <w:gridCol w:w="482"/>
        <w:gridCol w:w="1048"/>
      </w:tblGrid>
      <w:tr>
        <w:tblPrEx>
          <w:tblCellMar>
            <w:top w:w="0" w:type="dxa"/>
            <w:left w:w="108" w:type="dxa"/>
            <w:bottom w:w="0" w:type="dxa"/>
            <w:right w:w="108" w:type="dxa"/>
          </w:tblCellMar>
        </w:tblPrEx>
        <w:trPr>
          <w:trHeight w:val="386" w:hRule="atLeast"/>
        </w:trPr>
        <w:tc>
          <w:tcPr>
            <w:tcW w:w="5000" w:type="pct"/>
            <w:gridSpan w:val="1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193" w:hRule="atLeast"/>
        </w:trPr>
        <w:tc>
          <w:tcPr>
            <w:tcW w:w="12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7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8" w:type="pct"/>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4"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43"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193" w:hRule="atLeast"/>
        </w:trPr>
        <w:tc>
          <w:tcPr>
            <w:tcW w:w="3381" w:type="pct"/>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452"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02" w:type="pct"/>
            <w:gridSpan w:val="5"/>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41" w:hRule="atLeast"/>
        </w:trPr>
        <w:tc>
          <w:tcPr>
            <w:tcW w:w="187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     入</w:t>
            </w:r>
          </w:p>
        </w:tc>
        <w:tc>
          <w:tcPr>
            <w:tcW w:w="3125"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trHeight w:val="1164" w:hRule="atLeast"/>
        </w:trPr>
        <w:tc>
          <w:tcPr>
            <w:tcW w:w="12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CellMar>
            <w:top w:w="0" w:type="dxa"/>
            <w:left w:w="108" w:type="dxa"/>
            <w:bottom w:w="0" w:type="dxa"/>
            <w:right w:w="108" w:type="dxa"/>
          </w:tblCellMar>
        </w:tblPrEx>
        <w:trPr>
          <w:trHeight w:val="310" w:hRule="atLeast"/>
        </w:trPr>
        <w:tc>
          <w:tcPr>
            <w:tcW w:w="12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586" w:hRule="atLeas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7,242.24</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13.00</w:t>
            </w: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13.00</w:t>
            </w: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646.00</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二、外交支出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三、国防支出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00" w:hRule="atLeas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五、教育支出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5,484.60</w:t>
            </w: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5,484.60</w:t>
            </w: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105.21</w:t>
            </w: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105.21</w:t>
            </w: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48.19</w:t>
            </w: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48.19</w:t>
            </w: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340.18</w:t>
            </w: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340.18</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1,396.08</w:t>
            </w: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1,396.08</w:t>
            </w: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78.85</w:t>
            </w: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78.85</w:t>
            </w: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422.13</w:t>
            </w: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116.31</w:t>
            </w: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305.83</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63"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06"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06"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7,888.24</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7,888.24</w:t>
            </w: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7,242.24</w:t>
            </w: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646.00</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06"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06"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06"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06"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06" w:hRule="exact"/>
        </w:trPr>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1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7,888.24</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1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7,888.24</w:t>
            </w:r>
          </w:p>
        </w:tc>
        <w:tc>
          <w:tcPr>
            <w:tcW w:w="4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7,242.24</w:t>
            </w:r>
          </w:p>
        </w:tc>
        <w:tc>
          <w:tcPr>
            <w:tcW w:w="3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646.00</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00" w:hRule="atLeast"/>
        </w:trPr>
        <w:tc>
          <w:tcPr>
            <w:tcW w:w="187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收     入</w:t>
            </w:r>
          </w:p>
        </w:tc>
        <w:tc>
          <w:tcPr>
            <w:tcW w:w="3125"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trHeight w:val="778" w:hRule="atLeast"/>
        </w:trPr>
        <w:tc>
          <w:tcPr>
            <w:tcW w:w="3854"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1145" w:type="pct"/>
            <w:gridSpan w:val="6"/>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3980" w:type="dxa"/>
        <w:tblInd w:w="96" w:type="dxa"/>
        <w:tblLayout w:type="fixed"/>
        <w:tblCellMar>
          <w:top w:w="0" w:type="dxa"/>
          <w:left w:w="108" w:type="dxa"/>
          <w:bottom w:w="0" w:type="dxa"/>
          <w:right w:w="108" w:type="dxa"/>
        </w:tblCellMar>
      </w:tblPr>
      <w:tblGrid>
        <w:gridCol w:w="1165"/>
        <w:gridCol w:w="1118"/>
        <w:gridCol w:w="238"/>
        <w:gridCol w:w="238"/>
        <w:gridCol w:w="2171"/>
        <w:gridCol w:w="2676"/>
        <w:gridCol w:w="378"/>
        <w:gridCol w:w="2305"/>
        <w:gridCol w:w="802"/>
        <w:gridCol w:w="2889"/>
      </w:tblGrid>
      <w:tr>
        <w:tblPrEx>
          <w:tblCellMar>
            <w:top w:w="0" w:type="dxa"/>
            <w:left w:w="108" w:type="dxa"/>
            <w:bottom w:w="0" w:type="dxa"/>
            <w:right w:w="108" w:type="dxa"/>
          </w:tblCellMar>
        </w:tblPrEx>
        <w:trPr>
          <w:trHeight w:val="693" w:hRule="atLeast"/>
        </w:trPr>
        <w:tc>
          <w:tcPr>
            <w:tcW w:w="1398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5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310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93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9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53" w:hRule="atLeast"/>
        </w:trPr>
        <w:tc>
          <w:tcPr>
            <w:tcW w:w="11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3765"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26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268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369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19"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6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6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93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58" w:hRule="atLeast"/>
        </w:trPr>
        <w:tc>
          <w:tcPr>
            <w:tcW w:w="493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7,242.24</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1,291.88</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5,950.35</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13.00</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13.00</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2050101</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93.64</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93.64</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2050199</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694.66</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609.31</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85.35</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2050201</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学前教育</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151.38</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151.38</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2050202</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小学教育</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16.25</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16.25</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2050204</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高中教育</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828.21</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828.21</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2050205</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高等教育</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47.86</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47.86</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2050299</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2,584.15</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275.56</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2,308.58</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2050302</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中等职业教育</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145.26</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145.26</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2050799</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其他特殊教育支出</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25.00</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25.00</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2050999</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897.94</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897.94</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2059999</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0.25</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0.25</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105.21</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105.21</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2100410</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48.19</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48.19</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2130504</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1,040.00</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1,040.00</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2130599</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356.08</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356.08</w:t>
            </w: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78.85</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78.85</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37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26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116.31</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116.31</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3980" w:type="dxa"/>
            <w:gridSpan w:val="10"/>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4000" w:type="dxa"/>
        <w:tblInd w:w="96" w:type="dxa"/>
        <w:tblLayout w:type="fixed"/>
        <w:tblCellMar>
          <w:top w:w="0" w:type="dxa"/>
          <w:left w:w="108" w:type="dxa"/>
          <w:bottom w:w="0" w:type="dxa"/>
          <w:right w:w="108" w:type="dxa"/>
        </w:tblCellMar>
      </w:tblPr>
      <w:tblGrid>
        <w:gridCol w:w="805"/>
        <w:gridCol w:w="302"/>
        <w:gridCol w:w="2371"/>
        <w:gridCol w:w="702"/>
        <w:gridCol w:w="1155"/>
        <w:gridCol w:w="870"/>
        <w:gridCol w:w="2006"/>
        <w:gridCol w:w="4"/>
        <w:gridCol w:w="915"/>
        <w:gridCol w:w="810"/>
        <w:gridCol w:w="604"/>
        <w:gridCol w:w="2147"/>
        <w:gridCol w:w="502"/>
        <w:gridCol w:w="807"/>
      </w:tblGrid>
      <w:tr>
        <w:tblPrEx>
          <w:tblCellMar>
            <w:top w:w="0" w:type="dxa"/>
            <w:left w:w="108" w:type="dxa"/>
            <w:bottom w:w="0" w:type="dxa"/>
            <w:right w:w="108" w:type="dxa"/>
          </w:tblCellMar>
        </w:tblPrEx>
        <w:trPr>
          <w:trHeight w:val="614" w:hRule="atLeast"/>
        </w:trPr>
        <w:tc>
          <w:tcPr>
            <w:tcW w:w="14000" w:type="dxa"/>
            <w:gridSpan w:val="1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5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9"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1729"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04"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533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866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397" w:hRule="exact"/>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1,176.89</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27.17</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End w:id="0"/>
            <w:bookmarkStart w:id="1" w:name="OLE_LINK4"/>
            <w:bookmarkEnd w:id="1"/>
            <w:r>
              <w:rPr>
                <w:rFonts w:hint="eastAsia" w:ascii="宋体" w:hAnsi="宋体" w:eastAsia="宋体" w:cs="宋体"/>
                <w:i w:val="0"/>
                <w:iCs w:val="0"/>
                <w:color w:val="000000"/>
                <w:kern w:val="0"/>
                <w:sz w:val="22"/>
                <w:szCs w:val="22"/>
                <w:u w:val="none"/>
                <w:lang w:val="en-US" w:eastAsia="zh-CN" w:bidi="ar"/>
              </w:rPr>
              <w:t xml:space="preserve">  基本工资</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318.31</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0.40</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30701</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2" w:name="OLE_LINK4"/>
            <w:bookmarkEnd w:id="2"/>
            <w:bookmarkStart w:id="3" w:name="OLE_LINK3"/>
            <w:bookmarkEnd w:id="3"/>
            <w:r>
              <w:rPr>
                <w:rFonts w:hint="eastAsia" w:ascii="宋体" w:hAnsi="宋体" w:eastAsia="宋体" w:cs="宋体"/>
                <w:i w:val="0"/>
                <w:iCs w:val="0"/>
                <w:color w:val="000000"/>
                <w:kern w:val="0"/>
                <w:sz w:val="22"/>
                <w:szCs w:val="22"/>
                <w:u w:val="none"/>
                <w:lang w:val="en-US" w:eastAsia="zh-CN" w:bidi="ar"/>
              </w:rPr>
              <w:t xml:space="preserve">  津贴补贴</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48.89</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30702</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4" w:name="OLE_LINK3"/>
            <w:bookmarkEnd w:id="4"/>
            <w:bookmarkStart w:id="5" w:name="OLE_LINK4"/>
            <w:bookmarkEnd w:id="5"/>
            <w:r>
              <w:rPr>
                <w:rFonts w:hint="eastAsia" w:ascii="宋体" w:hAnsi="宋体" w:eastAsia="宋体" w:cs="宋体"/>
                <w:i w:val="0"/>
                <w:iCs w:val="0"/>
                <w:color w:val="000000"/>
                <w:kern w:val="0"/>
                <w:sz w:val="22"/>
                <w:szCs w:val="22"/>
                <w:u w:val="none"/>
                <w:lang w:val="en-US" w:eastAsia="zh-CN" w:bidi="ar"/>
              </w:rPr>
              <w:t xml:space="preserve">  奖金</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232.71</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6" w:name="OLE_LINK3"/>
            <w:bookmarkEnd w:id="6"/>
            <w:bookmarkStart w:id="7" w:name="OLE_LINK4"/>
            <w:bookmarkEnd w:id="7"/>
            <w:r>
              <w:rPr>
                <w:rFonts w:hint="eastAsia" w:ascii="宋体" w:hAnsi="宋体" w:eastAsia="宋体" w:cs="宋体"/>
                <w:i w:val="0"/>
                <w:iCs w:val="0"/>
                <w:color w:val="000000"/>
                <w:kern w:val="0"/>
                <w:sz w:val="22"/>
                <w:szCs w:val="22"/>
                <w:u w:val="none"/>
                <w:lang w:val="en-US" w:eastAsia="zh-CN" w:bidi="ar"/>
              </w:rPr>
              <w:t xml:space="preserve">  伙食补助费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31001</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8" w:name="OLE_LINK4"/>
            <w:bookmarkEnd w:id="8"/>
            <w:bookmarkStart w:id="9" w:name="OLE_LINK3"/>
            <w:bookmarkEnd w:id="9"/>
            <w:r>
              <w:rPr>
                <w:rFonts w:hint="eastAsia" w:ascii="宋体" w:hAnsi="宋体" w:eastAsia="宋体" w:cs="宋体"/>
                <w:i w:val="0"/>
                <w:iCs w:val="0"/>
                <w:color w:val="000000"/>
                <w:kern w:val="0"/>
                <w:sz w:val="22"/>
                <w:szCs w:val="22"/>
                <w:u w:val="none"/>
                <w:lang w:val="en-US" w:eastAsia="zh-CN" w:bidi="ar"/>
              </w:rPr>
              <w:t xml:space="preserve">  绩效工资</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123.66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0.29</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31002</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10" w:name="OLE_LINK4"/>
            <w:bookmarkEnd w:id="10"/>
            <w:bookmarkStart w:id="11" w:name="OLE_LINK3"/>
            <w:bookmarkEnd w:id="11"/>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323.11</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3.71</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31003</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12" w:name="OLE_LINK4"/>
            <w:bookmarkEnd w:id="12"/>
            <w:bookmarkStart w:id="13" w:name="OLE_LINK3"/>
            <w:bookmarkEnd w:id="13"/>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31005</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14" w:name="OLE_LINK4"/>
            <w:bookmarkEnd w:id="14"/>
            <w:bookmarkStart w:id="15" w:name="OLE_LINK3"/>
            <w:bookmarkEnd w:id="15"/>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42.46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31006</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16" w:name="OLE_LINK3"/>
            <w:bookmarkEnd w:id="16"/>
            <w:bookmarkStart w:id="17" w:name="OLE_LINK4"/>
            <w:bookmarkEnd w:id="17"/>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31007</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18" w:name="OLE_LINK3"/>
            <w:bookmarkEnd w:id="18"/>
            <w:bookmarkStart w:id="19" w:name="OLE_LINK4"/>
            <w:bookmarkEnd w:id="19"/>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5.28</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31008</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20" w:name="OLE_LINK3"/>
            <w:bookmarkEnd w:id="20"/>
            <w:bookmarkStart w:id="21" w:name="OLE_LINK4"/>
            <w:bookmarkEnd w:id="21"/>
            <w:r>
              <w:rPr>
                <w:rFonts w:hint="eastAsia" w:ascii="宋体" w:hAnsi="宋体" w:eastAsia="宋体" w:cs="宋体"/>
                <w:i w:val="0"/>
                <w:iCs w:val="0"/>
                <w:color w:val="000000"/>
                <w:kern w:val="0"/>
                <w:sz w:val="22"/>
                <w:szCs w:val="22"/>
                <w:u w:val="none"/>
                <w:lang w:val="en-US" w:eastAsia="zh-CN" w:bidi="ar"/>
              </w:rPr>
              <w:t xml:space="preserve">  住房公积金</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78.85</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31009</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22" w:name="OLE_LINK4"/>
            <w:bookmarkEnd w:id="22"/>
            <w:bookmarkStart w:id="23" w:name="OLE_LINK3"/>
            <w:bookmarkEnd w:id="23"/>
            <w:r>
              <w:rPr>
                <w:rFonts w:hint="eastAsia" w:ascii="宋体" w:hAnsi="宋体" w:eastAsia="宋体" w:cs="宋体"/>
                <w:i w:val="0"/>
                <w:iCs w:val="0"/>
                <w:color w:val="000000"/>
                <w:kern w:val="0"/>
                <w:sz w:val="22"/>
                <w:szCs w:val="22"/>
                <w:u w:val="none"/>
                <w:lang w:val="en-US" w:eastAsia="zh-CN" w:bidi="ar"/>
              </w:rPr>
              <w:t xml:space="preserve">  医疗费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31010</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24" w:name="OLE_LINK4"/>
            <w:bookmarkEnd w:id="24"/>
            <w:bookmarkStart w:id="25" w:name="OLE_LINK3"/>
            <w:bookmarkEnd w:id="25"/>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3.63</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31011</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26" w:name="OLE_LINK4"/>
            <w:bookmarkEnd w:id="26"/>
            <w:bookmarkStart w:id="27" w:name="OLE_LINK3"/>
            <w:bookmarkEnd w:id="27"/>
            <w:r>
              <w:rPr>
                <w:rFonts w:hint="eastAsia" w:ascii="宋体" w:hAnsi="宋体" w:eastAsia="宋体" w:cs="宋体"/>
                <w:i w:val="0"/>
                <w:iCs w:val="0"/>
                <w:color w:val="000000"/>
                <w:kern w:val="0"/>
                <w:sz w:val="22"/>
                <w:szCs w:val="22"/>
                <w:u w:val="none"/>
                <w:lang w:val="en-US" w:eastAsia="zh-CN" w:bidi="ar"/>
              </w:rPr>
              <w:t>对个人和家庭的补助</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87.83</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31012</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28" w:name="OLE_LINK3"/>
            <w:bookmarkEnd w:id="28"/>
            <w:bookmarkStart w:id="29" w:name="OLE_LINK4"/>
            <w:bookmarkEnd w:id="29"/>
            <w:r>
              <w:rPr>
                <w:rFonts w:hint="eastAsia" w:ascii="宋体" w:hAnsi="宋体" w:eastAsia="宋体" w:cs="宋体"/>
                <w:i w:val="0"/>
                <w:iCs w:val="0"/>
                <w:color w:val="000000"/>
                <w:kern w:val="0"/>
                <w:sz w:val="22"/>
                <w:szCs w:val="22"/>
                <w:u w:val="none"/>
                <w:lang w:val="en-US" w:eastAsia="zh-CN" w:bidi="ar"/>
              </w:rPr>
              <w:t xml:space="preserve">  离休费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31013</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30" w:name="OLE_LINK4"/>
            <w:bookmarkEnd w:id="30"/>
            <w:bookmarkStart w:id="31" w:name="OLE_LINK3"/>
            <w:bookmarkEnd w:id="31"/>
            <w:r>
              <w:rPr>
                <w:rFonts w:hint="eastAsia" w:ascii="宋体" w:hAnsi="宋体" w:eastAsia="宋体" w:cs="宋体"/>
                <w:i w:val="0"/>
                <w:iCs w:val="0"/>
                <w:color w:val="000000"/>
                <w:kern w:val="0"/>
                <w:sz w:val="22"/>
                <w:szCs w:val="22"/>
                <w:u w:val="none"/>
                <w:lang w:val="en-US" w:eastAsia="zh-CN" w:bidi="ar"/>
              </w:rPr>
              <w:t xml:space="preserve">  退休费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31019</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32" w:name="OLE_LINK4"/>
            <w:bookmarkEnd w:id="32"/>
            <w:bookmarkStart w:id="33" w:name="OLE_LINK3"/>
            <w:bookmarkEnd w:id="33"/>
            <w:r>
              <w:rPr>
                <w:rFonts w:hint="eastAsia" w:ascii="宋体" w:hAnsi="宋体" w:eastAsia="宋体" w:cs="宋体"/>
                <w:i w:val="0"/>
                <w:iCs w:val="0"/>
                <w:color w:val="000000"/>
                <w:kern w:val="0"/>
                <w:sz w:val="22"/>
                <w:szCs w:val="22"/>
                <w:u w:val="none"/>
                <w:lang w:val="en-US" w:eastAsia="zh-CN" w:bidi="ar"/>
              </w:rPr>
              <w:t xml:space="preserve">  退职（役）费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31021</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34" w:name="OLE_LINK3"/>
            <w:bookmarkEnd w:id="34"/>
            <w:bookmarkStart w:id="35" w:name="OLE_LINK4"/>
            <w:bookmarkEnd w:id="35"/>
            <w:r>
              <w:rPr>
                <w:rFonts w:hint="eastAsia" w:ascii="宋体" w:hAnsi="宋体" w:eastAsia="宋体" w:cs="宋体"/>
                <w:i w:val="0"/>
                <w:iCs w:val="0"/>
                <w:color w:val="000000"/>
                <w:kern w:val="0"/>
                <w:sz w:val="22"/>
                <w:szCs w:val="22"/>
                <w:u w:val="none"/>
                <w:lang w:val="en-US" w:eastAsia="zh-CN" w:bidi="ar"/>
              </w:rPr>
              <w:t xml:space="preserve">  抚恤金</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36.84</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31022</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36" w:name="OLE_LINK4"/>
            <w:bookmarkEnd w:id="36"/>
            <w:bookmarkStart w:id="37" w:name="OLE_LINK3"/>
            <w:bookmarkEnd w:id="37"/>
            <w:r>
              <w:rPr>
                <w:rFonts w:hint="eastAsia" w:ascii="宋体" w:hAnsi="宋体" w:eastAsia="宋体" w:cs="宋体"/>
                <w:i w:val="0"/>
                <w:iCs w:val="0"/>
                <w:color w:val="000000"/>
                <w:kern w:val="0"/>
                <w:sz w:val="22"/>
                <w:szCs w:val="22"/>
                <w:u w:val="none"/>
                <w:lang w:val="en-US" w:eastAsia="zh-CN" w:bidi="ar"/>
              </w:rPr>
              <w:t xml:space="preserve">  生活补助</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50.97</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31099</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38" w:name="OLE_LINK4"/>
            <w:bookmarkEnd w:id="38"/>
            <w:bookmarkStart w:id="39" w:name="OLE_LINK3"/>
            <w:bookmarkEnd w:id="39"/>
            <w:r>
              <w:rPr>
                <w:rFonts w:hint="eastAsia" w:ascii="宋体" w:hAnsi="宋体" w:eastAsia="宋体" w:cs="宋体"/>
                <w:i w:val="0"/>
                <w:iCs w:val="0"/>
                <w:color w:val="000000"/>
                <w:kern w:val="0"/>
                <w:sz w:val="22"/>
                <w:szCs w:val="22"/>
                <w:u w:val="none"/>
                <w:lang w:val="en-US" w:eastAsia="zh-CN" w:bidi="ar"/>
              </w:rPr>
              <w:t xml:space="preserve">  救济费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40" w:name="OLE_LINK4"/>
            <w:bookmarkEnd w:id="40"/>
            <w:bookmarkStart w:id="41" w:name="OLE_LINK3"/>
            <w:bookmarkEnd w:id="41"/>
            <w:r>
              <w:rPr>
                <w:rFonts w:hint="eastAsia" w:ascii="宋体" w:hAnsi="宋体" w:eastAsia="宋体" w:cs="宋体"/>
                <w:i w:val="0"/>
                <w:iCs w:val="0"/>
                <w:color w:val="000000"/>
                <w:kern w:val="0"/>
                <w:sz w:val="22"/>
                <w:szCs w:val="22"/>
                <w:u w:val="none"/>
                <w:lang w:val="en-US" w:eastAsia="zh-CN" w:bidi="ar"/>
              </w:rPr>
              <w:t xml:space="preserve">  医疗费补助</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39907</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42" w:name="OLE_LINK3"/>
            <w:bookmarkEnd w:id="42"/>
            <w:bookmarkStart w:id="43" w:name="OLE_LINK4"/>
            <w:bookmarkEnd w:id="43"/>
            <w:r>
              <w:rPr>
                <w:rFonts w:hint="eastAsia" w:ascii="宋体" w:hAnsi="宋体" w:eastAsia="宋体" w:cs="宋体"/>
                <w:i w:val="0"/>
                <w:iCs w:val="0"/>
                <w:color w:val="000000"/>
                <w:kern w:val="0"/>
                <w:sz w:val="22"/>
                <w:szCs w:val="22"/>
                <w:u w:val="none"/>
                <w:lang w:val="en-US" w:eastAsia="zh-CN" w:bidi="ar"/>
              </w:rPr>
              <w:t xml:space="preserve">  助学金</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13.00</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39908</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44" w:name="OLE_LINK4"/>
            <w:bookmarkEnd w:id="44"/>
            <w:bookmarkStart w:id="45" w:name="OLE_LINK3"/>
            <w:bookmarkEnd w:id="45"/>
            <w:r>
              <w:rPr>
                <w:rFonts w:hint="eastAsia" w:ascii="宋体" w:hAnsi="宋体" w:eastAsia="宋体" w:cs="宋体"/>
                <w:i w:val="0"/>
                <w:iCs w:val="0"/>
                <w:color w:val="000000"/>
                <w:kern w:val="0"/>
                <w:sz w:val="22"/>
                <w:szCs w:val="22"/>
                <w:u w:val="none"/>
                <w:lang w:val="en-US" w:eastAsia="zh-CN" w:bidi="ar"/>
              </w:rPr>
              <w:t xml:space="preserve">  奖励金</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0.03</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39909</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46" w:name="OLE_LINK4"/>
            <w:bookmarkEnd w:id="46"/>
            <w:bookmarkStart w:id="47" w:name="OLE_LINK3"/>
            <w:bookmarkEnd w:id="47"/>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39910</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48" w:name="OLE_LINK4"/>
            <w:bookmarkEnd w:id="48"/>
            <w:bookmarkStart w:id="49" w:name="OLE_LINK3"/>
            <w:bookmarkEnd w:id="49"/>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39999</w:t>
            </w: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50" w:name="OLE_LINK4"/>
            <w:bookmarkEnd w:id="50"/>
            <w:bookmarkStart w:id="51" w:name="OLE_LINK3"/>
            <w:bookmarkEnd w:id="51"/>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bookmarkStart w:id="52" w:name="OLE_LINK4"/>
            <w:bookmarkEnd w:id="52"/>
            <w:bookmarkStart w:id="53" w:name="OLE_LINK3"/>
            <w:bookmarkEnd w:id="53"/>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3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41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bookmarkStart w:id="54" w:name="OLE_LINK4"/>
            <w:bookmarkEnd w:id="54"/>
            <w:bookmarkStart w:id="55" w:name="OLE_LINK3"/>
            <w:bookmarkEnd w:id="55"/>
            <w:r>
              <w:rPr>
                <w:rFonts w:hint="eastAsia" w:ascii="宋体" w:hAnsi="宋体" w:eastAsia="宋体" w:cs="宋体"/>
                <w:i w:val="0"/>
                <w:iCs w:val="0"/>
                <w:color w:val="000000"/>
                <w:kern w:val="0"/>
                <w:sz w:val="22"/>
                <w:szCs w:val="22"/>
                <w:u w:val="none"/>
                <w:lang w:val="en-US" w:eastAsia="zh-CN" w:bidi="ar"/>
              </w:rPr>
              <w:t>人员经费合计</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1,264.72</w:t>
            </w:r>
          </w:p>
        </w:tc>
        <w:tc>
          <w:tcPr>
            <w:tcW w:w="785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27.17</w:t>
            </w:r>
          </w:p>
        </w:tc>
      </w:tr>
      <w:tr>
        <w:tblPrEx>
          <w:tblCellMar>
            <w:top w:w="0" w:type="dxa"/>
            <w:left w:w="108" w:type="dxa"/>
            <w:bottom w:w="0" w:type="dxa"/>
            <w:right w:w="108" w:type="dxa"/>
          </w:tblCellMar>
        </w:tblPrEx>
        <w:trPr>
          <w:trHeight w:val="624" w:hRule="atLeast"/>
        </w:trPr>
        <w:tc>
          <w:tcPr>
            <w:tcW w:w="533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866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319" w:hRule="atLeast"/>
        </w:trPr>
        <w:tc>
          <w:tcPr>
            <w:tcW w:w="14000" w:type="dxa"/>
            <w:gridSpan w:val="14"/>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3982" w:type="dxa"/>
        <w:tblInd w:w="96" w:type="dxa"/>
        <w:tblLayout w:type="fixed"/>
        <w:tblCellMar>
          <w:top w:w="0" w:type="dxa"/>
          <w:left w:w="108" w:type="dxa"/>
          <w:bottom w:w="0" w:type="dxa"/>
          <w:right w:w="108" w:type="dxa"/>
        </w:tblCellMar>
      </w:tblPr>
      <w:tblGrid>
        <w:gridCol w:w="1090"/>
        <w:gridCol w:w="207"/>
        <w:gridCol w:w="240"/>
        <w:gridCol w:w="236"/>
        <w:gridCol w:w="2677"/>
        <w:gridCol w:w="921"/>
        <w:gridCol w:w="1653"/>
        <w:gridCol w:w="1600"/>
        <w:gridCol w:w="69"/>
        <w:gridCol w:w="1611"/>
        <w:gridCol w:w="58"/>
        <w:gridCol w:w="1670"/>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2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168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445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本年收入</w:t>
            </w:r>
          </w:p>
        </w:tc>
        <w:tc>
          <w:tcPr>
            <w:tcW w:w="50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0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336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6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16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6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6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445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gridAfter w:val="1"/>
          <w:wAfter w:w="2" w:type="dxa"/>
          <w:trHeight w:val="277" w:hRule="atLeast"/>
        </w:trPr>
        <w:tc>
          <w:tcPr>
            <w:tcW w:w="445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646.00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646.00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6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646.00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2121903</w:t>
            </w:r>
          </w:p>
        </w:tc>
        <w:tc>
          <w:tcPr>
            <w:tcW w:w="33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340.18</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340.18</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340.18</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2296004</w:t>
            </w:r>
          </w:p>
        </w:tc>
        <w:tc>
          <w:tcPr>
            <w:tcW w:w="33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305.83</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305.83</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305.83</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4"/>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FF0000"/>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FF0000"/>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FF0000"/>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FF0000"/>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FF0000"/>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FF0000"/>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FF0000"/>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FF0000"/>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default"/>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19" w:type="dxa"/>
        <w:tblInd w:w="0" w:type="dxa"/>
        <w:tblLayout w:type="fixed"/>
        <w:tblCellMar>
          <w:top w:w="0" w:type="dxa"/>
          <w:left w:w="108" w:type="dxa"/>
          <w:bottom w:w="0" w:type="dxa"/>
          <w:right w:w="108" w:type="dxa"/>
        </w:tblCellMar>
      </w:tblPr>
      <w:tblGrid>
        <w:gridCol w:w="1319"/>
        <w:gridCol w:w="215"/>
        <w:gridCol w:w="992"/>
        <w:gridCol w:w="433"/>
        <w:gridCol w:w="662"/>
        <w:gridCol w:w="432"/>
        <w:gridCol w:w="888"/>
        <w:gridCol w:w="271"/>
        <w:gridCol w:w="1049"/>
        <w:gridCol w:w="84"/>
        <w:gridCol w:w="1040"/>
        <w:gridCol w:w="1066"/>
        <w:gridCol w:w="133"/>
        <w:gridCol w:w="944"/>
        <w:gridCol w:w="84"/>
        <w:gridCol w:w="1053"/>
        <w:gridCol w:w="62"/>
        <w:gridCol w:w="1086"/>
        <w:gridCol w:w="113"/>
        <w:gridCol w:w="1020"/>
        <w:gridCol w:w="179"/>
        <w:gridCol w:w="894"/>
      </w:tblGrid>
      <w:tr>
        <w:tblPrEx>
          <w:tblCellMar>
            <w:top w:w="0" w:type="dxa"/>
            <w:left w:w="108" w:type="dxa"/>
            <w:bottom w:w="0" w:type="dxa"/>
            <w:right w:w="108" w:type="dxa"/>
          </w:tblCellMar>
        </w:tblPrEx>
        <w:trPr>
          <w:trHeight w:val="632" w:hRule="atLeast"/>
        </w:trPr>
        <w:tc>
          <w:tcPr>
            <w:tcW w:w="14019" w:type="dxa"/>
            <w:gridSpan w:val="2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316" w:hRule="atLeast"/>
        </w:trPr>
        <w:tc>
          <w:tcPr>
            <w:tcW w:w="7385" w:type="dxa"/>
            <w:gridSpan w:val="11"/>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6" w:hRule="atLeast"/>
        </w:trPr>
        <w:tc>
          <w:tcPr>
            <w:tcW w:w="73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预算数</w:t>
            </w:r>
          </w:p>
        </w:tc>
        <w:tc>
          <w:tcPr>
            <w:tcW w:w="6634" w:type="dxa"/>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326" w:hRule="atLeast"/>
        </w:trPr>
        <w:tc>
          <w:tcPr>
            <w:tcW w:w="131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207"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35"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2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c>
          <w:tcPr>
            <w:tcW w:w="1199"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9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97"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89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trHeight w:val="642" w:hRule="atLeast"/>
        </w:trPr>
        <w:tc>
          <w:tcPr>
            <w:tcW w:w="131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07"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3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24"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99"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4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9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19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9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89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959"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0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3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3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12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119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9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119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119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119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8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642" w:hRule="atLeast"/>
        </w:trPr>
        <w:tc>
          <w:tcPr>
            <w:tcW w:w="13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1.91</w:t>
            </w:r>
          </w:p>
        </w:tc>
        <w:tc>
          <w:tcPr>
            <w:tcW w:w="1207"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95"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32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32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1.91</w:t>
            </w:r>
          </w:p>
        </w:tc>
        <w:tc>
          <w:tcPr>
            <w:tcW w:w="119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1.91</w:t>
            </w:r>
          </w:p>
        </w:tc>
        <w:tc>
          <w:tcPr>
            <w:tcW w:w="94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99" w:type="dxa"/>
            <w:gridSpan w:val="3"/>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99"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99"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highlight w:val="none"/>
              </w:rPr>
            </w:pPr>
          </w:p>
        </w:tc>
        <w:tc>
          <w:tcPr>
            <w:tcW w:w="8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1.91</w:t>
            </w:r>
          </w:p>
        </w:tc>
      </w:tr>
      <w:tr>
        <w:tblPrEx>
          <w:tblCellMar>
            <w:top w:w="0" w:type="dxa"/>
            <w:left w:w="108" w:type="dxa"/>
            <w:bottom w:w="0" w:type="dxa"/>
            <w:right w:w="108" w:type="dxa"/>
          </w:tblCellMar>
        </w:tblPrEx>
        <w:trPr>
          <w:trHeight w:val="642" w:hRule="atLeast"/>
        </w:trPr>
        <w:tc>
          <w:tcPr>
            <w:tcW w:w="14019" w:type="dxa"/>
            <w:gridSpan w:val="2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FF0000"/>
                <w:kern w:val="2"/>
                <w:sz w:val="21"/>
                <w:szCs w:val="21"/>
                <w:lang w:val="en-US" w:eastAsia="zh-CN" w:bidi="ar"/>
              </w:rPr>
              <w:t xml:space="preserve"> </w:t>
            </w:r>
          </w:p>
        </w:tc>
      </w:tr>
    </w:tbl>
    <w:p>
      <w:pPr>
        <w:jc w:val="left"/>
        <w:rPr>
          <w:rFonts w:ascii="仿宋" w:hAnsi="仿宋" w:eastAsia="仿宋" w:cs="仿宋"/>
          <w:sz w:val="24"/>
          <w:highlight w:val="none"/>
        </w:rPr>
        <w:sectPr>
          <w:pgSz w:w="16838" w:h="11906" w:orient="landscape"/>
          <w:pgMar w:top="1440" w:right="1440" w:bottom="144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环江毛南族自治县教育局（本级）</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szCs w:val="32"/>
          <w:highlight w:val="none"/>
          <w:lang w:val="en-US" w:eastAsia="zh-CN"/>
        </w:rPr>
        <w:t>7888.24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减少3</w:t>
      </w:r>
      <w:r>
        <w:rPr>
          <w:rFonts w:hint="eastAsia" w:ascii="仿宋" w:hAnsi="仿宋" w:eastAsia="仿宋" w:cs="仿宋"/>
          <w:sz w:val="32"/>
          <w:u w:color="auto"/>
          <w:lang w:val="en-US" w:eastAsia="zh-CN"/>
        </w:rPr>
        <w:t>466.16</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30.53</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szCs w:val="32"/>
          <w:highlight w:val="none"/>
          <w:lang w:val="en-US" w:eastAsia="zh-CN"/>
        </w:rPr>
        <w:t>7888.24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7242.24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本级财政当年拨付的资金。较2022年度决算数减少</w:t>
      </w:r>
      <w:r>
        <w:rPr>
          <w:rFonts w:ascii="仿宋" w:hAnsi="仿宋" w:eastAsia="仿宋" w:cs="仿宋"/>
          <w:sz w:val="32"/>
          <w:u w:color="auto"/>
        </w:rPr>
        <w:t>3760.71</w:t>
      </w:r>
      <w:r>
        <w:rPr>
          <w:rFonts w:hint="eastAsia" w:ascii="仿宋" w:hAnsi="仿宋" w:eastAsia="仿宋" w:cs="仿宋"/>
          <w:kern w:val="2"/>
          <w:sz w:val="32"/>
          <w:szCs w:val="32"/>
          <w:highlight w:val="none"/>
          <w:lang w:val="en-US" w:eastAsia="zh-CN" w:bidi="ar"/>
        </w:rPr>
        <w:t>万元，下降35.80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主要原因：项目支出进度慢，部分项目未及时报账导致</w:t>
      </w:r>
      <w:r>
        <w:rPr>
          <w:rFonts w:hint="eastAsia" w:ascii="仿宋" w:hAnsi="仿宋" w:eastAsia="仿宋" w:cs="仿宋"/>
          <w:color w:val="auto"/>
          <w:kern w:val="2"/>
          <w:sz w:val="32"/>
          <w:szCs w:val="32"/>
          <w:highlight w:val="none"/>
          <w:lang w:val="en-US" w:eastAsia="zh-CN" w:bidi="ar"/>
        </w:rPr>
        <w:t>上级专项收入减少。</w:t>
      </w:r>
    </w:p>
    <w:p>
      <w:pPr>
        <w:keepNext w:val="0"/>
        <w:keepLines w:val="0"/>
        <w:widowControl w:val="0"/>
        <w:suppressLineNumbers w:val="0"/>
        <w:spacing w:before="0" w:beforeAutospacing="0" w:after="0" w:afterAutospacing="0"/>
        <w:ind w:right="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2.政府性基金预算财政拨款收入646.00万元，为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571.83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770.92</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主要原因：彩票公益金支持部分学校购买设备及校园建设，故</w:t>
      </w:r>
      <w:r>
        <w:rPr>
          <w:rFonts w:hint="eastAsia" w:ascii="仿宋" w:hAnsi="仿宋" w:eastAsia="仿宋" w:cs="仿宋"/>
          <w:color w:val="auto"/>
          <w:kern w:val="2"/>
          <w:sz w:val="32"/>
          <w:szCs w:val="32"/>
          <w:highlight w:val="none"/>
          <w:lang w:val="en-US" w:eastAsia="zh-CN" w:bidi="ar"/>
        </w:rPr>
        <w:t>本年度政府性基金预算财政拨款收入增加。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hint="eastAsia" w:ascii="仿宋" w:hAnsi="仿宋" w:eastAsia="仿宋" w:cs="仿宋"/>
          <w:color w:val="auto"/>
          <w:sz w:val="32"/>
          <w:u w:color="auto"/>
          <w:lang w:val="en-US" w:eastAsia="zh-CN"/>
        </w:rPr>
        <w:t>0.00</w:t>
      </w:r>
      <w:r>
        <w:rPr>
          <w:rFonts w:hint="eastAsia" w:ascii="仿宋" w:hAnsi="仿宋" w:eastAsia="仿宋" w:cs="仿宋"/>
          <w:color w:val="auto"/>
          <w:kern w:val="2"/>
          <w:sz w:val="32"/>
          <w:szCs w:val="32"/>
          <w:highlight w:val="none"/>
          <w:lang w:val="en-US" w:eastAsia="zh-CN" w:bidi="ar"/>
        </w:rPr>
        <w:t>万元，本单位没有上级补助收入。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u w:color="auto"/>
          <w:lang w:val="en-US" w:eastAsia="zh-CN"/>
        </w:rPr>
        <w:t>0.00</w:t>
      </w:r>
      <w:r>
        <w:rPr>
          <w:rFonts w:hint="eastAsia" w:ascii="仿宋" w:hAnsi="仿宋" w:eastAsia="仿宋" w:cs="仿宋"/>
          <w:color w:val="auto"/>
          <w:kern w:val="2"/>
          <w:sz w:val="32"/>
          <w:szCs w:val="32"/>
          <w:highlight w:val="none"/>
          <w:lang w:val="en-US" w:eastAsia="zh-CN" w:bidi="ar"/>
        </w:rPr>
        <w:t>万元,本单位没有其他收入。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万元，为以前年度支出预算因客观条件变化未执行完毕、结转到本年度按有关规定继续使用的资金。较2022年度决算数增加0.00万元，增长</w:t>
      </w:r>
      <w:r>
        <w:rPr>
          <w:rFonts w:ascii="仿宋" w:hAnsi="仿宋" w:eastAsia="仿宋" w:cs="仿宋"/>
          <w:sz w:val="32"/>
          <w:u w:color="auto"/>
        </w:rPr>
        <w:t>0%</w:t>
      </w:r>
      <w:r>
        <w:rPr>
          <w:rFonts w:hint="eastAsia" w:ascii="仿宋" w:hAnsi="仿宋" w:eastAsia="仿宋" w:cs="仿宋"/>
          <w:sz w:val="32"/>
          <w:u w:color="auto"/>
          <w:lang w:eastAsia="zh-CN"/>
        </w:rPr>
        <w:t>。</w:t>
      </w:r>
    </w:p>
    <w:p>
      <w:pPr>
        <w:jc w:val="center"/>
        <w:rPr>
          <w:rFonts w:hint="default" w:ascii="仿宋" w:hAnsi="仿宋" w:cs="仿宋" w:eastAsiaTheme="minorEastAsia"/>
          <w:sz w:val="32"/>
          <w:szCs w:val="32"/>
          <w:highlight w:val="none"/>
          <w:lang w:val="en-US" w:eastAsia="zh-CN"/>
        </w:rPr>
      </w:pPr>
      <w:r>
        <w:drawing>
          <wp:inline distT="0" distB="0" distL="114300" distR="114300">
            <wp:extent cx="5272405" cy="3876675"/>
            <wp:effectExtent l="4445" t="4445" r="19050" b="508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lang w:val="en-US" w:eastAsia="zh-CN"/>
        </w:rPr>
        <w:t xml:space="preserve">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szCs w:val="32"/>
          <w:highlight w:val="none"/>
          <w:lang w:val="en-US" w:eastAsia="zh-CN"/>
        </w:rPr>
        <w:t>7888.24</w:t>
      </w:r>
      <w:r>
        <w:rPr>
          <w:rFonts w:hint="eastAsia" w:ascii="仿宋" w:hAnsi="仿宋" w:eastAsia="仿宋" w:cs="仿宋"/>
          <w:sz w:val="32"/>
          <w:szCs w:val="32"/>
          <w:highlight w:val="none"/>
        </w:rPr>
        <w:t>万元，其中本年支出</w:t>
      </w:r>
      <w:r>
        <w:rPr>
          <w:rFonts w:hint="eastAsia" w:ascii="仿宋" w:hAnsi="仿宋" w:eastAsia="仿宋" w:cs="仿宋"/>
          <w:sz w:val="32"/>
          <w:szCs w:val="32"/>
          <w:highlight w:val="none"/>
          <w:lang w:val="en-US" w:eastAsia="zh-CN"/>
        </w:rPr>
        <w:t>7888.24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减少3</w:t>
      </w:r>
      <w:r>
        <w:rPr>
          <w:rFonts w:hint="eastAsia" w:ascii="仿宋" w:hAnsi="仿宋" w:eastAsia="仿宋" w:cs="仿宋"/>
          <w:sz w:val="32"/>
          <w:u w:color="auto"/>
          <w:lang w:val="en-US" w:eastAsia="zh-CN"/>
        </w:rPr>
        <w:t>466.16</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30.53</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13.00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工会经费支出</w:t>
      </w:r>
      <w:r>
        <w:rPr>
          <w:rFonts w:hint="eastAsia" w:ascii="仿宋" w:hAnsi="仿宋" w:eastAsia="仿宋" w:cs="仿宋"/>
          <w:color w:val="auto"/>
          <w:sz w:val="32"/>
          <w:szCs w:val="32"/>
          <w:highlight w:val="none"/>
        </w:rPr>
        <w:t>。较</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本年度各项支出有所减少。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5484.60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教育局本级人员工资福利支出、日常办公支出、教师培训支出、学校房屋建筑物购建、设备购置等</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3696.54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40.26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本年度各项支出有所减少。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105.21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教育局本级干部职工“五险”支出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5.45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5.46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本年度调进人数比退休人数多，缴纳基数提高，缴纳“五险”比去年有所增加。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4.卫生健康支出（210类）48.19万元，主要用于：突发公共卫生事件应急处理的支出。较2022年度决算数增加48.49万元，增长100%，主要原因是：2023年疫情防控支出增加。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5.城乡社区支出（212类）340.18万元，主要用于：学校校舍，活动场地建设支出。较2022年度决算数增加340.18万元，增长100%，主要原因是：2023年度学校校舍，活动场地建设支出增加。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eastAsia="zh-CN"/>
        </w:rPr>
      </w:pP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u w:color="auto"/>
          <w:lang w:val="en-US" w:eastAsia="zh-CN"/>
        </w:rPr>
        <w:t>6</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1396.08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东西协作广东帮扶资金支持教育的支出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减少368.97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下降20.90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2023年广东帮扶资金投入有所减少。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u w:color="auto"/>
          <w:lang w:val="en-US" w:eastAsia="zh-CN"/>
        </w:rPr>
        <w:t>7</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78.85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教育局本级人员住房公积金支出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4.04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5.4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公积金基数提高。</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u w:color="auto"/>
          <w:lang w:val="en-US" w:eastAsia="zh-CN"/>
        </w:rPr>
        <w:t>8</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422.13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主要用于2023年绩效考评奖励金支出和用于教育事业的彩票公益金的支出。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201.17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91.04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奖励基数比去年有所提高；用于教育事业的彩票公益金的投入有所增加。</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w:t>
      </w:r>
    </w:p>
    <w:p>
      <w:pPr>
        <w:jc w:val="both"/>
        <w:rPr>
          <w:rFonts w:ascii="仿宋" w:hAnsi="仿宋" w:eastAsia="仿宋" w:cs="仿宋"/>
          <w:sz w:val="32"/>
          <w:szCs w:val="32"/>
          <w:highlight w:val="none"/>
        </w:rPr>
      </w:pPr>
      <w:r>
        <w:drawing>
          <wp:inline distT="0" distB="0" distL="114300" distR="114300">
            <wp:extent cx="5273675" cy="4281805"/>
            <wp:effectExtent l="4445" t="4445" r="17780" b="1905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56" w:name="OLE_LINK1"/>
      <w:r>
        <w:rPr>
          <w:rFonts w:hint="eastAsia" w:ascii="黑体" w:hAnsi="黑体" w:eastAsia="黑体" w:cs="黑体"/>
          <w:sz w:val="32"/>
          <w:szCs w:val="32"/>
          <w:highlight w:val="none"/>
        </w:rPr>
        <w:t>一般公共预算财政拨款支出决算情况</w:t>
      </w:r>
      <w:bookmarkEnd w:id="56"/>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环江毛南族自治县教育局（本级）202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szCs w:val="32"/>
          <w:highlight w:val="none"/>
          <w:lang w:val="en-US" w:eastAsia="zh-CN"/>
        </w:rPr>
        <w:t>7242.24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减少</w:t>
      </w:r>
      <w:r>
        <w:rPr>
          <w:rFonts w:hint="eastAsia" w:ascii="仿宋" w:hAnsi="仿宋" w:eastAsia="仿宋" w:cs="仿宋"/>
          <w:sz w:val="32"/>
          <w:u w:color="auto"/>
          <w:lang w:val="en-US" w:eastAsia="zh-CN"/>
        </w:rPr>
        <w:t>4037.98</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35.80</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1291.88</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5950.35</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环江毛南族自治县教育局（本级）202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szCs w:val="32"/>
          <w:highlight w:val="none"/>
          <w:lang w:val="en-US" w:eastAsia="zh-CN"/>
        </w:rPr>
        <w:t>4704.99</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7242.24</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153.93</w:t>
      </w:r>
      <w:r>
        <w:rPr>
          <w:rFonts w:ascii="仿宋" w:hAnsi="仿宋" w:eastAsia="仿宋" w:cs="仿宋"/>
          <w:sz w:val="32"/>
          <w:u w:color="auto"/>
        </w:rPr>
        <w:t>%</w:t>
      </w:r>
      <w:r>
        <w:rPr>
          <w:rFonts w:hint="eastAsia" w:ascii="仿宋" w:hAnsi="仿宋" w:eastAsia="仿宋" w:cs="仿宋"/>
          <w:sz w:val="32"/>
          <w:szCs w:val="32"/>
          <w:highlight w:val="none"/>
        </w:rPr>
        <w:t>。</w:t>
      </w:r>
      <w:bookmarkStart w:id="57" w:name="OLE_LINK2"/>
      <w:bookmarkEnd w:id="57"/>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13.00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无差异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5076190" cy="3332480"/>
            <wp:effectExtent l="4445" t="4445" r="5715" b="1587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4</w:t>
      </w:r>
      <w:r>
        <w:rPr>
          <w:rFonts w:hint="eastAsia" w:ascii="仿宋" w:hAnsi="仿宋" w:eastAsia="仿宋"/>
          <w:sz w:val="32"/>
          <w:szCs w:val="32"/>
          <w:highlight w:val="none"/>
          <w:lang w:val="en-US" w:eastAsia="zh-CN"/>
        </w:rPr>
        <w:t>509.95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5484.60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121.61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办公等支出略有增加、房屋建筑物购建支出增加、其他普通教育教学活动支出增加等</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85"/>
        <w:gridCol w:w="1018"/>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68.55</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93.64</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136.60%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本单公务员工资福利支出、日常办公支及交通补贴支出等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行政人员工资略有提高、日常分公等支出增加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其他教育管理事务支出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655.06</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694.66</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106.04%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局本级在职职工资福利及退退人员生活补贴、日常公用等支出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在职人员工资福利有所提高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480.32</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151.38</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31.52%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学前教育房屋建筑物购建、办公设备购置、基础设施建设等支出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部分指调剂到各幼儿园，不在本单位支出，房屋建筑物购建支出减少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20.91</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16.25</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77.71%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小学寄宿生、房屋建筑物购建等支出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房屋建筑物购建支出减少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82.28</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0.00</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初中生均、助学金、房屋建筑物购建、委托业务等支出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本年度将指标调剂给学校作为支出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高中教育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750.52</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828.21</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110.35%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普通高中生均、助学金、房屋、日常办公支出等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办公、房屋构筑物等支出略有增加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高等教育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47.86</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高等学校毕业生学费和国家助学贷款补偿学生资助资金支出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1519.54</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2584.15</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170.06%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其他普通教育教学活动支出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其他普通教育教学活动支出增加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2050302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中等职业教育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62.10</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145.26</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233.91%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中等职业生均、助学金、房屋、日常办公支出等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房屋构筑物支出增加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其他特殊教育支出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25.00</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特殊教育资源教室项目支出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870.68</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897.94</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103.13%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校园安全保卫经费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校园安全保卫经费支出增加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0.25</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办公设备支出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属于上级专款，无需做预算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4509.95</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5484.60</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5269230" cy="3886835"/>
            <wp:effectExtent l="4445" t="4445" r="22225" b="1397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w:t>
      </w:r>
      <w:r>
        <w:rPr>
          <w:rFonts w:hint="eastAsia" w:ascii="仿宋" w:hAnsi="仿宋" w:eastAsia="仿宋"/>
          <w:sz w:val="32"/>
          <w:szCs w:val="32"/>
          <w:highlight w:val="none"/>
          <w:lang w:val="en-US" w:eastAsia="zh-CN"/>
        </w:rPr>
        <w:t>04.01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105.21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101.15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缴纳基数有变化，预算数略大</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105.21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101.15%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教育局本级基本养老保险缴费支出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缴纳基数有变化，预算数略大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105.21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101.15%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pPr>
      <w:r>
        <w:drawing>
          <wp:inline distT="0" distB="0" distL="114300" distR="114300">
            <wp:extent cx="5269230" cy="3886835"/>
            <wp:effectExtent l="4445" t="4445" r="22225" b="1397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ind w:left="0" w:leftChars="0" w:firstLine="420" w:firstLineChars="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卫生健康支出（210类）所初预算为0.00万元，支出决算为48.19万元。预决算存有差异原因是：年初未预算。</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2100410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突发公共卫生事件应急处理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突发公共卫生事件应急处理（预情防控的支出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numPr>
          <w:ilvl w:val="0"/>
          <w:numId w:val="0"/>
        </w:numPr>
        <w:ind w:left="420" w:leftChars="0"/>
        <w:jc w:val="left"/>
      </w:pPr>
      <w:r>
        <w:drawing>
          <wp:inline distT="0" distB="0" distL="114300" distR="114300">
            <wp:extent cx="5269230" cy="3886835"/>
            <wp:effectExtent l="4445" t="4445" r="22225" b="13970"/>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0"/>
        </w:numPr>
        <w:ind w:left="420" w:leftChars="0"/>
        <w:jc w:val="left"/>
        <w:rPr>
          <w:rFonts w:hint="default"/>
          <w:lang w:val="en-US" w:eastAsia="zh-CN"/>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szCs w:val="32"/>
          <w:highlight w:val="none"/>
          <w:lang w:val="en-US" w:eastAsia="zh-CN"/>
        </w:rPr>
        <w:t>城乡社区支出（212类）年初预算为0.00万元，支出决算为340.18万元。预决算存有差异原因是：年初未预算。</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2121903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城市建设支出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340.18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学校校舍，活动场地建设支出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340.18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drawing>
          <wp:inline distT="0" distB="0" distL="114300" distR="114300">
            <wp:extent cx="5269230" cy="3886835"/>
            <wp:effectExtent l="4445" t="4445" r="22225" b="1397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w:t>
      </w:r>
      <w:r>
        <w:rPr>
          <w:rFonts w:hint="eastAsia" w:ascii="仿宋" w:hAnsi="仿宋" w:eastAsia="仿宋"/>
          <w:sz w:val="32"/>
          <w:szCs w:val="32"/>
          <w:highlight w:val="none"/>
          <w:lang w:val="en-US" w:eastAsia="zh-CN"/>
        </w:rPr>
        <w:t>396.08</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年初未预算。</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农村基础设施建设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义务教育学校校舍建设及维修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356.08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东西协作广东帮扶资金支持教育的支出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1396.08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r>
        <w:drawing>
          <wp:inline distT="0" distB="0" distL="114300" distR="114300">
            <wp:extent cx="5271770" cy="4069080"/>
            <wp:effectExtent l="4445" t="4445" r="19685" b="2222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7</w:t>
      </w:r>
      <w:r>
        <w:rPr>
          <w:rFonts w:hint="eastAsia" w:ascii="仿宋" w:hAnsi="仿宋" w:eastAsia="仿宋"/>
          <w:sz w:val="32"/>
          <w:szCs w:val="32"/>
          <w:highlight w:val="none"/>
          <w:lang w:val="en-US" w:eastAsia="zh-CN"/>
        </w:rPr>
        <w:t>8.01</w:t>
      </w:r>
      <w:r>
        <w:rPr>
          <w:rFonts w:hint="eastAsia" w:ascii="仿宋" w:hAnsi="仿宋" w:eastAsia="仿宋"/>
          <w:sz w:val="32"/>
          <w:szCs w:val="32"/>
          <w:highlight w:val="none"/>
        </w:rPr>
        <w:t>万元，支出决算为</w:t>
      </w:r>
      <w:r>
        <w:rPr>
          <w:rFonts w:ascii="仿宋" w:hAnsi="仿宋" w:eastAsia="仿宋"/>
          <w:sz w:val="32"/>
          <w:szCs w:val="32"/>
          <w:highlight w:val="none"/>
        </w:rPr>
        <w:t>7</w:t>
      </w:r>
      <w:r>
        <w:rPr>
          <w:rFonts w:hint="eastAsia" w:ascii="仿宋" w:hAnsi="仿宋" w:eastAsia="仿宋"/>
          <w:sz w:val="32"/>
          <w:szCs w:val="32"/>
          <w:highlight w:val="none"/>
          <w:lang w:val="en-US" w:eastAsia="zh-CN"/>
        </w:rPr>
        <w:t>8.85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101.08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缴纳基数有变化，预算数略大。</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教育局本级住房公积金缴纳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缴纳基数有变化，预算数略大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5271770" cy="3901440"/>
            <wp:effectExtent l="4445" t="4445" r="19685" b="1841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116.30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年初没有预算。</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116.30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绩效考评奖金、奖励性补贴发放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116.30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bookmarkStart w:id="59" w:name="_GoBack"/>
      <w:bookmarkEnd w:id="59"/>
      <w:r>
        <w:drawing>
          <wp:inline distT="0" distB="0" distL="114300" distR="114300">
            <wp:extent cx="4581525" cy="3028950"/>
            <wp:effectExtent l="4445" t="4445" r="5080" b="14605"/>
            <wp:docPr id="105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环江毛南族自治县教育局（本级）202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szCs w:val="32"/>
          <w:highlight w:val="none"/>
          <w:lang w:val="en-US" w:eastAsia="zh-CN"/>
        </w:rPr>
        <w:t>1291.84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1192.67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27.17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1176.89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95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主要原因是：人员减少</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318.31万元，30102津贴补贴48.89万元，30103奖金232.71万元，30107绩效工资123.66万元，30108机关事业单位基本养老保险缴费323.11万元，30110职工基本医疗保险缴费42.45万元，30112其他社会保障缴费5.28万元，30113住房公积金78.85万元，30199其他工资福利支出3.63万元。</w:t>
      </w:r>
    </w:p>
    <w:p>
      <w:pPr>
        <w:jc w:val="center"/>
        <w:rPr>
          <w:rFonts w:hint="eastAsia" w:ascii="仿宋" w:hAnsi="仿宋" w:eastAsia="仿宋" w:cs="仿宋"/>
          <w:sz w:val="32"/>
          <w:szCs w:val="32"/>
          <w:highlight w:val="none"/>
        </w:rPr>
      </w:pPr>
      <w:r>
        <w:drawing>
          <wp:inline distT="0" distB="0" distL="114300" distR="114300">
            <wp:extent cx="4444365" cy="3066415"/>
            <wp:effectExtent l="4445" t="4445" r="8890" b="15240"/>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27.16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77.7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办公费用减少。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30201办公费0.40万元，30205水费0.29万元，30206电费3.71万元，30207邮电费3.53万元，30228工会经费13.00万元，30299其他商品和服务支出6.23万元。</w:t>
      </w:r>
    </w:p>
    <w:p>
      <w:pPr>
        <w:jc w:val="center"/>
        <w:rPr>
          <w:rFonts w:hint="eastAsia" w:ascii="仿宋" w:hAnsi="仿宋" w:eastAsia="仿宋" w:cs="仿宋"/>
          <w:sz w:val="32"/>
          <w:szCs w:val="32"/>
          <w:highlight w:val="none"/>
        </w:rPr>
      </w:pPr>
      <w:r>
        <w:drawing>
          <wp:inline distT="0" distB="0" distL="114300" distR="114300">
            <wp:extent cx="4511040" cy="3067050"/>
            <wp:effectExtent l="4445" t="4445" r="18415" b="14605"/>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87.83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265.24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本年度有抚恤金支出，年初没有预算。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30304抚恤金36.83万元，30305生活补助50.97万元，30309奖励金0.03万元。</w:t>
      </w:r>
    </w:p>
    <w:p>
      <w:pPr>
        <w:jc w:val="center"/>
        <w:rPr>
          <w:rFonts w:hint="eastAsia" w:ascii="仿宋" w:hAnsi="仿宋" w:eastAsia="仿宋" w:cs="仿宋"/>
          <w:sz w:val="32"/>
          <w:szCs w:val="32"/>
          <w:highlight w:val="none"/>
        </w:rPr>
      </w:pPr>
      <w:r>
        <w:drawing>
          <wp:inline distT="0" distB="0" distL="114300" distR="114300">
            <wp:extent cx="4714875" cy="2912110"/>
            <wp:effectExtent l="5080" t="4445" r="4445" b="1714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color w:val="auto"/>
          <w:sz w:val="32"/>
          <w:szCs w:val="32"/>
          <w:highlight w:val="none"/>
        </w:rPr>
        <w:t>债务利息及费用支出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3980815" cy="2159635"/>
            <wp:effectExtent l="5080" t="4445" r="14605" b="762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295140" cy="2626360"/>
            <wp:effectExtent l="4445" t="4445" r="5715" b="1714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180205" cy="2539365"/>
            <wp:effectExtent l="4445" t="4445" r="6350" b="8890"/>
            <wp:docPr id="2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环江毛南族自治县教育局（本级）202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646.00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571.83</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770.92%</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646.00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环江毛南族自治县教育局（本级）202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646.00</w:t>
      </w:r>
      <w:r>
        <w:rPr>
          <w:rFonts w:hint="eastAsia" w:ascii="仿宋" w:hAnsi="仿宋" w:eastAsia="仿宋" w:cs="仿宋"/>
          <w:sz w:val="32"/>
          <w:szCs w:val="32"/>
          <w:highlight w:val="none"/>
        </w:rPr>
        <w:t>万元。</w:t>
      </w:r>
    </w:p>
    <w:p>
      <w:pPr>
        <w:ind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项</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305.83万元</w:t>
      </w:r>
      <w:r>
        <w:rPr>
          <w:rFonts w:hint="eastAsia" w:ascii="仿宋" w:hAnsi="仿宋" w:eastAsia="仿宋" w:cs="仿宋"/>
          <w:color w:val="000000"/>
          <w:sz w:val="32"/>
          <w:szCs w:val="32"/>
          <w:shd w:val="clear" w:color="auto" w:fill="FFFFFF"/>
          <w:lang w:val="en-US" w:eastAsia="zh-CN"/>
        </w:rPr>
        <w:t>用于教育事业的彩票公益金支出（房屋和构筑物及设备购置支出），</w:t>
      </w:r>
      <w:r>
        <w:rPr>
          <w:rFonts w:hint="eastAsia" w:ascii="仿宋" w:hAnsi="仿宋" w:eastAsia="仿宋" w:cs="仿宋"/>
          <w:color w:val="000000"/>
          <w:sz w:val="32"/>
          <w:szCs w:val="32"/>
          <w:shd w:val="clear" w:color="auto" w:fill="FFFFFF"/>
        </w:rPr>
        <w:t>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color w:val="000000"/>
          <w:sz w:val="32"/>
          <w:szCs w:val="32"/>
          <w:shd w:val="clear" w:color="auto" w:fill="FFFFFF"/>
          <w:lang w:val="en-US" w:eastAsia="zh-CN"/>
        </w:rPr>
        <w:t>305.83</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年初未做预算。债务专项经费支出（项）340.17万元用于义教学校房屋和构筑物支出，年初预算为0.00万元，支出决算为340.17万元.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年初未做预算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环江毛南族自治县教育局（本级）202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环江毛南族自治县教育局（本级）202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58" w:name="PO_part3A5B1C1DiffReason1"/>
      <w:r>
        <w:rPr>
          <w:rFonts w:hint="eastAsia" w:ascii="仿宋_GB2312" w:hAnsi="Times New Roman" w:eastAsia="仿宋_GB2312" w:cs="Times New Roman"/>
          <w:color w:val="auto"/>
          <w:sz w:val="32"/>
          <w:szCs w:val="32"/>
        </w:rPr>
        <w:t>环江毛南族自治县教育局（本级）</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58"/>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年预算财政拨款安排的“三公”经费支出</w:t>
      </w:r>
      <w:r>
        <w:rPr>
          <w:rFonts w:hint="eastAsia" w:ascii="仿宋" w:hAnsi="仿宋" w:eastAsia="仿宋" w:cs="仿宋"/>
          <w:sz w:val="32"/>
          <w:szCs w:val="32"/>
          <w:highlight w:val="none"/>
          <w:lang w:val="en-US" w:eastAsia="zh-CN"/>
        </w:rPr>
        <w:t>1.91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88.84</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1.01</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公务接待人次比上年增加。</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1.91</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（一）公务接待费支出</w:t>
      </w:r>
      <w:r>
        <w:rPr>
          <w:rFonts w:hint="eastAsia" w:ascii="仿宋" w:hAnsi="仿宋" w:eastAsia="仿宋" w:cs="仿宋"/>
          <w:sz w:val="32"/>
          <w:szCs w:val="32"/>
          <w:highlight w:val="none"/>
          <w:lang w:val="en-US" w:eastAsia="zh-CN"/>
        </w:rPr>
        <w:t>1.91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88.84</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1.01</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主要原因是：公务接待人次比上年增加。</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2</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148</w:t>
      </w:r>
      <w:r>
        <w:rPr>
          <w:rFonts w:hint="eastAsia" w:ascii="仿宋" w:hAnsi="仿宋" w:eastAsia="仿宋" w:cs="仿宋"/>
          <w:sz w:val="32"/>
          <w:szCs w:val="32"/>
          <w:highlight w:val="none"/>
        </w:rPr>
        <w:t>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年度机关运行经费支出</w:t>
      </w:r>
      <w:r>
        <w:rPr>
          <w:rFonts w:hint="eastAsia" w:ascii="仿宋" w:hAnsi="仿宋" w:eastAsia="仿宋" w:cs="仿宋"/>
          <w:color w:val="auto"/>
          <w:sz w:val="32"/>
          <w:szCs w:val="32"/>
          <w:highlight w:val="none"/>
          <w:lang w:val="en-US" w:eastAsia="zh-CN"/>
        </w:rPr>
        <w:t>93.4</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68.55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增加36.25</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hint="eastAsia" w:ascii="仿宋" w:hAnsi="仿宋" w:eastAsia="仿宋" w:cs="仿宋"/>
          <w:color w:val="auto"/>
          <w:sz w:val="32"/>
          <w:szCs w:val="32"/>
          <w:highlight w:val="none"/>
          <w:lang w:val="en-US" w:eastAsia="zh-CN"/>
        </w:rPr>
        <w:t>增加19.74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增加26.71</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。原因是：办公设施设备购置经费</w:t>
      </w:r>
      <w:r>
        <w:rPr>
          <w:rFonts w:hint="eastAsia" w:ascii="仿宋" w:hAnsi="仿宋" w:eastAsia="仿宋" w:cs="仿宋"/>
          <w:color w:val="auto"/>
          <w:sz w:val="32"/>
          <w:szCs w:val="32"/>
          <w:highlight w:val="none"/>
          <w:lang w:val="en-US" w:eastAsia="zh-CN"/>
        </w:rPr>
        <w:t>增加</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公务员人数</w:t>
      </w:r>
      <w:r>
        <w:rPr>
          <w:rFonts w:hint="eastAsia" w:ascii="仿宋" w:hAnsi="仿宋" w:eastAsia="仿宋" w:cs="仿宋"/>
          <w:color w:val="auto"/>
          <w:sz w:val="32"/>
          <w:szCs w:val="32"/>
          <w:highlight w:val="none"/>
          <w:lang w:val="en-US" w:eastAsia="zh-CN"/>
        </w:rPr>
        <w:t>增加</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2059.48</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1293.30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496.18</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270.00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17.00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lang w:val="en-US" w:eastAsia="zh-CN"/>
        </w:rPr>
        <w:t>83</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16.00</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94.12</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 w:hAnsi="仿宋" w:eastAsia="仿宋" w:cs="仿宋"/>
          <w:color w:val="auto"/>
          <w:sz w:val="32"/>
          <w:szCs w:val="32"/>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ind w:firstLine="640" w:firstLineChars="200"/>
        <w:jc w:val="left"/>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我部门2023年度部门预算数11829.11万元，执行数5969.49万元，预算执行率为50.46%，整体支出绩效自评结果为优秀等级。</w:t>
      </w:r>
    </w:p>
    <w:p>
      <w:pPr>
        <w:ind w:firstLine="640" w:firstLineChars="200"/>
        <w:jc w:val="left"/>
        <w:rPr>
          <w:rFonts w:hint="default"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2.项目支出绩效自评结果。</w:t>
      </w:r>
    </w:p>
    <w:p>
      <w:pPr>
        <w:ind w:firstLine="640" w:firstLineChars="200"/>
        <w:jc w:val="left"/>
        <w:rPr>
          <w:rFonts w:hint="eastAsia" w:ascii="仿宋" w:hAnsi="仿宋" w:eastAsia="仿宋" w:cs="仿宋"/>
          <w:color w:val="auto"/>
          <w:sz w:val="32"/>
          <w:szCs w:val="32"/>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96</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5449.32</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91.58</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个政府性基金预算项目支出开展绩效自评，共涉及资金</w:t>
      </w:r>
      <w:r>
        <w:rPr>
          <w:rFonts w:hint="eastAsia" w:ascii="仿宋" w:hAnsi="仿宋" w:eastAsia="仿宋" w:cs="仿宋"/>
          <w:color w:val="auto"/>
          <w:sz w:val="32"/>
          <w:szCs w:val="32"/>
          <w:lang w:val="en-US" w:eastAsia="zh-CN"/>
        </w:rPr>
        <w:t>520.17</w:t>
      </w:r>
      <w:r>
        <w:rPr>
          <w:rFonts w:hint="eastAsia" w:ascii="仿宋" w:hAnsi="仿宋" w:eastAsia="仿宋" w:cs="仿宋"/>
          <w:color w:val="auto"/>
          <w:sz w:val="32"/>
          <w:szCs w:val="32"/>
        </w:rPr>
        <w:t>万元，占政府性基金预算项目支出总额的</w:t>
      </w:r>
      <w:r>
        <w:rPr>
          <w:rFonts w:hint="eastAsia" w:ascii="仿宋" w:hAnsi="仿宋" w:eastAsia="仿宋" w:cs="仿宋"/>
          <w:color w:val="auto"/>
          <w:sz w:val="32"/>
          <w:szCs w:val="32"/>
          <w:lang w:val="en-US" w:eastAsia="zh-CN"/>
        </w:rPr>
        <w:t>80.52</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5138.28</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520.17</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万元。从评价情况来看，一等项目支出绩效达到了项目申请时设定的各项绩效目标。</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311.04</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等项目支出绩效</w:t>
      </w:r>
      <w:r>
        <w:rPr>
          <w:rFonts w:hint="eastAsia" w:ascii="仿宋" w:hAnsi="仿宋" w:eastAsia="仿宋" w:cs="仿宋"/>
          <w:color w:val="auto"/>
          <w:sz w:val="32"/>
          <w:szCs w:val="32"/>
          <w:lang w:eastAsia="zh-CN"/>
        </w:rPr>
        <w:t>也</w:t>
      </w:r>
      <w:r>
        <w:rPr>
          <w:rFonts w:hint="eastAsia" w:ascii="仿宋" w:hAnsi="仿宋" w:eastAsia="仿宋" w:cs="仿宋"/>
          <w:color w:val="auto"/>
          <w:sz w:val="32"/>
          <w:szCs w:val="32"/>
        </w:rPr>
        <w:t>达到了项目申请时设定的各项绩效目标。</w:t>
      </w:r>
    </w:p>
    <w:p>
      <w:pPr>
        <w:numPr>
          <w:ilvl w:val="0"/>
          <w:numId w:val="3"/>
        </w:numPr>
        <w:ind w:left="-10" w:leftChars="0" w:firstLine="640" w:firstLineChars="0"/>
        <w:jc w:val="left"/>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部分重点项目绩效自评情况</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b w:val="0"/>
          <w:bCs w:val="0"/>
          <w:caps w:val="0"/>
          <w:color w:val="auto"/>
          <w:kern w:val="0"/>
          <w:sz w:val="32"/>
          <w:szCs w:val="32"/>
          <w:vertAlign w:val="baseline"/>
          <w:lang w:val="en-US" w:eastAsia="zh-CN" w:bidi="ar"/>
        </w:rPr>
        <w:t xml:space="preserve"> 根据年初设定的绩效目标，改善普通高中学校办学条件补助项目自评得分为90.76 分，自评结果一等，项目全年预算数为310万元，执行数为166.63万元，完成预算的53.75%。项目绩效目标完成情况：</w:t>
      </w:r>
      <w:r>
        <w:rPr>
          <w:rFonts w:hint="eastAsia" w:ascii="仿宋" w:hAnsi="仿宋" w:eastAsia="仿宋" w:cs="仿宋"/>
          <w:sz w:val="32"/>
          <w:szCs w:val="32"/>
        </w:rPr>
        <w:t>1.产出指标完成情况分</w:t>
      </w:r>
      <w:r>
        <w:rPr>
          <w:rFonts w:hint="eastAsia" w:ascii="仿宋" w:hAnsi="仿宋" w:eastAsia="仿宋" w:cs="仿宋"/>
          <w:sz w:val="32"/>
          <w:szCs w:val="32"/>
          <w:lang w:eastAsia="zh-CN"/>
        </w:rPr>
        <w:t>：</w:t>
      </w:r>
      <w:r>
        <w:rPr>
          <w:rFonts w:hint="eastAsia" w:ascii="仿宋" w:hAnsi="仿宋" w:eastAsia="仿宋" w:cs="仿宋"/>
          <w:sz w:val="32"/>
          <w:szCs w:val="32"/>
        </w:rPr>
        <w:t>（1）数量指标</w:t>
      </w:r>
      <w:r>
        <w:rPr>
          <w:rFonts w:hint="eastAsia" w:ascii="仿宋" w:hAnsi="仿宋" w:eastAsia="仿宋" w:cs="仿宋"/>
          <w:sz w:val="32"/>
          <w:szCs w:val="32"/>
          <w:lang w:eastAsia="zh-CN"/>
        </w:rPr>
        <w:t>，</w:t>
      </w:r>
      <w:r>
        <w:rPr>
          <w:rFonts w:hint="eastAsia" w:ascii="仿宋" w:hAnsi="仿宋" w:eastAsia="仿宋" w:cs="仿宋"/>
          <w:sz w:val="32"/>
          <w:szCs w:val="32"/>
        </w:rPr>
        <w:t>实际项目年底开工率达到100％</w:t>
      </w:r>
      <w:r>
        <w:rPr>
          <w:rFonts w:hint="eastAsia" w:ascii="仿宋" w:hAnsi="仿宋" w:eastAsia="仿宋" w:cs="仿宋"/>
          <w:sz w:val="32"/>
          <w:szCs w:val="32"/>
          <w:lang w:eastAsia="zh-CN"/>
        </w:rPr>
        <w:t>；</w:t>
      </w:r>
      <w:r>
        <w:rPr>
          <w:rFonts w:hint="eastAsia" w:ascii="仿宋" w:hAnsi="仿宋" w:eastAsia="仿宋" w:cs="仿宋"/>
          <w:sz w:val="32"/>
          <w:szCs w:val="32"/>
        </w:rPr>
        <w:t>（2）质量指标</w:t>
      </w:r>
      <w:r>
        <w:rPr>
          <w:rFonts w:hint="eastAsia" w:ascii="仿宋" w:hAnsi="仿宋" w:eastAsia="仿宋" w:cs="仿宋"/>
          <w:sz w:val="32"/>
          <w:szCs w:val="32"/>
          <w:lang w:eastAsia="zh-CN"/>
        </w:rPr>
        <w:t>，项目质量达标率</w:t>
      </w:r>
      <w:r>
        <w:rPr>
          <w:rFonts w:hint="eastAsia" w:ascii="仿宋" w:hAnsi="仿宋" w:eastAsia="仿宋" w:cs="仿宋"/>
          <w:sz w:val="32"/>
          <w:szCs w:val="32"/>
          <w:lang w:val="en-US" w:eastAsia="zh-CN"/>
        </w:rPr>
        <w:t>100%；</w:t>
      </w:r>
      <w:r>
        <w:rPr>
          <w:rFonts w:hint="eastAsia" w:ascii="仿宋" w:hAnsi="仿宋" w:eastAsia="仿宋" w:cs="仿宋"/>
          <w:sz w:val="32"/>
          <w:szCs w:val="32"/>
        </w:rPr>
        <w:t>（3）时效指标</w:t>
      </w:r>
      <w:r>
        <w:rPr>
          <w:rFonts w:hint="eastAsia" w:ascii="仿宋" w:hAnsi="仿宋" w:eastAsia="仿宋" w:cs="仿宋"/>
          <w:sz w:val="32"/>
          <w:szCs w:val="32"/>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年度12月底</w:t>
      </w:r>
      <w:r>
        <w:rPr>
          <w:rFonts w:hint="eastAsia" w:ascii="仿宋" w:hAnsi="仿宋" w:eastAsia="仿宋" w:cs="仿宋"/>
          <w:sz w:val="32"/>
          <w:szCs w:val="32"/>
          <w:lang w:val="en-US" w:eastAsia="zh-CN"/>
        </w:rPr>
        <w:t>已完成环江二高教学楼建设并投入使用，环江高中宿舍楼项目已完工，</w:t>
      </w:r>
      <w:r>
        <w:rPr>
          <w:rFonts w:hint="eastAsia" w:ascii="仿宋" w:hAnsi="仿宋" w:eastAsia="仿宋" w:cs="仿宋"/>
          <w:sz w:val="32"/>
          <w:szCs w:val="32"/>
        </w:rPr>
        <w:t>年度指标任务已完成。（4）成本指标</w:t>
      </w:r>
      <w:r>
        <w:rPr>
          <w:rFonts w:hint="eastAsia" w:ascii="仿宋" w:hAnsi="仿宋" w:eastAsia="仿宋" w:cs="仿宋"/>
          <w:sz w:val="32"/>
          <w:szCs w:val="32"/>
          <w:lang w:eastAsia="zh-CN"/>
        </w:rPr>
        <w:t>总投入成本</w:t>
      </w:r>
      <w:r>
        <w:rPr>
          <w:rFonts w:hint="eastAsia" w:ascii="仿宋" w:hAnsi="仿宋" w:eastAsia="仿宋" w:cs="仿宋"/>
          <w:sz w:val="32"/>
          <w:szCs w:val="32"/>
          <w:lang w:val="en-US" w:eastAsia="zh-CN"/>
        </w:rPr>
        <w:t>310万元。</w:t>
      </w:r>
      <w:r>
        <w:rPr>
          <w:rFonts w:hint="eastAsia" w:ascii="仿宋" w:hAnsi="仿宋" w:eastAsia="仿宋" w:cs="仿宋"/>
          <w:sz w:val="32"/>
          <w:szCs w:val="32"/>
        </w:rPr>
        <w:t>2.效益指标完成情况分析</w:t>
      </w:r>
      <w:r>
        <w:rPr>
          <w:rFonts w:hint="eastAsia" w:ascii="仿宋" w:hAnsi="仿宋" w:eastAsia="仿宋" w:cs="仿宋"/>
          <w:sz w:val="32"/>
          <w:szCs w:val="32"/>
          <w:lang w:eastAsia="zh-CN"/>
        </w:rPr>
        <w:t>：</w:t>
      </w:r>
      <w:r>
        <w:rPr>
          <w:rFonts w:hint="eastAsia" w:ascii="仿宋" w:hAnsi="仿宋" w:eastAsia="仿宋" w:cs="仿宋"/>
          <w:sz w:val="32"/>
          <w:szCs w:val="32"/>
        </w:rPr>
        <w:t>（1）经济效益</w:t>
      </w:r>
      <w:r>
        <w:rPr>
          <w:rFonts w:hint="eastAsia" w:ascii="仿宋" w:hAnsi="仿宋" w:eastAsia="仿宋" w:cs="仿宋"/>
          <w:sz w:val="32"/>
          <w:szCs w:val="32"/>
          <w:lang w:val="en-US" w:eastAsia="zh-CN"/>
        </w:rPr>
        <w:t>指标，</w:t>
      </w:r>
      <w:r>
        <w:rPr>
          <w:rFonts w:hint="eastAsia" w:ascii="仿宋" w:hAnsi="仿宋" w:eastAsia="仿宋" w:cs="仿宋"/>
          <w:sz w:val="32"/>
          <w:szCs w:val="32"/>
        </w:rPr>
        <w:t>本项目不追求经济效益</w:t>
      </w:r>
      <w:r>
        <w:rPr>
          <w:rFonts w:hint="eastAsia" w:ascii="仿宋" w:hAnsi="仿宋" w:eastAsia="仿宋" w:cs="仿宋"/>
          <w:sz w:val="32"/>
          <w:szCs w:val="32"/>
          <w:lang w:eastAsia="zh-CN"/>
        </w:rPr>
        <w:t>；</w:t>
      </w:r>
      <w:r>
        <w:rPr>
          <w:rFonts w:hint="eastAsia" w:ascii="仿宋" w:hAnsi="仿宋" w:eastAsia="仿宋" w:cs="仿宋"/>
          <w:sz w:val="32"/>
          <w:szCs w:val="32"/>
        </w:rPr>
        <w:t>（2）社会效益</w:t>
      </w:r>
      <w:r>
        <w:rPr>
          <w:rFonts w:hint="eastAsia" w:ascii="仿宋" w:hAnsi="仿宋" w:eastAsia="仿宋" w:cs="仿宋"/>
          <w:sz w:val="32"/>
          <w:szCs w:val="32"/>
          <w:lang w:val="en-US" w:eastAsia="zh-CN"/>
        </w:rPr>
        <w:t>指示，</w:t>
      </w:r>
      <w:r>
        <w:rPr>
          <w:rFonts w:hint="eastAsia" w:ascii="仿宋" w:hAnsi="仿宋" w:eastAsia="仿宋" w:cs="仿宋"/>
          <w:sz w:val="32"/>
          <w:szCs w:val="32"/>
        </w:rPr>
        <w:t>通过实施项目，</w:t>
      </w:r>
      <w:r>
        <w:rPr>
          <w:rFonts w:hint="eastAsia" w:ascii="仿宋" w:hAnsi="仿宋" w:eastAsia="仿宋" w:cs="仿宋"/>
          <w:sz w:val="32"/>
          <w:szCs w:val="32"/>
          <w:lang w:eastAsia="zh-CN"/>
        </w:rPr>
        <w:t>两所普通高中办学条件得到改善</w:t>
      </w:r>
      <w:r>
        <w:rPr>
          <w:rFonts w:hint="eastAsia" w:ascii="仿宋" w:hAnsi="仿宋" w:eastAsia="仿宋" w:cs="仿宋"/>
          <w:sz w:val="32"/>
          <w:szCs w:val="32"/>
        </w:rPr>
        <w:t>，为</w:t>
      </w:r>
      <w:r>
        <w:rPr>
          <w:rFonts w:hint="eastAsia" w:ascii="仿宋" w:hAnsi="仿宋" w:eastAsia="仿宋" w:cs="仿宋"/>
          <w:sz w:val="32"/>
          <w:szCs w:val="32"/>
          <w:lang w:eastAsia="zh-CN"/>
        </w:rPr>
        <w:t>广大师</w:t>
      </w:r>
      <w:r>
        <w:rPr>
          <w:rFonts w:hint="eastAsia" w:ascii="仿宋" w:hAnsi="仿宋" w:eastAsia="仿宋" w:cs="仿宋"/>
          <w:sz w:val="32"/>
          <w:szCs w:val="32"/>
        </w:rPr>
        <w:t>生提供良好的学习环境</w:t>
      </w:r>
      <w:r>
        <w:rPr>
          <w:rFonts w:hint="eastAsia" w:ascii="仿宋" w:hAnsi="仿宋" w:eastAsia="仿宋" w:cs="仿宋"/>
          <w:sz w:val="32"/>
          <w:szCs w:val="32"/>
          <w:lang w:eastAsia="zh-CN"/>
        </w:rPr>
        <w:t>；</w:t>
      </w:r>
      <w:r>
        <w:rPr>
          <w:rFonts w:hint="eastAsia" w:ascii="仿宋" w:hAnsi="仿宋" w:eastAsia="仿宋" w:cs="仿宋"/>
          <w:sz w:val="32"/>
          <w:szCs w:val="32"/>
        </w:rPr>
        <w:t>（3）生态效益</w:t>
      </w:r>
      <w:r>
        <w:rPr>
          <w:rFonts w:hint="eastAsia" w:ascii="仿宋" w:hAnsi="仿宋" w:eastAsia="仿宋" w:cs="仿宋"/>
          <w:sz w:val="32"/>
          <w:szCs w:val="32"/>
          <w:lang w:val="en-US" w:eastAsia="zh-CN"/>
        </w:rPr>
        <w:t>指标，</w:t>
      </w:r>
      <w:r>
        <w:rPr>
          <w:rFonts w:hint="eastAsia" w:ascii="仿宋" w:hAnsi="仿宋" w:eastAsia="仿宋" w:cs="仿宋"/>
          <w:sz w:val="32"/>
          <w:szCs w:val="32"/>
        </w:rPr>
        <w:t>本项目不追求生态效益</w:t>
      </w:r>
      <w:r>
        <w:rPr>
          <w:rFonts w:hint="eastAsia" w:ascii="仿宋" w:hAnsi="仿宋" w:eastAsia="仿宋" w:cs="仿宋"/>
          <w:sz w:val="32"/>
          <w:szCs w:val="32"/>
          <w:lang w:eastAsia="zh-CN"/>
        </w:rPr>
        <w:t>；</w:t>
      </w:r>
      <w:r>
        <w:rPr>
          <w:rFonts w:hint="eastAsia" w:ascii="仿宋" w:hAnsi="仿宋" w:eastAsia="仿宋" w:cs="仿宋"/>
          <w:sz w:val="32"/>
          <w:szCs w:val="32"/>
        </w:rPr>
        <w:t>（4）可持续影响</w:t>
      </w:r>
      <w:r>
        <w:rPr>
          <w:rFonts w:hint="eastAsia" w:ascii="仿宋" w:hAnsi="仿宋" w:eastAsia="仿宋" w:cs="仿宋"/>
          <w:sz w:val="32"/>
          <w:szCs w:val="32"/>
          <w:lang w:eastAsia="zh-CN"/>
        </w:rPr>
        <w:t>，</w:t>
      </w:r>
      <w:r>
        <w:rPr>
          <w:rFonts w:hint="eastAsia" w:ascii="仿宋" w:hAnsi="仿宋" w:eastAsia="仿宋" w:cs="仿宋"/>
          <w:sz w:val="32"/>
          <w:szCs w:val="32"/>
        </w:rPr>
        <w:t>校舍建成后，持续使用年限达到标准使用年限50年。3.满意度指标完成情况分析该项目属公益性项目，项目实施后，社会群众对该项目的实施满意度为100%。</w:t>
      </w:r>
    </w:p>
    <w:p>
      <w:pPr>
        <w:spacing w:line="500" w:lineRule="exact"/>
        <w:ind w:firstLine="640" w:firstLineChars="200"/>
        <w:rPr>
          <w:rFonts w:hint="eastAsia" w:ascii="仿宋" w:hAnsi="仿宋" w:eastAsia="仿宋" w:cs="仿宋"/>
          <w:color w:val="000000"/>
          <w:kern w:val="0"/>
          <w:sz w:val="32"/>
          <w:szCs w:val="32"/>
          <w:lang w:val="en"/>
        </w:rPr>
      </w:pPr>
      <w:r>
        <w:rPr>
          <w:rFonts w:hint="eastAsia" w:ascii="仿宋" w:hAnsi="仿宋" w:eastAsia="仿宋" w:cs="仿宋"/>
          <w:b w:val="0"/>
          <w:bCs w:val="0"/>
          <w:caps w:val="0"/>
          <w:color w:val="auto"/>
          <w:kern w:val="0"/>
          <w:sz w:val="32"/>
          <w:szCs w:val="32"/>
          <w:vertAlign w:val="baseline"/>
          <w:lang w:val="en-US" w:eastAsia="zh-CN" w:bidi="ar"/>
        </w:rPr>
        <w:t>自评发现的主要问题及原因：存在的问题一是</w:t>
      </w:r>
      <w:r>
        <w:rPr>
          <w:rFonts w:hint="eastAsia" w:ascii="仿宋" w:hAnsi="仿宋" w:eastAsia="仿宋" w:cs="仿宋"/>
          <w:color w:val="000000"/>
          <w:kern w:val="0"/>
          <w:sz w:val="32"/>
          <w:szCs w:val="32"/>
          <w:lang w:val="en"/>
        </w:rPr>
        <w:t>对推进项目建设指导督促力度不够，</w:t>
      </w:r>
      <w:r>
        <w:rPr>
          <w:rFonts w:hint="eastAsia" w:ascii="仿宋" w:hAnsi="仿宋" w:eastAsia="仿宋" w:cs="仿宋"/>
          <w:color w:val="000000"/>
          <w:kern w:val="0"/>
          <w:sz w:val="32"/>
          <w:szCs w:val="32"/>
          <w:lang w:val="en-US" w:eastAsia="zh-CN"/>
        </w:rPr>
        <w:t>二是</w:t>
      </w:r>
      <w:r>
        <w:rPr>
          <w:rFonts w:hint="eastAsia" w:ascii="仿宋" w:hAnsi="仿宋" w:eastAsia="仿宋" w:cs="仿宋"/>
          <w:color w:val="000000"/>
          <w:kern w:val="0"/>
          <w:sz w:val="32"/>
          <w:szCs w:val="32"/>
          <w:lang w:val="en"/>
        </w:rPr>
        <w:t>档案资料收集不及时，档案材料有待完善</w:t>
      </w:r>
      <w:r>
        <w:rPr>
          <w:rFonts w:hint="eastAsia" w:ascii="仿宋" w:hAnsi="仿宋" w:eastAsia="仿宋" w:cs="仿宋"/>
          <w:color w:val="000000"/>
          <w:kern w:val="0"/>
          <w:sz w:val="32"/>
          <w:szCs w:val="32"/>
          <w:lang w:val="en" w:eastAsia="zh-CN"/>
        </w:rPr>
        <w:t>，</w:t>
      </w:r>
      <w:r>
        <w:rPr>
          <w:rFonts w:hint="eastAsia" w:ascii="仿宋" w:hAnsi="仿宋" w:eastAsia="仿宋" w:cs="仿宋"/>
          <w:color w:val="000000"/>
          <w:kern w:val="0"/>
          <w:sz w:val="32"/>
          <w:szCs w:val="32"/>
          <w:lang w:val="en-US" w:eastAsia="zh-CN"/>
        </w:rPr>
        <w:t>三是支付进度慢。原因有一是缺少专业的项目管理人员，二是报账不及时导致支付进度慢，执行率低。</w:t>
      </w:r>
      <w:r>
        <w:rPr>
          <w:rFonts w:hint="eastAsia" w:ascii="仿宋" w:hAnsi="仿宋" w:eastAsia="仿宋" w:cs="仿宋"/>
          <w:b w:val="0"/>
          <w:bCs w:val="0"/>
          <w:caps w:val="0"/>
          <w:color w:val="auto"/>
          <w:kern w:val="0"/>
          <w:sz w:val="32"/>
          <w:szCs w:val="32"/>
          <w:vertAlign w:val="baseline"/>
          <w:lang w:val="en-US" w:eastAsia="zh-CN" w:bidi="ar"/>
        </w:rPr>
        <w:t>下一步改进措施：</w:t>
      </w:r>
      <w:r>
        <w:rPr>
          <w:rFonts w:hint="eastAsia" w:ascii="仿宋" w:hAnsi="仿宋" w:eastAsia="仿宋" w:cs="仿宋"/>
          <w:color w:val="000000"/>
          <w:kern w:val="0"/>
          <w:sz w:val="32"/>
          <w:szCs w:val="32"/>
          <w:lang w:val="en"/>
        </w:rPr>
        <w:t>我局将进一步创新思路，努力争取财政部门的大力支持，加快项目进度，加强项目的资金管理和使用，使专项资金发挥效益。</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.部门绩效评</w:t>
      </w:r>
      <w:r>
        <w:rPr>
          <w:rFonts w:hint="eastAsia" w:ascii="仿宋" w:hAnsi="仿宋" w:eastAsia="仿宋" w:cs="仿宋"/>
          <w:color w:val="auto"/>
          <w:sz w:val="32"/>
          <w:szCs w:val="32"/>
          <w:lang w:val="en-US" w:eastAsia="zh-CN"/>
        </w:rPr>
        <w:t>价</w:t>
      </w:r>
      <w:r>
        <w:rPr>
          <w:rFonts w:hint="eastAsia" w:ascii="仿宋" w:hAnsi="仿宋" w:eastAsia="仿宋" w:cs="仿宋"/>
          <w:color w:val="auto"/>
          <w:sz w:val="32"/>
          <w:szCs w:val="32"/>
        </w:rPr>
        <w:t>结果。</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我部门根据年初设定的绩效目标，对</w:t>
      </w:r>
      <w:r>
        <w:rPr>
          <w:rFonts w:hint="eastAsia" w:ascii="仿宋" w:hAnsi="仿宋" w:eastAsia="仿宋" w:cs="仿宋"/>
          <w:color w:val="auto"/>
          <w:sz w:val="32"/>
          <w:szCs w:val="32"/>
          <w:lang w:val="en-US" w:eastAsia="zh-CN"/>
        </w:rPr>
        <w:t>106</w:t>
      </w:r>
      <w:r>
        <w:rPr>
          <w:rFonts w:hint="eastAsia" w:ascii="仿宋" w:hAnsi="仿宋" w:eastAsia="仿宋" w:cs="仿宋"/>
          <w:color w:val="auto"/>
          <w:sz w:val="32"/>
          <w:szCs w:val="32"/>
        </w:rPr>
        <w:t>个项目进行自评，项目自评得分为</w:t>
      </w:r>
      <w:r>
        <w:rPr>
          <w:rFonts w:hint="eastAsia" w:ascii="仿宋" w:hAnsi="仿宋" w:eastAsia="仿宋" w:cs="仿宋"/>
          <w:color w:val="auto"/>
          <w:sz w:val="32"/>
          <w:szCs w:val="32"/>
          <w:lang w:val="en-US" w:eastAsia="zh-CN"/>
        </w:rPr>
        <w:t>100分45个，95.00-99.99分10个，90.00-94.99分43个，85.00-89.99分3个，80.00-84.99分5个。</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auto"/>
          <w:sz w:val="32"/>
          <w:szCs w:val="32"/>
        </w:rPr>
        <w:t>发现的主要问题及原因：一是</w:t>
      </w:r>
      <w:r>
        <w:rPr>
          <w:rFonts w:hint="eastAsia" w:ascii="仿宋" w:hAnsi="仿宋" w:eastAsia="仿宋" w:cs="仿宋"/>
          <w:color w:val="auto"/>
          <w:sz w:val="32"/>
          <w:szCs w:val="32"/>
          <w:lang w:eastAsia="zh-CN"/>
        </w:rPr>
        <w:t>少数项目绩效评分较低，在以后工作中，要</w:t>
      </w:r>
      <w:r>
        <w:rPr>
          <w:rFonts w:hint="eastAsia" w:ascii="仿宋" w:hAnsi="仿宋" w:eastAsia="仿宋" w:cs="仿宋"/>
          <w:color w:val="auto"/>
          <w:sz w:val="32"/>
          <w:szCs w:val="32"/>
        </w:rPr>
        <w:t>按时</w:t>
      </w:r>
      <w:r>
        <w:rPr>
          <w:rFonts w:hint="eastAsia" w:ascii="仿宋" w:hAnsi="仿宋" w:eastAsia="仿宋" w:cs="仿宋"/>
          <w:color w:val="auto"/>
          <w:sz w:val="32"/>
          <w:szCs w:val="32"/>
          <w:lang w:eastAsia="zh-CN"/>
        </w:rPr>
        <w:t>按质落实各项</w:t>
      </w:r>
      <w:r>
        <w:rPr>
          <w:rFonts w:hint="eastAsia" w:ascii="仿宋" w:hAnsi="仿宋" w:eastAsia="仿宋" w:cs="仿宋"/>
          <w:color w:val="auto"/>
          <w:sz w:val="32"/>
          <w:szCs w:val="32"/>
        </w:rPr>
        <w:t>经费；二是学校</w:t>
      </w:r>
      <w:r>
        <w:rPr>
          <w:rFonts w:hint="eastAsia" w:ascii="仿宋" w:hAnsi="仿宋" w:eastAsia="仿宋" w:cs="仿宋"/>
          <w:color w:val="auto"/>
          <w:sz w:val="32"/>
          <w:szCs w:val="32"/>
          <w:lang w:eastAsia="zh-CN"/>
        </w:rPr>
        <w:t>要</w:t>
      </w:r>
      <w:r>
        <w:rPr>
          <w:rFonts w:hint="eastAsia" w:ascii="仿宋" w:hAnsi="仿宋" w:eastAsia="仿宋" w:cs="仿宋"/>
          <w:color w:val="auto"/>
          <w:sz w:val="32"/>
          <w:szCs w:val="32"/>
        </w:rPr>
        <w:t>有计划分学期安排支出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确保学校的正常运转；三是加强对支出的管理，确保专款专用，提高资金使用效益。下一步改进措施：一是学校要优化支出结构，细化支出预算，使学校得到优质发展；二是要加快报账进度，充分发挥资金使用效益。</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27055EDD"/>
    <w:multiLevelType w:val="singleLevel"/>
    <w:tmpl w:val="27055EDD"/>
    <w:lvl w:ilvl="0" w:tentative="0">
      <w:start w:val="2"/>
      <w:numFmt w:val="decimal"/>
      <w:suff w:val="nothing"/>
      <w:lvlText w:val="（%1）"/>
      <w:lvlJc w:val="left"/>
      <w:pPr>
        <w:ind w:left="-1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3745AB"/>
    <w:rsid w:val="04E54546"/>
    <w:rsid w:val="05992762"/>
    <w:rsid w:val="07B0770E"/>
    <w:rsid w:val="0942143F"/>
    <w:rsid w:val="0B2223FB"/>
    <w:rsid w:val="0C2E25D9"/>
    <w:rsid w:val="0C3F649B"/>
    <w:rsid w:val="0CCB79CF"/>
    <w:rsid w:val="0D100297"/>
    <w:rsid w:val="0D202B45"/>
    <w:rsid w:val="0DDA2E69"/>
    <w:rsid w:val="0ECD6ED7"/>
    <w:rsid w:val="0F433282"/>
    <w:rsid w:val="0F8D4C87"/>
    <w:rsid w:val="10505FAA"/>
    <w:rsid w:val="105F7E7E"/>
    <w:rsid w:val="118648E6"/>
    <w:rsid w:val="11E56B5B"/>
    <w:rsid w:val="11F810EC"/>
    <w:rsid w:val="122D1E7D"/>
    <w:rsid w:val="125C77AB"/>
    <w:rsid w:val="14CB726E"/>
    <w:rsid w:val="16C644E8"/>
    <w:rsid w:val="17E92249"/>
    <w:rsid w:val="185C5962"/>
    <w:rsid w:val="18D304F1"/>
    <w:rsid w:val="19F32577"/>
    <w:rsid w:val="19F45B80"/>
    <w:rsid w:val="1B0C078D"/>
    <w:rsid w:val="1B2B31E2"/>
    <w:rsid w:val="1B4C295A"/>
    <w:rsid w:val="1B973C63"/>
    <w:rsid w:val="1BA1001E"/>
    <w:rsid w:val="1D317259"/>
    <w:rsid w:val="1DCF72A9"/>
    <w:rsid w:val="1E664F5B"/>
    <w:rsid w:val="1EB34BE1"/>
    <w:rsid w:val="215E639F"/>
    <w:rsid w:val="21EC3183"/>
    <w:rsid w:val="225E72CD"/>
    <w:rsid w:val="246E2F77"/>
    <w:rsid w:val="254B4E2B"/>
    <w:rsid w:val="268F6593"/>
    <w:rsid w:val="283D7C94"/>
    <w:rsid w:val="2934510C"/>
    <w:rsid w:val="29480E03"/>
    <w:rsid w:val="29821419"/>
    <w:rsid w:val="2983634D"/>
    <w:rsid w:val="29D232DE"/>
    <w:rsid w:val="2BB02055"/>
    <w:rsid w:val="2C575A56"/>
    <w:rsid w:val="2F257714"/>
    <w:rsid w:val="2F3275E5"/>
    <w:rsid w:val="30AA08EF"/>
    <w:rsid w:val="30AA4BA0"/>
    <w:rsid w:val="30D23D1C"/>
    <w:rsid w:val="31221CF5"/>
    <w:rsid w:val="31400178"/>
    <w:rsid w:val="321E3342"/>
    <w:rsid w:val="327759C8"/>
    <w:rsid w:val="33185FE3"/>
    <w:rsid w:val="34EE2E36"/>
    <w:rsid w:val="358F6D01"/>
    <w:rsid w:val="36777241"/>
    <w:rsid w:val="36A60DA3"/>
    <w:rsid w:val="37021AFC"/>
    <w:rsid w:val="371E78D5"/>
    <w:rsid w:val="373758DB"/>
    <w:rsid w:val="37B413BB"/>
    <w:rsid w:val="37BF6399"/>
    <w:rsid w:val="37CB0880"/>
    <w:rsid w:val="38A951DB"/>
    <w:rsid w:val="38B31605"/>
    <w:rsid w:val="39003F4F"/>
    <w:rsid w:val="3C07002B"/>
    <w:rsid w:val="3D0D152A"/>
    <w:rsid w:val="3DF62756"/>
    <w:rsid w:val="3F1B7587"/>
    <w:rsid w:val="3FC40DC1"/>
    <w:rsid w:val="3FF59BB1"/>
    <w:rsid w:val="41E57B4F"/>
    <w:rsid w:val="432F26F6"/>
    <w:rsid w:val="43880F63"/>
    <w:rsid w:val="441C5A6F"/>
    <w:rsid w:val="44C44FCC"/>
    <w:rsid w:val="44CC7369"/>
    <w:rsid w:val="457F5108"/>
    <w:rsid w:val="46951B6B"/>
    <w:rsid w:val="46A43D88"/>
    <w:rsid w:val="482D3841"/>
    <w:rsid w:val="49170DBF"/>
    <w:rsid w:val="49A34401"/>
    <w:rsid w:val="4A3E30AB"/>
    <w:rsid w:val="4AC14DAC"/>
    <w:rsid w:val="4CEF6B8D"/>
    <w:rsid w:val="4D154C85"/>
    <w:rsid w:val="4EB35ECE"/>
    <w:rsid w:val="50584A4D"/>
    <w:rsid w:val="508F4E24"/>
    <w:rsid w:val="51461E90"/>
    <w:rsid w:val="51463753"/>
    <w:rsid w:val="52553A93"/>
    <w:rsid w:val="530D3310"/>
    <w:rsid w:val="53521F8B"/>
    <w:rsid w:val="535E32BB"/>
    <w:rsid w:val="53E22F47"/>
    <w:rsid w:val="54522FF8"/>
    <w:rsid w:val="55450629"/>
    <w:rsid w:val="56692963"/>
    <w:rsid w:val="568B0F48"/>
    <w:rsid w:val="5786217B"/>
    <w:rsid w:val="59337A15"/>
    <w:rsid w:val="59810274"/>
    <w:rsid w:val="5C024B84"/>
    <w:rsid w:val="5CA96A00"/>
    <w:rsid w:val="5CF730BC"/>
    <w:rsid w:val="5E5F0DCE"/>
    <w:rsid w:val="5FA40A7B"/>
    <w:rsid w:val="5FD56D29"/>
    <w:rsid w:val="5FEC7F3F"/>
    <w:rsid w:val="60F74BC3"/>
    <w:rsid w:val="617D3BF8"/>
    <w:rsid w:val="61841F6A"/>
    <w:rsid w:val="623007A9"/>
    <w:rsid w:val="637D7558"/>
    <w:rsid w:val="644F19AC"/>
    <w:rsid w:val="65A15853"/>
    <w:rsid w:val="65AA4920"/>
    <w:rsid w:val="65E31D0B"/>
    <w:rsid w:val="67443216"/>
    <w:rsid w:val="67694F1E"/>
    <w:rsid w:val="678C349C"/>
    <w:rsid w:val="69597934"/>
    <w:rsid w:val="6997491E"/>
    <w:rsid w:val="6A5B510D"/>
    <w:rsid w:val="6B964DDC"/>
    <w:rsid w:val="6BCC6E09"/>
    <w:rsid w:val="6C783074"/>
    <w:rsid w:val="6D9E65C6"/>
    <w:rsid w:val="6DA81947"/>
    <w:rsid w:val="6DCC49C7"/>
    <w:rsid w:val="6EB66DE2"/>
    <w:rsid w:val="6ED3075F"/>
    <w:rsid w:val="6F2A2D4B"/>
    <w:rsid w:val="6F8A0C1E"/>
    <w:rsid w:val="6FB005D6"/>
    <w:rsid w:val="703F45D4"/>
    <w:rsid w:val="715D6546"/>
    <w:rsid w:val="71BE069E"/>
    <w:rsid w:val="73953409"/>
    <w:rsid w:val="73E069A3"/>
    <w:rsid w:val="77C6145F"/>
    <w:rsid w:val="78104AA8"/>
    <w:rsid w:val="78E257C5"/>
    <w:rsid w:val="794B35BE"/>
    <w:rsid w:val="7B0A3A31"/>
    <w:rsid w:val="7B3360ED"/>
    <w:rsid w:val="7BDF037E"/>
    <w:rsid w:val="7BF50948"/>
    <w:rsid w:val="7CE66A78"/>
    <w:rsid w:val="7D23564C"/>
    <w:rsid w:val="7D5E062D"/>
    <w:rsid w:val="7DF76CD8"/>
    <w:rsid w:val="7E4807BC"/>
    <w:rsid w:val="7E5E6E19"/>
    <w:rsid w:val="7F695C26"/>
    <w:rsid w:val="7FAE3FE6"/>
    <w:rsid w:val="7FCF62D3"/>
    <w:rsid w:val="9E8FC82A"/>
    <w:rsid w:val="9EFE166F"/>
    <w:rsid w:val="ABBFA494"/>
    <w:rsid w:val="E7CB634A"/>
    <w:rsid w:val="F77B7B37"/>
    <w:rsid w:val="FAB39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hart" Target="charts/chart16.xml"/><Relationship Id="rId20" Type="http://schemas.openxmlformats.org/officeDocument/2006/relationships/chart" Target="charts/chart15.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qinyanqiu\&#20915;&#31639;\&#25945;&#32946;&#31995;&#32479;&#20915;&#31639;&#20844;&#24320;&#19978;&#25253;&#26448;&#26009;\&#29615;&#27743;&#27611;&#21335;&#26063;&#33258;&#27835;&#21439;&#25945;&#32946;&#31995;&#32479;2023&#24180;&#37096;&#38376;&#20915;&#31639;&#20844;&#24320;&#26448;&#26009;\&#29615;&#27743;&#27611;&#21335;&#26063;&#33258;&#27835;&#21439;&#25945;&#32946;&#23616;&#65288;&#26412;&#32423;&#65289;2023&#24180;&#37096;&#38376;&#20915;&#31639;&#20844;&#24320;&#26448;&#26009;\&#29615;&#27743;&#27611;&#21335;&#26063;&#33258;&#27835;&#21439;&#25945;&#32946;&#23616;%20(2023&#24180;&#20915;&#31639;&#20844;&#24320;&#349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jxjyj\Desktop\&#22270;&#34920;.xls"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G:\qinyanqiu\&#20915;&#31639;\&#25945;&#32946;&#31995;&#32479;&#20915;&#31639;&#20844;&#24320;&#19978;&#25253;&#26448;&#26009;\&#29615;&#27743;&#27611;&#21335;&#26063;&#33258;&#27835;&#21439;&#25945;&#32946;&#31995;&#32479;2023&#24180;&#37096;&#38376;&#20915;&#31639;&#20844;&#24320;&#26448;&#26009;\&#29615;&#27743;&#27611;&#21335;&#26063;&#33258;&#27835;&#21439;&#25945;&#32946;&#23616;&#65288;&#26412;&#32423;&#65289;2023&#24180;&#37096;&#38376;&#20915;&#31639;&#20844;&#24320;&#26448;&#26009;\&#29615;&#27743;&#27611;&#21335;&#26063;&#33258;&#27835;&#21439;&#25945;&#32946;&#23616;%20(2023&#24180;&#20915;&#31639;&#20844;&#24320;&#34920;).xlsx"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G:\qinyanqiu\&#20915;&#31639;\&#25945;&#32946;&#31995;&#32479;&#20915;&#31639;&#20844;&#24320;&#19978;&#25253;&#26448;&#26009;\&#29615;&#27743;&#27611;&#21335;&#26063;&#33258;&#27835;&#21439;&#25945;&#32946;&#31995;&#32479;2023&#24180;&#37096;&#38376;&#20915;&#31639;&#20844;&#24320;&#26448;&#26009;\&#29615;&#27743;&#27611;&#21335;&#26063;&#33258;&#27835;&#21439;&#25945;&#32946;&#23616;&#65288;&#26412;&#32423;&#65289;2023&#24180;&#37096;&#38376;&#20915;&#31639;&#20844;&#24320;&#26448;&#26009;\&#29615;&#27743;&#27611;&#21335;&#26063;&#33258;&#27835;&#21439;&#25945;&#32946;&#23616;%20(2023&#24180;&#20915;&#31639;&#20844;&#24320;&#34920;).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qinyanqiu\&#20915;&#31639;\&#25945;&#32946;&#31995;&#32479;&#20915;&#31639;&#20844;&#24320;&#19978;&#25253;&#26448;&#26009;\&#29615;&#27743;&#27611;&#21335;&#26063;&#33258;&#27835;&#21439;&#25945;&#32946;&#31995;&#32479;2023&#24180;&#37096;&#38376;&#20915;&#31639;&#20844;&#24320;&#26448;&#26009;\&#29615;&#27743;&#27611;&#21335;&#26063;&#33258;&#27835;&#21439;&#25945;&#32946;&#23616;&#65288;&#26412;&#32423;&#65289;2023&#24180;&#37096;&#38376;&#20915;&#31639;&#20844;&#24320;&#26448;&#26009;\&#29615;&#27743;&#27611;&#21335;&#26063;&#33258;&#27835;&#21439;&#25945;&#32946;&#23616;%20(2023&#24180;&#20915;&#31639;&#20844;&#24320;&#34920;).xlsx" TargetMode="External"/></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qinyanqiu\&#20915;&#31639;\&#25945;&#32946;&#31995;&#32479;&#20915;&#31639;&#20844;&#24320;&#19978;&#25253;&#26448;&#26009;\&#29615;&#27743;&#27611;&#21335;&#26063;&#33258;&#27835;&#21439;&#25945;&#32946;&#31995;&#32479;2023&#24180;&#37096;&#38376;&#20915;&#31639;&#20844;&#24320;&#26448;&#26009;\&#29615;&#27743;&#27611;&#21335;&#26063;&#33258;&#27835;&#21439;&#25945;&#32946;&#23616;&#65288;&#26412;&#32423;&#65289;2023&#24180;&#37096;&#38376;&#20915;&#31639;&#20844;&#24320;&#26448;&#26009;\&#29615;&#27743;&#27611;&#21335;&#26063;&#33258;&#27835;&#21439;&#25945;&#32946;&#23616;%20(2023&#24180;&#20915;&#31639;&#20844;&#2432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qinyanqiu\&#20915;&#31639;\&#25945;&#32946;&#31995;&#32479;&#20915;&#31639;&#20844;&#24320;&#19978;&#25253;&#26448;&#26009;\&#29615;&#27743;&#27611;&#21335;&#26063;&#33258;&#27835;&#21439;&#25945;&#32946;&#31995;&#32479;2023&#24180;&#37096;&#38376;&#20915;&#31639;&#20844;&#24320;&#26448;&#26009;\&#29615;&#27743;&#27611;&#21335;&#26063;&#33258;&#27835;&#21439;&#25945;&#32946;&#23616;&#65288;&#26412;&#32423;&#65289;2023&#24180;&#37096;&#38376;&#20915;&#31639;&#20844;&#24320;&#26448;&#26009;\&#29615;&#27743;&#27611;&#21335;&#26063;&#33258;&#27835;&#21439;&#25945;&#32946;&#23616;%20(2023&#24180;&#20915;&#31639;&#20844;&#2432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G:\qinyanqiu\&#20915;&#31639;\&#25945;&#32946;&#31995;&#32479;&#20915;&#31639;&#20844;&#24320;&#19978;&#25253;&#26448;&#26009;\&#29615;&#27743;&#27611;&#21335;&#26063;&#33258;&#27835;&#21439;&#25945;&#32946;&#31995;&#32479;2023&#24180;&#37096;&#38376;&#20915;&#31639;&#20844;&#24320;&#26448;&#26009;\&#29615;&#27743;&#27611;&#21335;&#26063;&#33258;&#27835;&#21439;&#25945;&#32946;&#23616;&#65288;&#26412;&#32423;&#65289;2023&#24180;&#37096;&#38376;&#20915;&#31639;&#20844;&#24320;&#26448;&#26009;\&#29615;&#27743;&#27611;&#21335;&#26063;&#33258;&#27835;&#21439;&#25945;&#32946;&#23616;%20(2023&#24180;&#20915;&#31639;&#20844;&#2432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qinyanqiu\&#20915;&#31639;\&#25945;&#32946;&#31995;&#32479;&#20915;&#31639;&#20844;&#24320;&#19978;&#25253;&#26448;&#26009;\&#29615;&#27743;&#27611;&#21335;&#26063;&#33258;&#27835;&#21439;&#25945;&#32946;&#31995;&#32479;2023&#24180;&#37096;&#38376;&#20915;&#31639;&#20844;&#24320;&#26448;&#26009;\&#29615;&#27743;&#27611;&#21335;&#26063;&#33258;&#27835;&#21439;&#25945;&#32946;&#23616;&#65288;&#26412;&#32423;&#65289;2023&#24180;&#37096;&#38376;&#20915;&#31639;&#20844;&#24320;&#26448;&#26009;\&#29615;&#27743;&#27611;&#21335;&#26063;&#33258;&#27835;&#21439;&#25945;&#32946;&#23616;%20(2023&#24180;&#20915;&#31639;&#20844;&#2432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qinyanqiu\&#20915;&#31639;\&#25945;&#32946;&#31995;&#32479;&#20915;&#31639;&#20844;&#24320;&#19978;&#25253;&#26448;&#26009;\&#29615;&#27743;&#27611;&#21335;&#26063;&#33258;&#27835;&#21439;&#25945;&#32946;&#31995;&#32479;2023&#24180;&#37096;&#38376;&#20915;&#31639;&#20844;&#24320;&#26448;&#26009;\&#29615;&#27743;&#27611;&#21335;&#26063;&#33258;&#27835;&#21439;&#25945;&#32946;&#23616;&#65288;&#26412;&#32423;&#65289;2023&#24180;&#37096;&#38376;&#20915;&#31639;&#20844;&#24320;&#26448;&#26009;\&#29615;&#27743;&#27611;&#21335;&#26063;&#33258;&#27835;&#21439;&#25945;&#32946;&#23616;%20(2023&#24180;&#20915;&#31639;&#20844;&#2432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G:\qinyanqiu\&#20915;&#31639;\&#25945;&#32946;&#31995;&#32479;&#20915;&#31639;&#20844;&#24320;&#19978;&#25253;&#26448;&#26009;\&#29615;&#27743;&#27611;&#21335;&#26063;&#33258;&#27835;&#21439;&#25945;&#32946;&#31995;&#32479;2023&#24180;&#37096;&#38376;&#20915;&#31639;&#20844;&#24320;&#26448;&#26009;\&#29615;&#27743;&#27611;&#21335;&#26063;&#33258;&#27835;&#21439;&#25945;&#32946;&#23616;&#65288;&#26412;&#32423;&#65289;2023&#24180;&#37096;&#38376;&#20915;&#31639;&#20844;&#24320;&#26448;&#26009;\&#29615;&#27743;&#27611;&#21335;&#26063;&#33258;&#27835;&#21439;&#25945;&#32946;&#23616;%20(2023&#24180;&#20915;&#31639;&#20844;&#24320;&#34920;).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G:\qinyanqiu\&#20915;&#31639;\&#25945;&#32946;&#31995;&#32479;&#20915;&#31639;&#20844;&#24320;&#19978;&#25253;&#26448;&#26009;\&#29615;&#27743;&#27611;&#21335;&#26063;&#33258;&#27835;&#21439;&#25945;&#32946;&#31995;&#32479;2023&#24180;&#37096;&#38376;&#20915;&#31639;&#20844;&#24320;&#26448;&#26009;\&#29615;&#27743;&#27611;&#21335;&#26063;&#33258;&#27835;&#21439;&#25945;&#32946;&#23616;&#65288;&#26412;&#32423;&#65289;2023&#24180;&#37096;&#38376;&#20915;&#31639;&#20844;&#24320;&#26448;&#26009;\&#29615;&#27743;&#27611;&#21335;&#26063;&#33258;&#27835;&#21439;&#25945;&#32946;&#23616;%20(2023&#24180;&#20915;&#31639;&#20844;&#24320;&#34920;).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G:\qinyanqiu\&#20915;&#31639;\&#25945;&#32946;&#31995;&#32479;&#20915;&#31639;&#20844;&#24320;&#19978;&#25253;&#26448;&#26009;\&#29615;&#27743;&#27611;&#21335;&#26063;&#33258;&#27835;&#21439;&#25945;&#32946;&#31995;&#32479;2023&#24180;&#37096;&#38376;&#20915;&#31639;&#20844;&#24320;&#26448;&#26009;\&#29615;&#27743;&#27611;&#21335;&#26063;&#33258;&#27835;&#21439;&#25945;&#32946;&#23616;&#65288;&#26412;&#32423;&#65289;2023&#24180;&#37096;&#38376;&#20915;&#31639;&#20844;&#24320;&#26448;&#26009;\&#29615;&#27743;&#27611;&#21335;&#26063;&#33258;&#27835;&#21439;&#25945;&#32946;&#23616;%20(2023&#24180;&#20915;&#31639;&#20844;&#2432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'[环江毛南族自治县教育局 (2023年决算公开表).xlsx]Sheet1'!$F$4</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'[环江毛南族自治县教育局 (2023年决算公开表).xlsx]Sheet1'!$E$5:$E$6</c:f>
              <c:strCache>
                <c:ptCount val="2"/>
                <c:pt idx="0">
                  <c:v>一般公共预算财政拨款收入</c:v>
                </c:pt>
                <c:pt idx="1">
                  <c:v>政府性基金预算财政拨款收入</c:v>
                </c:pt>
              </c:strCache>
            </c:strRef>
          </c:cat>
          <c:val>
            <c:numRef>
              <c:f>'[环江毛南族自治县教育局 (2023年决算公开表).xlsx]Sheet1'!$F$5:$F$6</c:f>
              <c:numCache>
                <c:formatCode>General</c:formatCode>
                <c:ptCount val="2"/>
                <c:pt idx="0">
                  <c:v>7242.24</c:v>
                </c:pt>
                <c:pt idx="1">
                  <c:v>646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其他支出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4975744975745"/>
          <c:y val="0.00628930817610063"/>
        </c:manualLayout>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[图表.xls]Sheet1!$D$10</c:f>
              <c:strCache>
                <c:ptCount val="1"/>
                <c:pt idx="0">
                  <c:v>科目代码</c:v>
                </c:pt>
              </c:strCache>
            </c:strRef>
          </c:tx>
          <c:spPr>
            <a:solidFill>
              <a:schemeClr val="accent1"/>
            </a:solidFill>
            <a:ln>
              <a:noFill/>
            </a:ln>
            <a:effectLst/>
          </c:spPr>
          <c:invertIfNegative val="0"/>
          <c:dLbls>
            <c:delete val="1"/>
          </c:dLbls>
          <c:cat>
            <c:strRef>
              <c:f>[图表.xls]Sheet1!$C$11:$C$12</c:f>
              <c:strCache>
                <c:ptCount val="2"/>
                <c:pt idx="0">
                  <c:v>2299999</c:v>
                </c:pt>
                <c:pt idx="1">
                  <c:v>229x</c:v>
                </c:pt>
              </c:strCache>
            </c:strRef>
          </c:cat>
          <c:val>
            <c:numRef>
              <c:f>[图表.xls]Sheet1!$D$11:$D$12</c:f>
              <c:numCache>
                <c:formatCode>General</c:formatCode>
                <c:ptCount val="2"/>
                <c:pt idx="0">
                  <c:v>116.3</c:v>
                </c:pt>
                <c:pt idx="1">
                  <c:v>116.3</c:v>
                </c:pt>
              </c:numCache>
            </c:numRef>
          </c:val>
        </c:ser>
        <c:dLbls>
          <c:showLegendKey val="0"/>
          <c:showVal val="0"/>
          <c:showCatName val="0"/>
          <c:showSerName val="0"/>
          <c:showPercent val="0"/>
          <c:showBubbleSize val="0"/>
        </c:dLbls>
        <c:gapWidth val="219"/>
        <c:overlap val="-27"/>
        <c:axId val="968820137"/>
        <c:axId val="101610469"/>
      </c:barChart>
      <c:catAx>
        <c:axId val="96882013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610469"/>
        <c:crosses val="autoZero"/>
        <c:auto val="1"/>
        <c:lblAlgn val="ctr"/>
        <c:lblOffset val="100"/>
        <c:noMultiLvlLbl val="0"/>
      </c:catAx>
      <c:valAx>
        <c:axId val="10161046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88201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709742019084"/>
          <c:y val="0.182234432234432"/>
          <c:w val="0.689527623983979"/>
          <c:h val="0.597741147741148"/>
        </c:manualLayout>
      </c:layout>
      <c:barChart>
        <c:barDir val="col"/>
        <c:grouping val="clustered"/>
        <c:varyColors val="0"/>
        <c:ser>
          <c:idx val="0"/>
          <c:order val="0"/>
          <c:tx>
            <c:strRef>
              <c:f>'[环江毛南族自治县教育局 (2023年决算公开表).xlsx]Sheet1'!$D$76</c:f>
              <c:strCache>
                <c:ptCount val="1"/>
                <c:pt idx="0">
                  <c:v>科目代码</c:v>
                </c:pt>
              </c:strCache>
            </c:strRef>
          </c:tx>
          <c:spPr>
            <a:solidFill>
              <a:schemeClr val="accent1"/>
            </a:solidFill>
            <a:ln>
              <a:noFill/>
            </a:ln>
            <a:effectLst/>
          </c:spPr>
          <c:invertIfNegative val="0"/>
          <c:dLbls>
            <c:delete val="1"/>
          </c:dLbls>
          <c:cat>
            <c:numRef>
              <c:f>'[环江毛南族自治县教育局 (2023年决算公开表).xlsx]Sheet1'!$C$77:$C$85</c:f>
              <c:numCache>
                <c:formatCode>General</c:formatCode>
                <c:ptCount val="9"/>
                <c:pt idx="0">
                  <c:v>30101</c:v>
                </c:pt>
                <c:pt idx="1">
                  <c:v>30102</c:v>
                </c:pt>
                <c:pt idx="2">
                  <c:v>30103</c:v>
                </c:pt>
                <c:pt idx="3">
                  <c:v>30107</c:v>
                </c:pt>
                <c:pt idx="4">
                  <c:v>30108</c:v>
                </c:pt>
                <c:pt idx="5">
                  <c:v>30110</c:v>
                </c:pt>
                <c:pt idx="6">
                  <c:v>30112</c:v>
                </c:pt>
                <c:pt idx="7">
                  <c:v>30113</c:v>
                </c:pt>
                <c:pt idx="8">
                  <c:v>30199</c:v>
                </c:pt>
              </c:numCache>
            </c:numRef>
          </c:cat>
          <c:val>
            <c:numRef>
              <c:f>'[环江毛南族自治县教育局 (2023年决算公开表).xlsx]Sheet1'!$D$77:$D$85</c:f>
              <c:numCache>
                <c:formatCode>General</c:formatCode>
                <c:ptCount val="9"/>
                <c:pt idx="0">
                  <c:v>318.31</c:v>
                </c:pt>
                <c:pt idx="1">
                  <c:v>48.89</c:v>
                </c:pt>
                <c:pt idx="2">
                  <c:v>232.71</c:v>
                </c:pt>
                <c:pt idx="3">
                  <c:v>123.66</c:v>
                </c:pt>
                <c:pt idx="4">
                  <c:v>323.11</c:v>
                </c:pt>
                <c:pt idx="5">
                  <c:v>42.45</c:v>
                </c:pt>
                <c:pt idx="6">
                  <c:v>5.28</c:v>
                </c:pt>
                <c:pt idx="7">
                  <c:v>78.85</c:v>
                </c:pt>
                <c:pt idx="8">
                  <c:v>3.63</c:v>
                </c:pt>
              </c:numCache>
            </c:numRef>
          </c:val>
        </c:ser>
        <c:dLbls>
          <c:showLegendKey val="0"/>
          <c:showVal val="0"/>
          <c:showCatName val="0"/>
          <c:showSerName val="0"/>
          <c:showPercent val="0"/>
          <c:showBubbleSize val="0"/>
        </c:dLbls>
        <c:gapWidth val="219"/>
        <c:overlap val="-27"/>
        <c:axId val="667512400"/>
        <c:axId val="53864931"/>
      </c:barChart>
      <c:catAx>
        <c:axId val="6675124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sz="1800"/>
                  <a:t>工资福利支出</a:t>
                </a:r>
                <a:endParaRPr lang="en-US" altLang="zh-CN" sz="1800"/>
              </a:p>
            </c:rich>
          </c:tx>
          <c:layout>
            <c:manualLayout>
              <c:xMode val="edge"/>
              <c:yMode val="edge"/>
              <c:x val="0.345000467140989"/>
              <c:y val="0.0509817410454827"/>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64931"/>
        <c:crosses val="autoZero"/>
        <c:auto val="1"/>
        <c:lblAlgn val="ctr"/>
        <c:lblOffset val="100"/>
        <c:noMultiLvlLbl val="0"/>
      </c:catAx>
      <c:valAx>
        <c:axId val="538649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7512400"/>
        <c:crosses val="autoZero"/>
        <c:crossBetween val="between"/>
      </c:valAx>
      <c:spPr>
        <a:noFill/>
        <a:ln>
          <a:noFill/>
        </a:ln>
        <a:effectLst/>
      </c:spPr>
    </c:plotArea>
    <c:legend>
      <c:legendPos val="r"/>
      <c:layout>
        <c:manualLayout>
          <c:xMode val="edge"/>
          <c:yMode val="edge"/>
          <c:x val="0.488342715615817"/>
          <c:y val="0.89964382546659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709742019084"/>
          <c:y val="0.182234432234432"/>
          <c:w val="0.689527623983979"/>
          <c:h val="0.597741147741148"/>
        </c:manualLayout>
      </c:layout>
      <c:barChart>
        <c:barDir val="col"/>
        <c:grouping val="clustered"/>
        <c:varyColors val="0"/>
        <c:ser>
          <c:idx val="0"/>
          <c:order val="0"/>
          <c:tx>
            <c:strRef>
              <c:f>'[环江毛南族自治县教育局 (2023年决算公开表).xlsx]Sheet1'!$D$76</c:f>
              <c:strCache>
                <c:ptCount val="1"/>
                <c:pt idx="0">
                  <c:v>科目代码</c:v>
                </c:pt>
              </c:strCache>
            </c:strRef>
          </c:tx>
          <c:spPr>
            <a:solidFill>
              <a:schemeClr val="accent1"/>
            </a:solidFill>
            <a:ln>
              <a:noFill/>
            </a:ln>
            <a:effectLst/>
          </c:spPr>
          <c:invertIfNegative val="0"/>
          <c:dLbls>
            <c:delete val="1"/>
          </c:dLbls>
          <c:cat>
            <c:numRef>
              <c:f>'[环江毛南族自治县教育局 (2023年决算公开表).xlsx]Sheet1'!$C$77:$C$82</c:f>
              <c:numCache>
                <c:formatCode>General</c:formatCode>
                <c:ptCount val="6"/>
                <c:pt idx="0">
                  <c:v>30201</c:v>
                </c:pt>
                <c:pt idx="1">
                  <c:v>30205</c:v>
                </c:pt>
                <c:pt idx="2">
                  <c:v>30206</c:v>
                </c:pt>
                <c:pt idx="3">
                  <c:v>30207</c:v>
                </c:pt>
                <c:pt idx="4">
                  <c:v>30228</c:v>
                </c:pt>
                <c:pt idx="5">
                  <c:v>30229</c:v>
                </c:pt>
              </c:numCache>
            </c:numRef>
          </c:cat>
          <c:val>
            <c:numRef>
              <c:f>'[环江毛南族自治县教育局 (2023年决算公开表).xlsx]Sheet1'!$D$77:$D$82</c:f>
              <c:numCache>
                <c:formatCode>General</c:formatCode>
                <c:ptCount val="6"/>
                <c:pt idx="0">
                  <c:v>0.4</c:v>
                </c:pt>
                <c:pt idx="1">
                  <c:v>0.29</c:v>
                </c:pt>
                <c:pt idx="2">
                  <c:v>3.71</c:v>
                </c:pt>
                <c:pt idx="3">
                  <c:v>3.53</c:v>
                </c:pt>
                <c:pt idx="4">
                  <c:v>13</c:v>
                </c:pt>
                <c:pt idx="5">
                  <c:v>6.23</c:v>
                </c:pt>
              </c:numCache>
            </c:numRef>
          </c:val>
        </c:ser>
        <c:dLbls>
          <c:showLegendKey val="0"/>
          <c:showVal val="0"/>
          <c:showCatName val="0"/>
          <c:showSerName val="0"/>
          <c:showPercent val="0"/>
          <c:showBubbleSize val="0"/>
        </c:dLbls>
        <c:gapWidth val="219"/>
        <c:overlap val="-27"/>
        <c:axId val="667512400"/>
        <c:axId val="53864931"/>
      </c:barChart>
      <c:catAx>
        <c:axId val="6675124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sz="1800"/>
                  <a:t>商品和服务支出</a:t>
                </a:r>
                <a:endParaRPr lang="en-US" altLang="zh-CN" sz="1800"/>
              </a:p>
            </c:rich>
          </c:tx>
          <c:layout>
            <c:manualLayout>
              <c:xMode val="edge"/>
              <c:yMode val="edge"/>
              <c:x val="0.345000467140989"/>
              <c:y val="0.0509817410454827"/>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64931"/>
        <c:crosses val="autoZero"/>
        <c:auto val="1"/>
        <c:lblAlgn val="ctr"/>
        <c:lblOffset val="100"/>
        <c:noMultiLvlLbl val="0"/>
      </c:catAx>
      <c:valAx>
        <c:axId val="538649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7512400"/>
        <c:crosses val="autoZero"/>
        <c:crossBetween val="between"/>
      </c:valAx>
      <c:spPr>
        <a:noFill/>
        <a:ln>
          <a:noFill/>
        </a:ln>
        <a:effectLst/>
      </c:spPr>
    </c:plotArea>
    <c:legend>
      <c:legendPos val="r"/>
      <c:layout>
        <c:manualLayout>
          <c:xMode val="edge"/>
          <c:yMode val="edge"/>
          <c:x val="0.488342715615817"/>
          <c:y val="0.89964382546659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709742019084"/>
          <c:y val="0.182234432234432"/>
          <c:w val="0.689527623983979"/>
          <c:h val="0.597741147741148"/>
        </c:manualLayout>
      </c:layout>
      <c:barChart>
        <c:barDir val="col"/>
        <c:grouping val="clustered"/>
        <c:varyColors val="0"/>
        <c:ser>
          <c:idx val="0"/>
          <c:order val="0"/>
          <c:tx>
            <c:strRef>
              <c:f>'[环江毛南族自治县教育局 (2023年决算公开表).xlsx]Sheet1'!$D$76</c:f>
              <c:strCache>
                <c:ptCount val="1"/>
                <c:pt idx="0">
                  <c:v>科目代码</c:v>
                </c:pt>
              </c:strCache>
            </c:strRef>
          </c:tx>
          <c:spPr>
            <a:solidFill>
              <a:schemeClr val="accent1"/>
            </a:solidFill>
            <a:ln>
              <a:noFill/>
            </a:ln>
            <a:effectLst/>
          </c:spPr>
          <c:invertIfNegative val="0"/>
          <c:dLbls>
            <c:delete val="1"/>
          </c:dLbls>
          <c:cat>
            <c:numRef>
              <c:f>'[环江毛南族自治县教育局 (2023年决算公开表).xlsx]Sheet1'!$C$77:$C$79</c:f>
              <c:numCache>
                <c:formatCode>General</c:formatCode>
                <c:ptCount val="3"/>
                <c:pt idx="0">
                  <c:v>30304</c:v>
                </c:pt>
                <c:pt idx="1">
                  <c:v>30305</c:v>
                </c:pt>
                <c:pt idx="2">
                  <c:v>30309</c:v>
                </c:pt>
              </c:numCache>
            </c:numRef>
          </c:cat>
          <c:val>
            <c:numRef>
              <c:f>'[环江毛南族自治县教育局 (2023年决算公开表).xlsx]Sheet1'!$D$77:$D$79</c:f>
              <c:numCache>
                <c:formatCode>General</c:formatCode>
                <c:ptCount val="3"/>
                <c:pt idx="0">
                  <c:v>36.83</c:v>
                </c:pt>
                <c:pt idx="1">
                  <c:v>50.97</c:v>
                </c:pt>
                <c:pt idx="2">
                  <c:v>0.03</c:v>
                </c:pt>
              </c:numCache>
            </c:numRef>
          </c:val>
        </c:ser>
        <c:dLbls>
          <c:showLegendKey val="0"/>
          <c:showVal val="0"/>
          <c:showCatName val="0"/>
          <c:showSerName val="0"/>
          <c:showPercent val="0"/>
          <c:showBubbleSize val="0"/>
        </c:dLbls>
        <c:gapWidth val="219"/>
        <c:overlap val="-27"/>
        <c:axId val="667512400"/>
        <c:axId val="53864931"/>
      </c:barChart>
      <c:catAx>
        <c:axId val="6675124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sz="1800"/>
                  <a:t>对个人和家庭的补助</a:t>
                </a:r>
                <a:r>
                  <a:rPr lang="en-US" altLang="zh-CN" sz="1800"/>
                  <a:t> </a:t>
                </a:r>
                <a:r>
                  <a:rPr altLang="en-US" sz="1800"/>
                  <a:t>支出</a:t>
                </a:r>
                <a:endParaRPr lang="en-US" altLang="zh-CN" sz="1800"/>
              </a:p>
            </c:rich>
          </c:tx>
          <c:layout>
            <c:manualLayout>
              <c:xMode val="edge"/>
              <c:yMode val="edge"/>
              <c:x val="0.249482924376599"/>
              <c:y val="0.0535275658927332"/>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64931"/>
        <c:crosses val="autoZero"/>
        <c:auto val="1"/>
        <c:lblAlgn val="ctr"/>
        <c:lblOffset val="100"/>
        <c:noMultiLvlLbl val="0"/>
      </c:catAx>
      <c:valAx>
        <c:axId val="538649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7512400"/>
        <c:crosses val="autoZero"/>
        <c:crossBetween val="between"/>
      </c:valAx>
      <c:spPr>
        <a:noFill/>
        <a:ln>
          <a:noFill/>
        </a:ln>
        <a:effectLst/>
      </c:spPr>
    </c:plotArea>
    <c:legend>
      <c:legendPos val="r"/>
      <c:layout>
        <c:manualLayout>
          <c:xMode val="edge"/>
          <c:yMode val="edge"/>
          <c:x val="0.488342715615817"/>
          <c:y val="0.89964382546659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'[环江毛南族自治县教育局 (2023年决算公开表).xlsx]Sheet1'!$D$5</c:f>
              <c:strCache>
                <c:ptCount val="1"/>
                <c:pt idx="0">
                  <c:v>2022年</c:v>
                </c:pt>
              </c:strCache>
            </c:strRef>
          </c:tx>
          <c:spPr>
            <a:solidFill>
              <a:schemeClr val="accent1"/>
            </a:solidFill>
            <a:ln>
              <a:noFill/>
            </a:ln>
            <a:effectLst/>
          </c:spPr>
          <c:invertIfNegative val="0"/>
          <c:dLbls>
            <c:delete val="1"/>
          </c:dLbls>
          <c:cat>
            <c:strRef>
              <c:f>'[环江毛南族自治县教育局 (2023年决算公开表).xlsx]Sheet1'!$C$6:$C$13</c:f>
              <c:strCache>
                <c:ptCount val="8"/>
                <c:pt idx="0">
                  <c:v>一般公共服务支出</c:v>
                </c:pt>
                <c:pt idx="1">
                  <c:v>教育支出</c:v>
                </c:pt>
                <c:pt idx="2">
                  <c:v>社会保障和就业支出</c:v>
                </c:pt>
                <c:pt idx="3">
                  <c:v>卫生健康支出</c:v>
                </c:pt>
                <c:pt idx="4">
                  <c:v>城乡社区支出</c:v>
                </c:pt>
                <c:pt idx="5">
                  <c:v>农林水支出</c:v>
                </c:pt>
                <c:pt idx="6">
                  <c:v>住房保障支出</c:v>
                </c:pt>
                <c:pt idx="7">
                  <c:v>其他支出</c:v>
                </c:pt>
              </c:strCache>
            </c:strRef>
          </c:cat>
          <c:val>
            <c:numRef>
              <c:f>'[环江毛南族自治县教育局 (2023年决算公开表).xlsx]Sheet1'!$D$6:$D$13</c:f>
              <c:numCache>
                <c:formatCode>#,##0.00</c:formatCode>
                <c:ptCount val="8"/>
                <c:pt idx="0">
                  <c:v>12.67</c:v>
                </c:pt>
                <c:pt idx="1">
                  <c:v>9181.14</c:v>
                </c:pt>
                <c:pt idx="2">
                  <c:v>99.76</c:v>
                </c:pt>
                <c:pt idx="3">
                  <c:v>0</c:v>
                </c:pt>
                <c:pt idx="4">
                  <c:v>0</c:v>
                </c:pt>
                <c:pt idx="5">
                  <c:v>1765.05</c:v>
                </c:pt>
                <c:pt idx="6">
                  <c:v>74.81</c:v>
                </c:pt>
                <c:pt idx="7">
                  <c:v>220.96</c:v>
                </c:pt>
              </c:numCache>
            </c:numRef>
          </c:val>
        </c:ser>
        <c:ser>
          <c:idx val="1"/>
          <c:order val="1"/>
          <c:tx>
            <c:strRef>
              <c:f>'[环江毛南族自治县教育局 (2023年决算公开表).xlsx]Sheet1'!$E$5</c:f>
              <c:strCache>
                <c:ptCount val="1"/>
                <c:pt idx="0">
                  <c:v>2023年</c:v>
                </c:pt>
              </c:strCache>
            </c:strRef>
          </c:tx>
          <c:spPr>
            <a:solidFill>
              <a:schemeClr val="accent2"/>
            </a:solidFill>
            <a:ln>
              <a:noFill/>
            </a:ln>
            <a:effectLst/>
          </c:spPr>
          <c:invertIfNegative val="0"/>
          <c:dLbls>
            <c:delete val="1"/>
          </c:dLbls>
          <c:cat>
            <c:strRef>
              <c:f>'[环江毛南族自治县教育局 (2023年决算公开表).xlsx]Sheet1'!$C$6:$C$13</c:f>
              <c:strCache>
                <c:ptCount val="8"/>
                <c:pt idx="0">
                  <c:v>一般公共服务支出</c:v>
                </c:pt>
                <c:pt idx="1">
                  <c:v>教育支出</c:v>
                </c:pt>
                <c:pt idx="2">
                  <c:v>社会保障和就业支出</c:v>
                </c:pt>
                <c:pt idx="3">
                  <c:v>卫生健康支出</c:v>
                </c:pt>
                <c:pt idx="4">
                  <c:v>城乡社区支出</c:v>
                </c:pt>
                <c:pt idx="5">
                  <c:v>农林水支出</c:v>
                </c:pt>
                <c:pt idx="6">
                  <c:v>住房保障支出</c:v>
                </c:pt>
                <c:pt idx="7">
                  <c:v>其他支出</c:v>
                </c:pt>
              </c:strCache>
            </c:strRef>
          </c:cat>
          <c:val>
            <c:numRef>
              <c:f>'[环江毛南族自治县教育局 (2023年决算公开表).xlsx]Sheet1'!$E$6:$E$13</c:f>
              <c:numCache>
                <c:formatCode>#,##0.00</c:formatCode>
                <c:ptCount val="8"/>
                <c:pt idx="0">
                  <c:v>13</c:v>
                </c:pt>
                <c:pt idx="1">
                  <c:v>5484.6</c:v>
                </c:pt>
                <c:pt idx="2">
                  <c:v>105.21</c:v>
                </c:pt>
                <c:pt idx="3">
                  <c:v>48.19</c:v>
                </c:pt>
                <c:pt idx="4">
                  <c:v>340.18</c:v>
                </c:pt>
                <c:pt idx="5">
                  <c:v>1396.08</c:v>
                </c:pt>
                <c:pt idx="6">
                  <c:v>78.85</c:v>
                </c:pt>
                <c:pt idx="7">
                  <c:v>422.13</c:v>
                </c:pt>
              </c:numCache>
            </c:numRef>
          </c:val>
        </c:ser>
        <c:dLbls>
          <c:showLegendKey val="0"/>
          <c:showVal val="0"/>
          <c:showCatName val="0"/>
          <c:showSerName val="0"/>
          <c:showPercent val="0"/>
          <c:showBubbleSize val="0"/>
        </c:dLbls>
        <c:gapWidth val="219"/>
        <c:overlap val="-27"/>
        <c:axId val="202418875"/>
        <c:axId val="719326018"/>
      </c:barChart>
      <c:catAx>
        <c:axId val="2024188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9326018"/>
        <c:crosses val="autoZero"/>
        <c:auto val="1"/>
        <c:lblAlgn val="ctr"/>
        <c:lblOffset val="100"/>
        <c:noMultiLvlLbl val="0"/>
      </c:catAx>
      <c:valAx>
        <c:axId val="71932601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41887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一般公共服务支出</a:t>
            </a:r>
          </a:p>
        </c:rich>
      </c:tx>
      <c:layout/>
      <c:overlay val="0"/>
      <c:spPr>
        <a:noFill/>
        <a:ln>
          <a:noFill/>
        </a:ln>
        <a:effectLst/>
      </c:spPr>
    </c:title>
    <c:autoTitleDeleted val="0"/>
    <c:plotArea>
      <c:layout/>
      <c:barChart>
        <c:barDir val="col"/>
        <c:grouping val="clustered"/>
        <c:varyColors val="0"/>
        <c:ser>
          <c:idx val="0"/>
          <c:order val="0"/>
          <c:tx>
            <c:strRef>
              <c:f>'[环江毛南族自治县教育局 (2023年决算公开表).xlsx]Sheet1'!$D$53</c:f>
              <c:strCache>
                <c:ptCount val="1"/>
                <c:pt idx="0">
                  <c:v>科目代码</c:v>
                </c:pt>
              </c:strCache>
            </c:strRef>
          </c:tx>
          <c:spPr>
            <a:solidFill>
              <a:schemeClr val="accent1"/>
            </a:solidFill>
            <a:ln>
              <a:noFill/>
            </a:ln>
            <a:effectLst/>
          </c:spPr>
          <c:invertIfNegative val="0"/>
          <c:dLbls>
            <c:delete val="1"/>
          </c:dLbls>
          <c:cat>
            <c:strRef>
              <c:f>'[环江毛南族自治县教育局 (2023年决算公开表).xlsx]Sheet1'!$C$54:$C$55</c:f>
              <c:strCache>
                <c:ptCount val="2"/>
                <c:pt idx="0">
                  <c:v>2012999</c:v>
                </c:pt>
                <c:pt idx="1">
                  <c:v>201x</c:v>
                </c:pt>
              </c:strCache>
            </c:strRef>
          </c:cat>
          <c:val>
            <c:numRef>
              <c:f>'[环江毛南族自治县教育局 (2023年决算公开表).xlsx]Sheet1'!$D$54:$D$55</c:f>
              <c:numCache>
                <c:formatCode>General</c:formatCode>
                <c:ptCount val="2"/>
                <c:pt idx="0">
                  <c:v>13</c:v>
                </c:pt>
                <c:pt idx="1">
                  <c:v>13</c:v>
                </c:pt>
              </c:numCache>
            </c:numRef>
          </c:val>
        </c:ser>
        <c:dLbls>
          <c:showLegendKey val="0"/>
          <c:showVal val="0"/>
          <c:showCatName val="0"/>
          <c:showSerName val="0"/>
          <c:showPercent val="0"/>
          <c:showBubbleSize val="0"/>
        </c:dLbls>
        <c:gapWidth val="219"/>
        <c:overlap val="-27"/>
        <c:axId val="190125407"/>
        <c:axId val="687606512"/>
      </c:barChart>
      <c:catAx>
        <c:axId val="1901254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7606512"/>
        <c:crosses val="autoZero"/>
        <c:auto val="1"/>
        <c:lblAlgn val="ctr"/>
        <c:lblOffset val="100"/>
        <c:noMultiLvlLbl val="0"/>
      </c:catAx>
      <c:valAx>
        <c:axId val="68760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125407"/>
        <c:crosses val="autoZero"/>
        <c:crossBetween val="between"/>
      </c:valAx>
      <c:spPr>
        <a:noFill/>
        <a:ln>
          <a:noFill/>
        </a:ln>
        <a:effectLst/>
      </c:spPr>
    </c:plotArea>
    <c:legend>
      <c:legendPos val="r"/>
      <c:layout>
        <c:manualLayout>
          <c:xMode val="edge"/>
          <c:yMode val="edge"/>
          <c:x val="0.408905252223073"/>
          <c:y val="0.913848015983716"/>
          <c:w val="0.119660136889308"/>
          <c:h val="0.07870855148342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教育支出</a:t>
            </a:r>
          </a:p>
        </c:rich>
      </c:tx>
      <c:layout/>
      <c:overlay val="0"/>
      <c:spPr>
        <a:noFill/>
        <a:ln>
          <a:noFill/>
        </a:ln>
        <a:effectLst/>
      </c:spPr>
    </c:title>
    <c:autoTitleDeleted val="0"/>
    <c:plotArea>
      <c:layout>
        <c:manualLayout>
          <c:layoutTarget val="inner"/>
          <c:xMode val="edge"/>
          <c:yMode val="edge"/>
          <c:x val="0.137760210803689"/>
          <c:y val="0.139756944444444"/>
          <c:w val="0.74695652173913"/>
          <c:h val="0.614652777777778"/>
        </c:manualLayout>
      </c:layout>
      <c:barChart>
        <c:barDir val="col"/>
        <c:grouping val="clustered"/>
        <c:varyColors val="0"/>
        <c:ser>
          <c:idx val="0"/>
          <c:order val="0"/>
          <c:tx>
            <c:strRef>
              <c:f>'[环江毛南族自治县教育局 (2023年决算公开表).xlsx]Sheet1'!$D$76</c:f>
              <c:strCache>
                <c:ptCount val="1"/>
                <c:pt idx="0">
                  <c:v>科目代码</c:v>
                </c:pt>
              </c:strCache>
            </c:strRef>
          </c:tx>
          <c:spPr>
            <a:solidFill>
              <a:schemeClr val="accent1"/>
            </a:solidFill>
            <a:ln>
              <a:noFill/>
            </a:ln>
            <a:effectLst/>
          </c:spPr>
          <c:invertIfNegative val="0"/>
          <c:dLbls>
            <c:delete val="1"/>
          </c:dLbls>
          <c:cat>
            <c:strRef>
              <c:f>'[环江毛南族自治县教育局 (2023年决算公开表).xlsx]Sheet1'!$C$77:$C$89</c:f>
              <c:strCache>
                <c:ptCount val="13"/>
                <c:pt idx="0">
                  <c:v>2050101</c:v>
                </c:pt>
                <c:pt idx="1">
                  <c:v>2050199</c:v>
                </c:pt>
                <c:pt idx="2">
                  <c:v>2050201</c:v>
                </c:pt>
                <c:pt idx="3">
                  <c:v>2050202</c:v>
                </c:pt>
                <c:pt idx="4">
                  <c:v>2050203</c:v>
                </c:pt>
                <c:pt idx="5">
                  <c:v>2050204</c:v>
                </c:pt>
                <c:pt idx="6">
                  <c:v>2050205</c:v>
                </c:pt>
                <c:pt idx="7">
                  <c:v>2050299</c:v>
                </c:pt>
                <c:pt idx="8">
                  <c:v>2050302</c:v>
                </c:pt>
                <c:pt idx="9">
                  <c:v>2050799</c:v>
                </c:pt>
                <c:pt idx="10">
                  <c:v>2050999</c:v>
                </c:pt>
                <c:pt idx="11">
                  <c:v>2059999</c:v>
                </c:pt>
                <c:pt idx="12">
                  <c:v>205x</c:v>
                </c:pt>
              </c:strCache>
            </c:strRef>
          </c:cat>
          <c:val>
            <c:numRef>
              <c:f>'[环江毛南族自治县教育局 (2023年决算公开表).xlsx]Sheet1'!$D$77:$D$89</c:f>
              <c:numCache>
                <c:formatCode>General</c:formatCode>
                <c:ptCount val="13"/>
                <c:pt idx="0">
                  <c:v>93.64</c:v>
                </c:pt>
                <c:pt idx="1">
                  <c:v>694.66</c:v>
                </c:pt>
                <c:pt idx="2">
                  <c:v>151.38</c:v>
                </c:pt>
                <c:pt idx="3">
                  <c:v>16.25</c:v>
                </c:pt>
                <c:pt idx="4">
                  <c:v>0</c:v>
                </c:pt>
                <c:pt idx="5">
                  <c:v>828.21</c:v>
                </c:pt>
                <c:pt idx="6">
                  <c:v>47.86</c:v>
                </c:pt>
                <c:pt idx="7">
                  <c:v>2584.15</c:v>
                </c:pt>
                <c:pt idx="8">
                  <c:v>145.26</c:v>
                </c:pt>
                <c:pt idx="9">
                  <c:v>25</c:v>
                </c:pt>
                <c:pt idx="10">
                  <c:v>897.94</c:v>
                </c:pt>
                <c:pt idx="11">
                  <c:v>0.25</c:v>
                </c:pt>
                <c:pt idx="12">
                  <c:v>5484.6</c:v>
                </c:pt>
              </c:numCache>
            </c:numRef>
          </c:val>
        </c:ser>
        <c:dLbls>
          <c:showLegendKey val="0"/>
          <c:showVal val="0"/>
          <c:showCatName val="0"/>
          <c:showSerName val="0"/>
          <c:showPercent val="0"/>
          <c:showBubbleSize val="0"/>
        </c:dLbls>
        <c:gapWidth val="219"/>
        <c:overlap val="-27"/>
        <c:axId val="322698055"/>
        <c:axId val="470893359"/>
      </c:barChart>
      <c:catAx>
        <c:axId val="32269805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893359"/>
        <c:crosses val="autoZero"/>
        <c:auto val="1"/>
        <c:lblAlgn val="ctr"/>
        <c:lblOffset val="100"/>
        <c:noMultiLvlLbl val="0"/>
      </c:catAx>
      <c:valAx>
        <c:axId val="470893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698055"/>
        <c:crosses val="autoZero"/>
        <c:crossBetween val="between"/>
      </c:valAx>
      <c:spPr>
        <a:noFill/>
        <a:ln>
          <a:noFill/>
        </a:ln>
        <a:effectLst/>
      </c:spPr>
    </c:plotArea>
    <c:legend>
      <c:legendPos val="b"/>
      <c:layout>
        <c:manualLayout>
          <c:xMode val="edge"/>
          <c:yMode val="edge"/>
          <c:x val="0.406596023336111"/>
          <c:y val="0.941081517352704"/>
          <c:w val="0.110965591141803"/>
          <c:h val="0.039548022598870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社会保障和就业支出</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manualLayout>
          <c:layoutTarget val="inner"/>
          <c:xMode val="edge"/>
          <c:yMode val="edge"/>
          <c:x val="0.137760210803689"/>
          <c:y val="0.139756944444444"/>
          <c:w val="0.74695652173913"/>
          <c:h val="0.614652777777778"/>
        </c:manualLayout>
      </c:layout>
      <c:barChart>
        <c:barDir val="col"/>
        <c:grouping val="clustered"/>
        <c:varyColors val="0"/>
        <c:ser>
          <c:idx val="0"/>
          <c:order val="0"/>
          <c:tx>
            <c:strRef>
              <c:f>'[环江毛南族自治县教育局 (2023年决算公开表).xlsx]Sheet1'!$D$76</c:f>
              <c:strCache>
                <c:ptCount val="1"/>
                <c:pt idx="0">
                  <c:v>科目代码</c:v>
                </c:pt>
              </c:strCache>
            </c:strRef>
          </c:tx>
          <c:spPr>
            <a:solidFill>
              <a:schemeClr val="accent1"/>
            </a:solidFill>
            <a:ln>
              <a:noFill/>
            </a:ln>
            <a:effectLst/>
          </c:spPr>
          <c:invertIfNegative val="0"/>
          <c:dLbls>
            <c:delete val="1"/>
          </c:dLbls>
          <c:cat>
            <c:strRef>
              <c:f>'[环江毛南族自治县教育局 (2023年决算公开表).xlsx]Sheet1'!$C$77:$C$78</c:f>
              <c:strCache>
                <c:ptCount val="2"/>
                <c:pt idx="0">
                  <c:v>2080505</c:v>
                </c:pt>
                <c:pt idx="1">
                  <c:v>208x</c:v>
                </c:pt>
              </c:strCache>
            </c:strRef>
          </c:cat>
          <c:val>
            <c:numRef>
              <c:f>'[环江毛南族自治县教育局 (2023年决算公开表).xlsx]Sheet1'!$D$77:$D$78</c:f>
              <c:numCache>
                <c:formatCode>General</c:formatCode>
                <c:ptCount val="2"/>
                <c:pt idx="0">
                  <c:v>105.21</c:v>
                </c:pt>
                <c:pt idx="1">
                  <c:v>105.21</c:v>
                </c:pt>
              </c:numCache>
            </c:numRef>
          </c:val>
        </c:ser>
        <c:dLbls>
          <c:showLegendKey val="0"/>
          <c:showVal val="0"/>
          <c:showCatName val="0"/>
          <c:showSerName val="0"/>
          <c:showPercent val="0"/>
          <c:showBubbleSize val="0"/>
        </c:dLbls>
        <c:gapWidth val="219"/>
        <c:overlap val="-27"/>
        <c:axId val="322698055"/>
        <c:axId val="470893359"/>
      </c:barChart>
      <c:catAx>
        <c:axId val="32269805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893359"/>
        <c:crosses val="autoZero"/>
        <c:auto val="1"/>
        <c:lblAlgn val="ctr"/>
        <c:lblOffset val="100"/>
        <c:noMultiLvlLbl val="0"/>
      </c:catAx>
      <c:valAx>
        <c:axId val="470893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698055"/>
        <c:crosses val="autoZero"/>
        <c:crossBetween val="between"/>
      </c:valAx>
      <c:spPr>
        <a:noFill/>
        <a:ln>
          <a:noFill/>
        </a:ln>
        <a:effectLst/>
      </c:spPr>
    </c:plotArea>
    <c:legend>
      <c:legendPos val="b"/>
      <c:layout>
        <c:manualLayout>
          <c:xMode val="edge"/>
          <c:yMode val="edge"/>
          <c:x val="0.445886415049411"/>
          <c:y val="0.873284907183212"/>
          <c:w val="0.110965591141803"/>
          <c:h val="0.039548022598870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卫生健康支出</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manualLayout>
          <c:layoutTarget val="inner"/>
          <c:xMode val="edge"/>
          <c:yMode val="edge"/>
          <c:x val="0.137760210803689"/>
          <c:y val="0.139756944444444"/>
          <c:w val="0.74695652173913"/>
          <c:h val="0.614652777777778"/>
        </c:manualLayout>
      </c:layout>
      <c:barChart>
        <c:barDir val="col"/>
        <c:grouping val="clustered"/>
        <c:varyColors val="0"/>
        <c:ser>
          <c:idx val="0"/>
          <c:order val="0"/>
          <c:tx>
            <c:strRef>
              <c:f>'[环江毛南族自治县教育局 (2023年决算公开表).xlsx]Sheet1'!$D$76</c:f>
              <c:strCache>
                <c:ptCount val="1"/>
                <c:pt idx="0">
                  <c:v>科目代码</c:v>
                </c:pt>
              </c:strCache>
            </c:strRef>
          </c:tx>
          <c:spPr>
            <a:solidFill>
              <a:schemeClr val="accent1"/>
            </a:solidFill>
            <a:ln>
              <a:noFill/>
            </a:ln>
            <a:effectLst/>
          </c:spPr>
          <c:invertIfNegative val="0"/>
          <c:dLbls>
            <c:delete val="1"/>
          </c:dLbls>
          <c:cat>
            <c:strRef>
              <c:f>'[环江毛南族自治县教育局 (2023年决算公开表).xlsx]Sheet1'!$C$77:$C$78</c:f>
              <c:strCache>
                <c:ptCount val="2"/>
                <c:pt idx="0">
                  <c:v>2100410</c:v>
                </c:pt>
                <c:pt idx="1">
                  <c:v>210x</c:v>
                </c:pt>
              </c:strCache>
            </c:strRef>
          </c:cat>
          <c:val>
            <c:numRef>
              <c:f>'[环江毛南族自治县教育局 (2023年决算公开表).xlsx]Sheet1'!$D$77:$D$78</c:f>
              <c:numCache>
                <c:formatCode>General</c:formatCode>
                <c:ptCount val="2"/>
                <c:pt idx="0">
                  <c:v>48.19</c:v>
                </c:pt>
                <c:pt idx="1">
                  <c:v>48.19</c:v>
                </c:pt>
              </c:numCache>
            </c:numRef>
          </c:val>
        </c:ser>
        <c:dLbls>
          <c:showLegendKey val="0"/>
          <c:showVal val="0"/>
          <c:showCatName val="0"/>
          <c:showSerName val="0"/>
          <c:showPercent val="0"/>
          <c:showBubbleSize val="0"/>
        </c:dLbls>
        <c:gapWidth val="219"/>
        <c:overlap val="-27"/>
        <c:axId val="322698055"/>
        <c:axId val="470893359"/>
      </c:barChart>
      <c:catAx>
        <c:axId val="32269805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893359"/>
        <c:crosses val="autoZero"/>
        <c:auto val="1"/>
        <c:lblAlgn val="ctr"/>
        <c:lblOffset val="100"/>
        <c:noMultiLvlLbl val="0"/>
      </c:catAx>
      <c:valAx>
        <c:axId val="470893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698055"/>
        <c:crosses val="autoZero"/>
        <c:crossBetween val="between"/>
      </c:valAx>
      <c:spPr>
        <a:noFill/>
        <a:ln>
          <a:noFill/>
        </a:ln>
        <a:effectLst/>
      </c:spPr>
    </c:plotArea>
    <c:legend>
      <c:legendPos val="b"/>
      <c:layout>
        <c:manualLayout>
          <c:xMode val="edge"/>
          <c:yMode val="edge"/>
          <c:x val="0.445886415049411"/>
          <c:y val="0.873284907183212"/>
          <c:w val="0.110965591141803"/>
          <c:h val="0.039548022598870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城乡社区支出</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manualLayout>
          <c:layoutTarget val="inner"/>
          <c:xMode val="edge"/>
          <c:yMode val="edge"/>
          <c:x val="0.137760210803689"/>
          <c:y val="0.139756944444444"/>
          <c:w val="0.74695652173913"/>
          <c:h val="0.614652777777778"/>
        </c:manualLayout>
      </c:layout>
      <c:barChart>
        <c:barDir val="col"/>
        <c:grouping val="clustered"/>
        <c:varyColors val="0"/>
        <c:ser>
          <c:idx val="0"/>
          <c:order val="0"/>
          <c:tx>
            <c:strRef>
              <c:f>'[环江毛南族自治县教育局 (2023年决算公开表).xlsx]Sheet1'!$D$76</c:f>
              <c:strCache>
                <c:ptCount val="1"/>
                <c:pt idx="0">
                  <c:v>科目代码</c:v>
                </c:pt>
              </c:strCache>
            </c:strRef>
          </c:tx>
          <c:spPr>
            <a:solidFill>
              <a:schemeClr val="accent1"/>
            </a:solidFill>
            <a:ln>
              <a:noFill/>
            </a:ln>
            <a:effectLst/>
          </c:spPr>
          <c:invertIfNegative val="0"/>
          <c:dLbls>
            <c:delete val="1"/>
          </c:dLbls>
          <c:cat>
            <c:strRef>
              <c:f>'[环江毛南族自治县教育局 (2023年决算公开表).xlsx]Sheet1'!$C$77:$C$78</c:f>
              <c:strCache>
                <c:ptCount val="2"/>
                <c:pt idx="0">
                  <c:v>2121903</c:v>
                </c:pt>
                <c:pt idx="1">
                  <c:v>212x</c:v>
                </c:pt>
              </c:strCache>
            </c:strRef>
          </c:cat>
          <c:val>
            <c:numRef>
              <c:f>'[环江毛南族自治县教育局 (2023年决算公开表).xlsx]Sheet1'!$D$77:$D$78</c:f>
              <c:numCache>
                <c:formatCode>General</c:formatCode>
                <c:ptCount val="2"/>
                <c:pt idx="0">
                  <c:v>340.18</c:v>
                </c:pt>
                <c:pt idx="1">
                  <c:v>340.18</c:v>
                </c:pt>
              </c:numCache>
            </c:numRef>
          </c:val>
        </c:ser>
        <c:dLbls>
          <c:showLegendKey val="0"/>
          <c:showVal val="0"/>
          <c:showCatName val="0"/>
          <c:showSerName val="0"/>
          <c:showPercent val="0"/>
          <c:showBubbleSize val="0"/>
        </c:dLbls>
        <c:gapWidth val="219"/>
        <c:overlap val="-27"/>
        <c:axId val="322698055"/>
        <c:axId val="470893359"/>
      </c:barChart>
      <c:catAx>
        <c:axId val="32269805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893359"/>
        <c:crosses val="autoZero"/>
        <c:auto val="1"/>
        <c:lblAlgn val="ctr"/>
        <c:lblOffset val="100"/>
        <c:noMultiLvlLbl val="0"/>
      </c:catAx>
      <c:valAx>
        <c:axId val="470893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698055"/>
        <c:crosses val="autoZero"/>
        <c:crossBetween val="between"/>
      </c:valAx>
      <c:spPr>
        <a:noFill/>
        <a:ln>
          <a:noFill/>
        </a:ln>
        <a:effectLst/>
      </c:spPr>
    </c:plotArea>
    <c:legend>
      <c:legendPos val="b"/>
      <c:layout>
        <c:manualLayout>
          <c:xMode val="edge"/>
          <c:yMode val="edge"/>
          <c:x val="0.445886415049411"/>
          <c:y val="0.873284907183212"/>
          <c:w val="0.110965591141803"/>
          <c:h val="0.039548022598870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709742019084"/>
          <c:y val="0.182234432234432"/>
          <c:w val="0.689527623983979"/>
          <c:h val="0.597741147741148"/>
        </c:manualLayout>
      </c:layout>
      <c:barChart>
        <c:barDir val="col"/>
        <c:grouping val="clustered"/>
        <c:varyColors val="0"/>
        <c:ser>
          <c:idx val="0"/>
          <c:order val="0"/>
          <c:tx>
            <c:strRef>
              <c:f>'[环江毛南族自治县教育局 (2023年决算公开表).xlsx]Sheet1'!$D$76</c:f>
              <c:strCache>
                <c:ptCount val="1"/>
                <c:pt idx="0">
                  <c:v>科目代码</c:v>
                </c:pt>
              </c:strCache>
            </c:strRef>
          </c:tx>
          <c:spPr>
            <a:solidFill>
              <a:schemeClr val="accent1"/>
            </a:solidFill>
            <a:ln>
              <a:noFill/>
            </a:ln>
            <a:effectLst/>
          </c:spPr>
          <c:invertIfNegative val="0"/>
          <c:dLbls>
            <c:delete val="1"/>
          </c:dLbls>
          <c:cat>
            <c:strRef>
              <c:f>'[环江毛南族自治县教育局 (2023年决算公开表).xlsx]Sheet1'!$C$77:$C$79</c:f>
              <c:strCache>
                <c:ptCount val="3"/>
                <c:pt idx="0">
                  <c:v>2130504</c:v>
                </c:pt>
                <c:pt idx="1">
                  <c:v>2130599</c:v>
                </c:pt>
                <c:pt idx="2">
                  <c:v>213x</c:v>
                </c:pt>
              </c:strCache>
            </c:strRef>
          </c:cat>
          <c:val>
            <c:numRef>
              <c:f>'[环江毛南族自治县教育局 (2023年决算公开表).xlsx]Sheet1'!$D$77:$D$79</c:f>
              <c:numCache>
                <c:formatCode>General</c:formatCode>
                <c:ptCount val="3"/>
                <c:pt idx="0">
                  <c:v>1040</c:v>
                </c:pt>
                <c:pt idx="1">
                  <c:v>356.08</c:v>
                </c:pt>
                <c:pt idx="2">
                  <c:v>1396.08</c:v>
                </c:pt>
              </c:numCache>
            </c:numRef>
          </c:val>
        </c:ser>
        <c:dLbls>
          <c:showLegendKey val="0"/>
          <c:showVal val="0"/>
          <c:showCatName val="0"/>
          <c:showSerName val="0"/>
          <c:showPercent val="0"/>
          <c:showBubbleSize val="0"/>
        </c:dLbls>
        <c:gapWidth val="219"/>
        <c:overlap val="-27"/>
        <c:axId val="667512400"/>
        <c:axId val="53864931"/>
      </c:barChart>
      <c:catAx>
        <c:axId val="6675124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800"/>
                  <a:t>农林水支出</a:t>
                </a:r>
                <a:endParaRPr sz="1800"/>
              </a:p>
            </c:rich>
          </c:tx>
          <c:layout>
            <c:manualLayout>
              <c:xMode val="edge"/>
              <c:yMode val="edge"/>
              <c:x val="0.345000467140989"/>
              <c:y val="0.0509817410454827"/>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64931"/>
        <c:crosses val="autoZero"/>
        <c:auto val="1"/>
        <c:lblAlgn val="ctr"/>
        <c:lblOffset val="100"/>
        <c:noMultiLvlLbl val="0"/>
      </c:catAx>
      <c:valAx>
        <c:axId val="538649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7512400"/>
        <c:crosses val="autoZero"/>
        <c:crossBetween val="between"/>
      </c:valAx>
      <c:spPr>
        <a:noFill/>
        <a:ln>
          <a:noFill/>
        </a:ln>
        <a:effectLst/>
      </c:spPr>
    </c:plotArea>
    <c:legend>
      <c:legendPos val="r"/>
      <c:layout>
        <c:manualLayout>
          <c:xMode val="edge"/>
          <c:yMode val="edge"/>
          <c:x val="0.488342715615817"/>
          <c:y val="0.89964382546659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709742019084"/>
          <c:y val="0.182234432234432"/>
          <c:w val="0.689527623983979"/>
          <c:h val="0.597741147741148"/>
        </c:manualLayout>
      </c:layout>
      <c:barChart>
        <c:barDir val="col"/>
        <c:grouping val="clustered"/>
        <c:varyColors val="0"/>
        <c:ser>
          <c:idx val="0"/>
          <c:order val="0"/>
          <c:tx>
            <c:strRef>
              <c:f>'[环江毛南族自治县教育局 (2023年决算公开表).xlsx]Sheet1'!$D$76</c:f>
              <c:strCache>
                <c:ptCount val="1"/>
                <c:pt idx="0">
                  <c:v>科目代码</c:v>
                </c:pt>
              </c:strCache>
            </c:strRef>
          </c:tx>
          <c:spPr>
            <a:solidFill>
              <a:schemeClr val="accent1"/>
            </a:solidFill>
            <a:ln>
              <a:noFill/>
            </a:ln>
            <a:effectLst/>
          </c:spPr>
          <c:invertIfNegative val="0"/>
          <c:dLbls>
            <c:delete val="1"/>
          </c:dLbls>
          <c:cat>
            <c:strRef>
              <c:f>'[环江毛南族自治县教育局 (2023年决算公开表).xlsx]Sheet1'!$C$77:$C$78</c:f>
              <c:strCache>
                <c:ptCount val="2"/>
                <c:pt idx="0">
                  <c:v>2210201</c:v>
                </c:pt>
                <c:pt idx="1">
                  <c:v>221x</c:v>
                </c:pt>
              </c:strCache>
            </c:strRef>
          </c:cat>
          <c:val>
            <c:numRef>
              <c:f>'[环江毛南族自治县教育局 (2023年决算公开表).xlsx]Sheet1'!$D$77:$D$78</c:f>
              <c:numCache>
                <c:formatCode>General</c:formatCode>
                <c:ptCount val="2"/>
                <c:pt idx="0">
                  <c:v>78.85</c:v>
                </c:pt>
                <c:pt idx="1">
                  <c:v>78.85</c:v>
                </c:pt>
              </c:numCache>
            </c:numRef>
          </c:val>
        </c:ser>
        <c:dLbls>
          <c:showLegendKey val="0"/>
          <c:showVal val="0"/>
          <c:showCatName val="0"/>
          <c:showSerName val="0"/>
          <c:showPercent val="0"/>
          <c:showBubbleSize val="0"/>
        </c:dLbls>
        <c:gapWidth val="219"/>
        <c:overlap val="-27"/>
        <c:axId val="667512400"/>
        <c:axId val="53864931"/>
      </c:barChart>
      <c:catAx>
        <c:axId val="6675124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sz="1800"/>
                  <a:t>住房保障支出</a:t>
                </a:r>
                <a:endParaRPr lang="en-US" altLang="zh-CN" sz="1800"/>
              </a:p>
            </c:rich>
          </c:tx>
          <c:layout>
            <c:manualLayout>
              <c:xMode val="edge"/>
              <c:yMode val="edge"/>
              <c:x val="0.345000467140989"/>
              <c:y val="0.0509817410454827"/>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64931"/>
        <c:crosses val="autoZero"/>
        <c:auto val="1"/>
        <c:lblAlgn val="ctr"/>
        <c:lblOffset val="100"/>
        <c:noMultiLvlLbl val="0"/>
      </c:catAx>
      <c:valAx>
        <c:axId val="538649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7512400"/>
        <c:crosses val="autoZero"/>
        <c:crossBetween val="between"/>
      </c:valAx>
      <c:spPr>
        <a:noFill/>
        <a:ln>
          <a:noFill/>
        </a:ln>
        <a:effectLst/>
      </c:spPr>
    </c:plotArea>
    <c:legend>
      <c:legendPos val="r"/>
      <c:layout>
        <c:manualLayout>
          <c:xMode val="edge"/>
          <c:yMode val="edge"/>
          <c:x val="0.488342715615817"/>
          <c:y val="0.89964382546659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56</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2023-08-18T18:06:00Z</dcterms:created>
  <dc:creator>C D D</dc:creator>
  <cp:lastModifiedBy>hjxjyj</cp:lastModifiedBy>
  <dcterms:modified xsi:type="dcterms:W3CDTF">2025-01-02T10:15:16Z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