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b/>
          <w:bCs/>
          <w:sz w:val="32"/>
          <w:szCs w:val="32"/>
          <w:highlight w:val="none"/>
        </w:rPr>
      </w:pPr>
    </w:p>
    <w:p>
      <w:pPr>
        <w:jc w:val="left"/>
        <w:rPr>
          <w:rFonts w:ascii="仿宋" w:hAnsi="仿宋" w:eastAsia="仿宋" w:cs="仿宋"/>
          <w:b/>
          <w:bCs/>
          <w:sz w:val="32"/>
          <w:szCs w:val="32"/>
          <w:highlight w:val="none"/>
        </w:rPr>
      </w:pPr>
    </w:p>
    <w:p>
      <w:pPr>
        <w:jc w:val="center"/>
        <w:rPr>
          <w:rFonts w:ascii="方正小标宋简体" w:eastAsia="方正小标宋简体" w:cs="ArialUnicodeMS"/>
          <w:b w:val="0"/>
          <w:bCs w:val="0"/>
          <w:kern w:val="0"/>
          <w:sz w:val="52"/>
          <w:szCs w:val="52"/>
        </w:rPr>
      </w:pPr>
      <w:r>
        <w:rPr>
          <w:rFonts w:hint="eastAsia" w:ascii="方正小标宋简体" w:eastAsia="方正小标宋简体"/>
          <w:b w:val="0"/>
          <w:bCs w:val="0"/>
          <w:kern w:val="0"/>
          <w:sz w:val="48"/>
          <w:szCs w:val="48"/>
        </w:rPr>
        <w:t>环江毛南族自治县社会科学界联合</w:t>
      </w:r>
      <w:r>
        <w:rPr>
          <w:rFonts w:hint="eastAsia" w:ascii="方正小标宋简体" w:eastAsia="方正小标宋简体"/>
          <w:b w:val="0"/>
          <w:bCs w:val="0"/>
          <w:kern w:val="0"/>
          <w:sz w:val="48"/>
          <w:szCs w:val="48"/>
          <w:lang w:eastAsia="zh-CN"/>
        </w:rPr>
        <w:t>会</w:t>
      </w:r>
      <w:r>
        <w:rPr>
          <w:rFonts w:hint="eastAsia" w:ascii="方正小标宋简体" w:eastAsia="方正小标宋简体"/>
          <w:b w:val="0"/>
          <w:bCs w:val="0"/>
          <w:kern w:val="0"/>
          <w:sz w:val="52"/>
          <w:szCs w:val="52"/>
        </w:rPr>
        <w:t>2023</w:t>
      </w:r>
      <w:r>
        <w:rPr>
          <w:rFonts w:hint="eastAsia" w:ascii="方正小标宋简体" w:eastAsia="方正小标宋简体" w:cs="ArialUnicodeMS"/>
          <w:b w:val="0"/>
          <w:bCs w:val="0"/>
          <w:kern w:val="0"/>
          <w:sz w:val="52"/>
          <w:szCs w:val="52"/>
        </w:rPr>
        <w:t>年度部门决算</w:t>
      </w:r>
    </w:p>
    <w:p>
      <w:pPr>
        <w:jc w:val="center"/>
        <w:rPr>
          <w:rFonts w:ascii="方正小标宋简体" w:eastAsia="方正小标宋简体"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b/>
          <w:bCs/>
          <w:kern w:val="0"/>
          <w:sz w:val="84"/>
          <w:szCs w:val="84"/>
        </w:rPr>
      </w:pP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spacing w:line="560" w:lineRule="exact"/>
        <w:ind w:firstLine="3534" w:firstLineChars="800"/>
        <w:jc w:val="both"/>
        <w:rPr>
          <w:rFonts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rPr>
          <w:rFonts w:ascii="黑体" w:hAnsi="黑体" w:eastAsia="黑体"/>
          <w:sz w:val="32"/>
          <w:szCs w:val="32"/>
        </w:rPr>
      </w:pPr>
      <w:r>
        <w:rPr>
          <w:rFonts w:hint="eastAsia" w:ascii="黑体" w:hAnsi="黑体" w:eastAsia="黑体"/>
          <w:sz w:val="32"/>
          <w:szCs w:val="32"/>
        </w:rPr>
        <w:t>第一部分：部门概况</w:t>
      </w:r>
    </w:p>
    <w:p>
      <w:pPr>
        <w:spacing w:line="560" w:lineRule="exact"/>
        <w:ind w:firstLine="645"/>
        <w:rPr>
          <w:rFonts w:ascii="仿宋_GB2312" w:eastAsia="仿宋_GB2312"/>
          <w:sz w:val="32"/>
          <w:szCs w:val="32"/>
        </w:rPr>
      </w:pPr>
      <w:r>
        <w:rPr>
          <w:rFonts w:hint="eastAsia" w:ascii="仿宋_GB2312" w:eastAsia="仿宋_GB2312"/>
          <w:sz w:val="32"/>
          <w:szCs w:val="32"/>
        </w:rPr>
        <w:t>一、本部门职责</w:t>
      </w:r>
    </w:p>
    <w:p>
      <w:pPr>
        <w:spacing w:line="560" w:lineRule="exact"/>
        <w:ind w:firstLine="645"/>
        <w:rPr>
          <w:rFonts w:ascii="仿宋_GB2312" w:eastAsia="仿宋_GB2312"/>
          <w:sz w:val="32"/>
          <w:szCs w:val="32"/>
        </w:rPr>
      </w:pPr>
      <w:r>
        <w:rPr>
          <w:rFonts w:hint="eastAsia" w:ascii="仿宋_GB2312" w:eastAsia="仿宋_GB2312"/>
          <w:sz w:val="32"/>
          <w:szCs w:val="32"/>
        </w:rPr>
        <w:t>二、机构设置情况</w:t>
      </w:r>
    </w:p>
    <w:p>
      <w:pPr>
        <w:spacing w:line="560" w:lineRule="exact"/>
        <w:ind w:firstLine="645"/>
        <w:rPr>
          <w:rFonts w:ascii="黑体" w:hAnsi="黑体" w:eastAsia="黑体"/>
          <w:sz w:val="32"/>
          <w:szCs w:val="32"/>
        </w:rPr>
      </w:pPr>
      <w:r>
        <w:rPr>
          <w:rFonts w:hint="eastAsia" w:ascii="黑体" w:hAnsi="黑体" w:eastAsia="黑体"/>
          <w:sz w:val="32"/>
          <w:szCs w:val="32"/>
        </w:rPr>
        <w:t>第二部分： 2023年度部门决算报表</w:t>
      </w:r>
    </w:p>
    <w:p>
      <w:pPr>
        <w:spacing w:line="560" w:lineRule="exact"/>
        <w:ind w:left="645"/>
        <w:rPr>
          <w:rFonts w:ascii="仿宋_GB2312" w:eastAsia="仿宋_GB2312"/>
          <w:sz w:val="32"/>
          <w:szCs w:val="32"/>
        </w:rPr>
      </w:pPr>
      <w:r>
        <w:rPr>
          <w:rFonts w:hint="eastAsia" w:ascii="仿宋_GB2312" w:eastAsia="仿宋_GB2312"/>
          <w:sz w:val="32"/>
          <w:szCs w:val="32"/>
        </w:rPr>
        <w:t>表一：收入支出决算总表</w:t>
      </w:r>
    </w:p>
    <w:p>
      <w:pPr>
        <w:spacing w:line="560" w:lineRule="exact"/>
        <w:ind w:left="645"/>
        <w:rPr>
          <w:rFonts w:ascii="仿宋_GB2312" w:eastAsia="仿宋_GB2312"/>
          <w:sz w:val="32"/>
          <w:szCs w:val="32"/>
        </w:rPr>
      </w:pPr>
      <w:r>
        <w:rPr>
          <w:rFonts w:hint="eastAsia" w:ascii="仿宋_GB2312" w:eastAsia="仿宋_GB2312"/>
          <w:sz w:val="32"/>
          <w:szCs w:val="32"/>
        </w:rPr>
        <w:t>表二：收入决算表</w:t>
      </w:r>
    </w:p>
    <w:p>
      <w:pPr>
        <w:spacing w:line="560" w:lineRule="exact"/>
        <w:ind w:left="645"/>
        <w:rPr>
          <w:rFonts w:ascii="仿宋_GB2312" w:eastAsia="仿宋_GB2312"/>
          <w:sz w:val="32"/>
          <w:szCs w:val="32"/>
        </w:rPr>
      </w:pPr>
      <w:r>
        <w:rPr>
          <w:rFonts w:hint="eastAsia" w:ascii="仿宋_GB2312" w:eastAsia="仿宋_GB2312"/>
          <w:sz w:val="32"/>
          <w:szCs w:val="32"/>
        </w:rPr>
        <w:t>表三：支出决算表</w:t>
      </w:r>
    </w:p>
    <w:p>
      <w:pPr>
        <w:spacing w:line="560" w:lineRule="exact"/>
        <w:ind w:left="645"/>
        <w:rPr>
          <w:rFonts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left="645"/>
        <w:rPr>
          <w:rFonts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left="645"/>
        <w:rPr>
          <w:rFonts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ind w:left="645"/>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left="645"/>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spacing w:line="560" w:lineRule="exact"/>
        <w:ind w:left="645"/>
        <w:rPr>
          <w:rFonts w:ascii="仿宋_GB2312" w:eastAsia="仿宋_GB2312"/>
          <w:sz w:val="32"/>
          <w:szCs w:val="32"/>
        </w:rPr>
      </w:pPr>
      <w:r>
        <w:rPr>
          <w:rFonts w:hint="eastAsia" w:ascii="仿宋_GB2312" w:eastAsia="仿宋_GB2312"/>
          <w:sz w:val="32"/>
          <w:szCs w:val="32"/>
        </w:rPr>
        <w:t>表九：财政拨款安排的“三公”经费支出决算表</w:t>
      </w:r>
    </w:p>
    <w:p>
      <w:pPr>
        <w:spacing w:line="560" w:lineRule="exact"/>
        <w:ind w:firstLine="645"/>
        <w:rPr>
          <w:rFonts w:ascii="黑体" w:hAnsi="黑体" w:eastAsia="黑体"/>
          <w:sz w:val="32"/>
          <w:szCs w:val="32"/>
        </w:rPr>
      </w:pPr>
      <w:r>
        <w:rPr>
          <w:rFonts w:hint="eastAsia" w:ascii="黑体" w:hAnsi="黑体" w:eastAsia="黑体"/>
          <w:sz w:val="32"/>
          <w:szCs w:val="32"/>
        </w:rPr>
        <w:t>第三部分：2023年度部门决算情况说明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2023</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三、2023年度一般公共预算财政拨款基本支出决算情况说明。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2023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五、2023年度国有资本经营预算支出决算情况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p>
    <w:p>
      <w:pPr>
        <w:autoSpaceDE w:val="0"/>
        <w:autoSpaceDN w:val="0"/>
        <w:adjustRightInd w:val="0"/>
        <w:jc w:val="left"/>
        <w:rPr>
          <w:rFonts w:hint="eastAsia" w:ascii="仿宋_GB2312" w:eastAsia="仿宋_GB2312" w:cs="仿宋_GB2312"/>
          <w:kern w:val="0"/>
          <w:sz w:val="32"/>
          <w:szCs w:val="32"/>
          <w:highlight w:val="none"/>
        </w:rPr>
      </w:pP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ind w:firstLine="640" w:firstLineChars="200"/>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spacing w:line="560" w:lineRule="exact"/>
        <w:ind w:firstLine="646"/>
        <w:jc w:val="center"/>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cs="黑体"/>
          <w:sz w:val="32"/>
          <w:szCs w:val="32"/>
          <w:highlight w:val="none"/>
        </w:rPr>
        <w:t>部门</w:t>
      </w:r>
      <w:r>
        <w:rPr>
          <w:rFonts w:hint="eastAsia" w:ascii="黑体" w:hAnsi="黑体" w:eastAsia="黑体"/>
          <w:sz w:val="32"/>
          <w:szCs w:val="32"/>
        </w:rPr>
        <w:t>概况</w:t>
      </w:r>
    </w:p>
    <w:p>
      <w:pPr>
        <w:spacing w:line="560" w:lineRule="exact"/>
        <w:ind w:firstLine="646"/>
        <w:rPr>
          <w:rFonts w:ascii="黑体" w:hAnsi="黑体" w:eastAsia="黑体"/>
          <w:sz w:val="32"/>
          <w:szCs w:val="32"/>
        </w:rPr>
      </w:pPr>
      <w:r>
        <w:rPr>
          <w:rFonts w:hint="eastAsia" w:ascii="黑体" w:hAnsi="黑体" w:eastAsia="黑体"/>
          <w:sz w:val="32"/>
          <w:szCs w:val="32"/>
        </w:rPr>
        <w:t>一、本部门职责</w:t>
      </w:r>
    </w:p>
    <w:p>
      <w:pPr>
        <w:ind w:firstLine="900" w:firstLineChars="300"/>
        <w:rPr>
          <w:rFonts w:ascii="宋体" w:hAnsi="宋体"/>
          <w:sz w:val="30"/>
          <w:szCs w:val="30"/>
        </w:rPr>
      </w:pPr>
      <w:r>
        <w:rPr>
          <w:rFonts w:hint="eastAsia" w:ascii="宋体" w:hAnsi="宋体"/>
          <w:sz w:val="30"/>
          <w:szCs w:val="30"/>
        </w:rPr>
        <w:t>1、领导、协调和指导县属社会科学各个学会、协会、研究会的工作，对有关的社会科学社团进行监督管理，维护团体会员和广大社会科学工作者的合法权益，听取并反映社会科学界的情况和意见。</w:t>
      </w:r>
    </w:p>
    <w:p>
      <w:pPr>
        <w:ind w:firstLine="900" w:firstLineChars="300"/>
        <w:rPr>
          <w:rFonts w:ascii="宋体" w:hAnsi="宋体"/>
          <w:sz w:val="30"/>
          <w:szCs w:val="30"/>
        </w:rPr>
      </w:pPr>
      <w:r>
        <w:rPr>
          <w:rFonts w:hint="eastAsia" w:ascii="宋体" w:hAnsi="宋体"/>
          <w:sz w:val="30"/>
          <w:szCs w:val="30"/>
        </w:rPr>
        <w:t>2、制订自治县社科联学术活动规划，有计划地开展学术研究和交流活动，帮助和支持社会科学工作者进行科研和探索，并促进社会科学工作者和自然科学工作者的联合。</w:t>
      </w:r>
    </w:p>
    <w:p>
      <w:pPr>
        <w:ind w:firstLine="900" w:firstLineChars="300"/>
        <w:rPr>
          <w:rFonts w:ascii="宋体" w:hAnsi="宋体"/>
          <w:sz w:val="30"/>
          <w:szCs w:val="30"/>
        </w:rPr>
      </w:pPr>
      <w:r>
        <w:rPr>
          <w:rFonts w:hint="eastAsia" w:ascii="宋体" w:hAnsi="宋体"/>
          <w:sz w:val="30"/>
          <w:szCs w:val="30"/>
        </w:rPr>
        <w:t>3、组织开展学术活动与交流，加强与外地学者、学术团体学术交流和友好往来。</w:t>
      </w:r>
    </w:p>
    <w:p>
      <w:pPr>
        <w:ind w:firstLine="900" w:firstLineChars="300"/>
        <w:rPr>
          <w:rFonts w:ascii="宋体" w:hAnsi="宋体"/>
          <w:sz w:val="30"/>
          <w:szCs w:val="30"/>
        </w:rPr>
      </w:pPr>
      <w:r>
        <w:rPr>
          <w:rFonts w:hint="eastAsia" w:ascii="宋体" w:hAnsi="宋体"/>
          <w:sz w:val="30"/>
          <w:szCs w:val="30"/>
        </w:rPr>
        <w:t>4、组织开展全县社会科学优秀成果的评奖、评优活动。</w:t>
      </w:r>
    </w:p>
    <w:p>
      <w:pPr>
        <w:ind w:firstLine="900" w:firstLineChars="300"/>
        <w:rPr>
          <w:rFonts w:ascii="宋体" w:hAnsi="宋体"/>
          <w:sz w:val="30"/>
          <w:szCs w:val="30"/>
        </w:rPr>
      </w:pPr>
      <w:r>
        <w:rPr>
          <w:rFonts w:hint="eastAsia" w:ascii="宋体" w:hAnsi="宋体"/>
          <w:sz w:val="30"/>
          <w:szCs w:val="30"/>
        </w:rPr>
        <w:t>5、组织开展社会科学知识宣传普及活动。</w:t>
      </w:r>
    </w:p>
    <w:p>
      <w:pPr>
        <w:ind w:firstLine="900" w:firstLineChars="300"/>
        <w:rPr>
          <w:rFonts w:ascii="宋体" w:hAnsi="宋体"/>
          <w:sz w:val="30"/>
          <w:szCs w:val="30"/>
        </w:rPr>
      </w:pPr>
      <w:r>
        <w:rPr>
          <w:rFonts w:hint="eastAsia" w:ascii="宋体" w:hAnsi="宋体"/>
          <w:sz w:val="30"/>
          <w:szCs w:val="30"/>
        </w:rPr>
        <w:t>6、办好社会科学学术刊物。</w:t>
      </w:r>
    </w:p>
    <w:p>
      <w:pPr>
        <w:ind w:firstLine="900" w:firstLineChars="300"/>
        <w:rPr>
          <w:rFonts w:ascii="宋体" w:hAnsi="宋体"/>
          <w:sz w:val="30"/>
          <w:szCs w:val="30"/>
        </w:rPr>
      </w:pPr>
      <w:r>
        <w:rPr>
          <w:rFonts w:hint="eastAsia" w:ascii="宋体" w:hAnsi="宋体"/>
          <w:sz w:val="30"/>
          <w:szCs w:val="30"/>
        </w:rPr>
        <w:t>7、承办县委、县人民政府交办的其他工作。</w:t>
      </w:r>
    </w:p>
    <w:p>
      <w:pPr>
        <w:spacing w:line="560" w:lineRule="exact"/>
        <w:ind w:firstLine="646"/>
        <w:rPr>
          <w:rFonts w:hint="eastAsia" w:ascii="黑体" w:hAnsi="黑体" w:eastAsia="黑体"/>
          <w:sz w:val="32"/>
          <w:szCs w:val="32"/>
        </w:rPr>
      </w:pPr>
    </w:p>
    <w:p>
      <w:pPr>
        <w:spacing w:line="560" w:lineRule="exact"/>
        <w:ind w:firstLine="646"/>
        <w:rPr>
          <w:rFonts w:ascii="黑体" w:hAnsi="黑体" w:eastAsia="黑体"/>
          <w:sz w:val="32"/>
          <w:szCs w:val="32"/>
        </w:rPr>
      </w:pPr>
      <w:r>
        <w:rPr>
          <w:rFonts w:hint="eastAsia" w:ascii="黑体" w:hAnsi="黑体" w:eastAsia="黑体"/>
          <w:sz w:val="32"/>
          <w:szCs w:val="32"/>
        </w:rPr>
        <w:t>二、机构设置情况</w:t>
      </w:r>
    </w:p>
    <w:p>
      <w:pPr>
        <w:ind w:firstLine="645"/>
        <w:rPr>
          <w:rFonts w:ascii="仿宋_GB2312" w:eastAsia="仿宋_GB2312"/>
          <w:sz w:val="32"/>
          <w:szCs w:val="32"/>
        </w:rPr>
      </w:pPr>
      <w:r>
        <w:rPr>
          <w:rFonts w:hint="eastAsia" w:ascii="仿宋_GB2312" w:eastAsia="仿宋_GB2312"/>
          <w:sz w:val="32"/>
          <w:szCs w:val="32"/>
        </w:rPr>
        <w:t>本单位由1个独立机构编制数组成，本单位为参公事业单位，年初有3个行政编人员，3月份有1人调入,4月份有1人调入,共有5人，参公1人，行政4人，8月份退休1人。</w:t>
      </w:r>
    </w:p>
    <w:p>
      <w:pPr>
        <w:jc w:val="center"/>
      </w:pPr>
    </w:p>
    <w:p>
      <w:pPr>
        <w:jc w:val="center"/>
      </w:pPr>
    </w:p>
    <w:p>
      <w:pPr>
        <w:jc w:val="center"/>
      </w:pPr>
    </w:p>
    <w:p>
      <w:pPr>
        <w:ind w:firstLine="640" w:firstLineChars="200"/>
        <w:jc w:val="left"/>
        <w:rPr>
          <w:rFonts w:hint="eastAsia" w:ascii="黑体" w:hAnsi="黑体" w:eastAsia="黑体" w:cs="黑体"/>
          <w:sz w:val="32"/>
          <w:szCs w:val="32"/>
          <w:highlight w:val="none"/>
        </w:rPr>
      </w:pPr>
    </w:p>
    <w:p>
      <w:pPr>
        <w:jc w:val="both"/>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第二部分：环江毛南族自治县社会科学界联合会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90.62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70.29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90.62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90.62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90.62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90.62</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90.62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90.62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0.0</w:t>
            </w:r>
            <w:r>
              <w:rPr>
                <w:rFonts w:hint="eastAsia" w:ascii="宋体" w:hAnsi="宋体" w:eastAsia="宋体" w:cs="宋体"/>
                <w:b/>
                <w:bCs/>
                <w:color w:val="000000"/>
                <w:sz w:val="22"/>
                <w:szCs w:val="22"/>
                <w:highlight w:val="none"/>
              </w:rPr>
              <w:t>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61.09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61.09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0.70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20133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宣传事务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5.69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5.69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5.69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90.62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81.03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kern w:val="0"/>
                <w:sz w:val="22"/>
                <w:szCs w:val="22"/>
                <w:highlight w:val="none"/>
                <w:lang w:val="en-US" w:eastAsia="zh-CN" w:bidi="ar"/>
              </w:rPr>
              <w:t>9.59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61.09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9.59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70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48"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70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20133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宣传事务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9.59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2013301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9.59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5.69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5.69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5.69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90.62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70.29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70.29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5.69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90.62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90.62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90.62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90.62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90.62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90.62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90.62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81.03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kern w:val="0"/>
                <w:sz w:val="22"/>
                <w:szCs w:val="22"/>
                <w:highlight w:val="none"/>
                <w:lang w:val="en-US" w:eastAsia="zh-CN" w:bidi="ar"/>
              </w:rPr>
              <w:t>9.59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61.09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51.5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9.59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20133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宣传事务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9.59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2013301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9.59</w:t>
            </w:r>
          </w:p>
        </w:tc>
      </w:tr>
      <w:tr>
        <w:tblPrEx>
          <w:tblCellMar>
            <w:top w:w="0" w:type="dxa"/>
            <w:left w:w="108" w:type="dxa"/>
            <w:bottom w:w="0" w:type="dxa"/>
            <w:right w:w="108" w:type="dxa"/>
          </w:tblCellMar>
        </w:tblPrEx>
        <w:trPr>
          <w:trHeight w:val="331"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5.69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5.69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5.69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val="en-US" w:eastAsia="zh-CN"/>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74.7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5.88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31.66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8.49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8.41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val="0"/>
                <w:bCs w:val="0"/>
                <w:color w:val="000000"/>
                <w:kern w:val="2"/>
                <w:sz w:val="22"/>
                <w:szCs w:val="22"/>
                <w:highlight w:val="none"/>
                <w:lang w:val="en-US" w:eastAsia="zh-CN" w:bidi="ar-SA"/>
              </w:rPr>
            </w:pPr>
            <w:r>
              <w:rPr>
                <w:rFonts w:hint="default" w:ascii="宋体" w:hAnsi="宋体" w:eastAsia="宋体" w:cs="宋体"/>
                <w:b w:val="0"/>
                <w:bCs w:val="0"/>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0"/>
                <w:sz w:val="22"/>
                <w:szCs w:val="22"/>
                <w:highlight w:val="none"/>
                <w:lang w:val="en-US" w:eastAsia="zh-CN" w:bidi="ar"/>
              </w:rPr>
              <w:t>0.86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val="0"/>
                <w:bCs w:val="0"/>
                <w:color w:val="000000"/>
                <w:kern w:val="2"/>
                <w:sz w:val="22"/>
                <w:szCs w:val="22"/>
                <w:highlight w:val="none"/>
                <w:lang w:val="en-US" w:eastAsia="zh-CN" w:bidi="ar-SA"/>
              </w:rPr>
            </w:pPr>
            <w:r>
              <w:rPr>
                <w:rFonts w:hint="default" w:ascii="宋体" w:hAnsi="宋体" w:eastAsia="宋体" w:cs="宋体"/>
                <w:b w:val="0"/>
                <w:bCs w:val="0"/>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val="0"/>
                <w:bCs w:val="0"/>
                <w:color w:val="000000"/>
                <w:kern w:val="2"/>
                <w:sz w:val="22"/>
                <w:szCs w:val="22"/>
                <w:highlight w:val="none"/>
                <w:lang w:val="en-US" w:eastAsia="zh-CN" w:bidi="ar-SA"/>
              </w:rPr>
            </w:pPr>
            <w:r>
              <w:rPr>
                <w:rFonts w:hint="default" w:ascii="宋体" w:hAnsi="宋体" w:eastAsia="宋体" w:cs="宋体"/>
                <w:b w:val="0"/>
                <w:bCs w:val="0"/>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0.08</w:t>
            </w:r>
          </w:p>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val="0"/>
                <w:bCs w:val="0"/>
                <w:color w:val="000000"/>
                <w:kern w:val="2"/>
                <w:sz w:val="22"/>
                <w:szCs w:val="22"/>
                <w:highlight w:val="none"/>
                <w:lang w:val="en-US" w:eastAsia="zh-CN" w:bidi="ar-SA"/>
              </w:rPr>
            </w:pPr>
            <w:r>
              <w:rPr>
                <w:rFonts w:hint="default" w:ascii="宋体" w:hAnsi="宋体" w:eastAsia="宋体" w:cs="宋体"/>
                <w:b w:val="0"/>
                <w:bCs w:val="0"/>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
              </w:rPr>
              <w:t>6.24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0.11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0.70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75.15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5.88</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sz w:val="22"/>
                <w:szCs w:val="22"/>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tbl>
            <w:tblPr>
              <w:tblStyle w:val="7"/>
              <w:tblW w:w="1692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6920" w:type="dxa"/>
                  <w:vMerge w:val="restart"/>
                  <w:tcBorders>
                    <w:top w:val="single" w:color="000000" w:sz="4" w:space="0"/>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6920" w:type="dxa"/>
                  <w:vMerge w:val="continue"/>
                  <w:tcBorders>
                    <w:top w:val="single" w:color="000000" w:sz="4" w:space="0"/>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rPr>
        <w:t xml:space="preserve"> 社科联 </w:t>
      </w:r>
      <w:r>
        <w:rPr>
          <w:rFonts w:hint="eastAsia" w:ascii="黑体" w:hAnsi="黑体" w:eastAsia="黑体"/>
          <w:sz w:val="32"/>
          <w:szCs w:val="32"/>
        </w:rPr>
        <w:t>2023年度部门决算情况说明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2023</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（一）本部门2023年度总收入90.62万元，其中本年收入90.62万元，</w:t>
      </w:r>
      <w:r>
        <w:rPr>
          <w:rFonts w:hint="eastAsia" w:ascii="仿宋_GB2312" w:hAnsi="黑体" w:eastAsia="仿宋_GB2312" w:cs="仿宋_GB2312"/>
          <w:kern w:val="0"/>
          <w:sz w:val="32"/>
          <w:szCs w:val="32"/>
        </w:rPr>
        <w:t>较2022年度决算数增加40.80万元，增长81.89%。</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.一般公共预算财政拨款收入90.62万元，为自治区本级财政当年拨付的资金。</w:t>
      </w:r>
      <w:r>
        <w:rPr>
          <w:rFonts w:hint="eastAsia" w:ascii="仿宋_GB2312" w:hAnsi="黑体" w:eastAsia="仿宋_GB2312" w:cs="仿宋_GB2312"/>
          <w:kern w:val="0"/>
          <w:sz w:val="32"/>
          <w:szCs w:val="32"/>
        </w:rPr>
        <w:t>较2022年度决算数增加40.8万元，增长81.89%，主要原因是3月份调入1名领导人，4月份又调入1个人，同年增加了两名人员。</w:t>
      </w:r>
    </w:p>
    <w:p>
      <w:pPr>
        <w:autoSpaceDE w:val="0"/>
        <w:autoSpaceDN w:val="0"/>
        <w:adjustRightInd w:val="0"/>
        <w:spacing w:line="56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2.政府性基金预算财政拨款收入0万元，为自治区本级财政当年拨付的资金。</w:t>
      </w:r>
      <w:r>
        <w:rPr>
          <w:rFonts w:hint="eastAsia" w:ascii="仿宋_GB2312" w:hAnsi="黑体" w:eastAsia="仿宋_GB2312" w:cs="仿宋_GB2312"/>
          <w:kern w:val="0"/>
          <w:sz w:val="32"/>
          <w:szCs w:val="32"/>
        </w:rPr>
        <w:t>较2022年度决算数增加</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元，增长</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.国有资本经营预算财政拨款收入0万元，为自治区本级财政当年拨付的资金。</w:t>
      </w:r>
      <w:r>
        <w:rPr>
          <w:rFonts w:hint="eastAsia" w:ascii="仿宋_GB2312" w:hAnsi="黑体" w:eastAsia="仿宋_GB2312" w:cs="仿宋_GB2312"/>
          <w:kern w:val="0"/>
          <w:sz w:val="32"/>
          <w:szCs w:val="32"/>
        </w:rPr>
        <w:t>较2022年度决算数增加</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4.事业收入0万元，为事业单位开展业务活动取得的收入。</w:t>
      </w:r>
      <w:r>
        <w:rPr>
          <w:rFonts w:hint="eastAsia" w:ascii="仿宋_GB2312" w:hAnsi="黑体" w:eastAsia="仿宋_GB2312" w:cs="仿宋_GB2312"/>
          <w:kern w:val="0"/>
          <w:sz w:val="32"/>
          <w:szCs w:val="32"/>
        </w:rPr>
        <w:t>较2022年度决算数增加</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万元，增长0%</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.经营收入0万元，为事业单位在业务活动之外开展非独立核算经营活动取得的收入。</w:t>
      </w:r>
      <w:r>
        <w:rPr>
          <w:rFonts w:hint="eastAsia" w:ascii="仿宋_GB2312" w:hAnsi="黑体" w:eastAsia="仿宋_GB2312" w:cs="仿宋_GB2312"/>
          <w:kern w:val="0"/>
          <w:sz w:val="32"/>
          <w:szCs w:val="32"/>
        </w:rPr>
        <w:t>较2022年度决算数增加</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.其他收入0万元，为预算单位在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rPr>
          <w:rFonts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之外取得的收入。如：</w:t>
      </w:r>
      <w:r>
        <w:rPr>
          <w:rFonts w:hint="eastAsia" w:ascii="仿宋_GB2312" w:hAnsi="黑体" w:eastAsia="仿宋_GB2312" w:cs="仿宋_GB2312"/>
          <w:kern w:val="0"/>
          <w:sz w:val="32"/>
          <w:szCs w:val="32"/>
        </w:rPr>
        <w:t>较2022年度决算数增加</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使用非财政拨款结余（含专用结余）0万元，主要是所属事业单位在当年的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较2022年度决算数增加</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rPr>
          <w:rFonts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.上年结转和结0万元，为以前年度支出预算因客观条件变化未执行完毕、结转到本年度按有关规定继续使用的资金。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较2022年度决算数增加</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90.62</w:t>
      </w:r>
      <w:r>
        <w:rPr>
          <w:rFonts w:hint="eastAsia" w:ascii="仿宋" w:hAnsi="仿宋" w:eastAsia="仿宋" w:cs="仿宋"/>
          <w:sz w:val="32"/>
          <w:szCs w:val="32"/>
          <w:highlight w:val="none"/>
        </w:rPr>
        <w:t>万元，其中本年支出</w:t>
      </w:r>
      <w:r>
        <w:rPr>
          <w:rFonts w:hint="eastAsia" w:ascii="仿宋" w:hAnsi="仿宋" w:eastAsia="仿宋" w:cs="仿宋"/>
          <w:sz w:val="32"/>
          <w:szCs w:val="32"/>
          <w:highlight w:val="none"/>
          <w:lang w:val="en-US" w:eastAsia="zh-CN"/>
        </w:rPr>
        <w:t>90.6</w:t>
      </w:r>
      <w:r>
        <w:rPr>
          <w:rFonts w:hint="eastAsia" w:ascii="仿宋" w:hAnsi="仿宋" w:eastAsia="仿宋" w:cs="仿宋"/>
          <w:sz w:val="32"/>
          <w:u w:color="auto"/>
          <w:lang w:val="en-US" w:eastAsia="zh-CN"/>
        </w:rPr>
        <w:t>2</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_GB2312" w:hAnsi="黑体" w:eastAsia="仿宋_GB2312" w:cs="仿宋_GB2312"/>
          <w:kern w:val="0"/>
          <w:sz w:val="32"/>
          <w:szCs w:val="32"/>
        </w:rPr>
        <w:t>增加40.80万元，增长81.89%</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u w:color="auto"/>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70.29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：本部门为保证日常运转发生的基本支出和为完成各项工作任务、保障单位事业发展而发生的项目支出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_GB2312" w:hAnsi="黑体" w:eastAsia="仿宋_GB2312" w:cs="仿宋_GB2312"/>
          <w:kern w:val="0"/>
          <w:sz w:val="32"/>
          <w:szCs w:val="32"/>
        </w:rPr>
        <w:t>增加</w:t>
      </w:r>
      <w:r>
        <w:rPr>
          <w:rFonts w:hint="eastAsia" w:ascii="仿宋_GB2312" w:hAnsi="黑体" w:eastAsia="仿宋_GB2312" w:cs="仿宋_GB2312"/>
          <w:kern w:val="0"/>
          <w:sz w:val="32"/>
          <w:szCs w:val="32"/>
          <w:lang w:val="en-US" w:eastAsia="zh-CN"/>
        </w:rPr>
        <w:t>32.8</w:t>
      </w:r>
      <w:r>
        <w:rPr>
          <w:rFonts w:hint="eastAsia" w:ascii="仿宋_GB2312" w:hAnsi="黑体" w:eastAsia="仿宋_GB2312" w:cs="仿宋_GB2312"/>
          <w:color w:val="auto"/>
          <w:kern w:val="0"/>
          <w:sz w:val="32"/>
          <w:szCs w:val="32"/>
          <w:lang w:val="en-US" w:eastAsia="zh-CN"/>
        </w:rPr>
        <w:t>5</w:t>
      </w:r>
      <w:r>
        <w:rPr>
          <w:rFonts w:hint="eastAsia" w:ascii="仿宋_GB2312" w:hAnsi="黑体" w:eastAsia="仿宋_GB2312" w:cs="仿宋_GB2312"/>
          <w:color w:val="auto"/>
          <w:kern w:val="0"/>
          <w:sz w:val="32"/>
          <w:szCs w:val="32"/>
        </w:rPr>
        <w:t>万元，增长8</w:t>
      </w:r>
      <w:r>
        <w:rPr>
          <w:rFonts w:hint="eastAsia" w:ascii="仿宋_GB2312" w:hAnsi="黑体" w:eastAsia="仿宋_GB2312" w:cs="仿宋_GB2312"/>
          <w:color w:val="auto"/>
          <w:kern w:val="0"/>
          <w:sz w:val="32"/>
          <w:szCs w:val="32"/>
          <w:lang w:val="en-US" w:eastAsia="zh-CN"/>
        </w:rPr>
        <w:t>7.74</w:t>
      </w:r>
      <w:r>
        <w:rPr>
          <w:rFonts w:hint="eastAsia" w:ascii="仿宋_GB2312" w:hAnsi="黑体" w:eastAsia="仿宋_GB2312" w:cs="仿宋_GB2312"/>
          <w:color w:val="auto"/>
          <w:kern w:val="0"/>
          <w:sz w:val="32"/>
          <w:szCs w:val="32"/>
        </w:rPr>
        <w:t>%</w:t>
      </w:r>
      <w:r>
        <w:rPr>
          <w:rFonts w:hint="eastAsia" w:ascii="仿宋" w:hAnsi="仿宋" w:eastAsia="仿宋" w:cs="仿宋"/>
          <w:color w:val="auto"/>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黑体" w:eastAsia="仿宋_GB2312" w:cs="仿宋_GB2312"/>
          <w:kern w:val="0"/>
          <w:sz w:val="32"/>
          <w:szCs w:val="32"/>
        </w:rPr>
        <w:t>3月份调入1名领导人，4月份又调入1个人，同年增加了两名人员</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：主要用于机关事业单位基本养老缴费支出,其他行政事业单位离退休支出</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4.23</w:t>
      </w:r>
      <w:r>
        <w:rPr>
          <w:rFonts w:hint="eastAsia" w:ascii="仿宋" w:hAnsi="仿宋" w:eastAsia="仿宋" w:cs="仿宋"/>
          <w:color w:val="auto"/>
          <w:sz w:val="32"/>
          <w:szCs w:val="32"/>
          <w:highlight w:val="none"/>
        </w:rPr>
        <w:t>万元，</w:t>
      </w:r>
      <w:r>
        <w:rPr>
          <w:rFonts w:hint="eastAsia" w:ascii="仿宋_GB2312" w:hAnsi="黑体" w:eastAsia="仿宋_GB2312" w:cs="仿宋_GB2312"/>
          <w:color w:val="auto"/>
          <w:kern w:val="0"/>
          <w:sz w:val="32"/>
          <w:szCs w:val="32"/>
        </w:rPr>
        <w:t>增长</w:t>
      </w:r>
      <w:r>
        <w:rPr>
          <w:rFonts w:hint="eastAsia" w:ascii="仿宋_GB2312" w:hAnsi="黑体" w:eastAsia="仿宋_GB2312" w:cs="仿宋_GB2312"/>
          <w:color w:val="auto"/>
          <w:kern w:val="0"/>
          <w:sz w:val="32"/>
          <w:szCs w:val="32"/>
          <w:lang w:val="en-US" w:eastAsia="zh-CN"/>
        </w:rPr>
        <w:t>101.44</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val="en-US" w:eastAsia="zh-CN"/>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黑体" w:eastAsia="仿宋_GB2312" w:cs="仿宋_GB2312"/>
          <w:kern w:val="0"/>
          <w:sz w:val="32"/>
          <w:szCs w:val="32"/>
        </w:rPr>
        <w:t>3月份调入1名领导人，4月份又调入1个人，同年增加了两名人员</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u w:color="auto"/>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6.24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职工住房保障及公积金</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3.07</w:t>
      </w:r>
      <w:r>
        <w:rPr>
          <w:rFonts w:hint="eastAsia" w:ascii="仿宋" w:hAnsi="仿宋" w:eastAsia="仿宋" w:cs="仿宋"/>
          <w:color w:val="auto"/>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_GB2312" w:hAnsi="黑体" w:eastAsia="仿宋_GB2312" w:cs="仿宋_GB2312"/>
          <w:color w:val="auto"/>
          <w:kern w:val="0"/>
          <w:sz w:val="32"/>
          <w:szCs w:val="32"/>
        </w:rPr>
        <w:t>增长</w:t>
      </w:r>
      <w:r>
        <w:rPr>
          <w:rFonts w:hint="eastAsia" w:ascii="仿宋_GB2312" w:hAnsi="黑体" w:eastAsia="仿宋_GB2312" w:cs="仿宋_GB2312"/>
          <w:color w:val="auto"/>
          <w:kern w:val="0"/>
          <w:sz w:val="32"/>
          <w:szCs w:val="32"/>
          <w:lang w:val="en-US" w:eastAsia="zh-CN"/>
        </w:rPr>
        <w:t>96.85</w:t>
      </w:r>
      <w:r>
        <w:rPr>
          <w:rFonts w:hint="eastAsia" w:ascii="仿宋_GB2312" w:hAnsi="黑体" w:eastAsia="仿宋_GB2312" w:cs="仿宋_GB2312"/>
          <w:color w:val="auto"/>
          <w:kern w:val="0"/>
          <w:sz w:val="32"/>
          <w:szCs w:val="32"/>
        </w:rPr>
        <w:t>%</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黑体" w:eastAsia="仿宋_GB2312" w:cs="仿宋_GB2312"/>
          <w:kern w:val="0"/>
          <w:sz w:val="32"/>
          <w:szCs w:val="32"/>
        </w:rPr>
        <w:t>3月份调入1名领导人，4月份又调入1个人，同年增加了两名人员</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color w:val="FF0000"/>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4.其他支出（229类）5.69万元，主要用于2022年度绩效考评奖支付。较2022年度决算数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0.65</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w:t>
      </w:r>
      <w:r>
        <w:rPr>
          <w:rFonts w:hint="eastAsia" w:ascii="仿宋_GB2312" w:hAnsi="黑体" w:eastAsia="仿宋_GB2312" w:cs="仿宋_GB2312"/>
          <w:color w:val="auto"/>
          <w:kern w:val="0"/>
          <w:sz w:val="32"/>
          <w:szCs w:val="32"/>
        </w:rPr>
        <w:t>增长</w:t>
      </w:r>
      <w:r>
        <w:rPr>
          <w:rFonts w:hint="eastAsia" w:ascii="仿宋_GB2312" w:hAnsi="黑体" w:eastAsia="仿宋_GB2312" w:cs="仿宋_GB2312"/>
          <w:color w:val="auto"/>
          <w:kern w:val="0"/>
          <w:sz w:val="32"/>
          <w:szCs w:val="32"/>
          <w:lang w:val="en-US" w:eastAsia="zh-CN"/>
        </w:rPr>
        <w:t>12.90</w:t>
      </w:r>
      <w:r>
        <w:rPr>
          <w:rFonts w:hint="eastAsia" w:ascii="仿宋_GB2312" w:hAnsi="黑体" w:eastAsia="仿宋_GB2312" w:cs="仿宋_GB2312"/>
          <w:color w:val="auto"/>
          <w:kern w:val="0"/>
          <w:sz w:val="32"/>
          <w:szCs w:val="32"/>
        </w:rPr>
        <w:t>%</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黑体" w:eastAsia="仿宋_GB2312" w:cs="仿宋_GB2312"/>
          <w:color w:val="auto"/>
          <w:kern w:val="0"/>
          <w:sz w:val="32"/>
          <w:szCs w:val="32"/>
        </w:rPr>
        <w:t>3月份调入1名领导人，4月份又</w:t>
      </w:r>
      <w:r>
        <w:rPr>
          <w:rFonts w:hint="eastAsia" w:ascii="仿宋_GB2312" w:hAnsi="黑体" w:eastAsia="仿宋_GB2312" w:cs="仿宋_GB2312"/>
          <w:kern w:val="0"/>
          <w:sz w:val="32"/>
          <w:szCs w:val="32"/>
        </w:rPr>
        <w:t>调入1个人，同年增加了两名人员</w:t>
      </w:r>
      <w:r>
        <w:rPr>
          <w:rFonts w:hint="eastAsia" w:ascii="仿宋" w:hAnsi="仿宋" w:eastAsia="仿宋" w:cs="仿宋"/>
          <w:sz w:val="32"/>
          <w:szCs w:val="32"/>
          <w:highlight w:val="none"/>
        </w:rPr>
        <w:t>。</w:t>
      </w:r>
    </w:p>
    <w:p>
      <w:pPr>
        <w:autoSpaceDE w:val="0"/>
        <w:autoSpaceDN w:val="0"/>
        <w:adjustRightInd w:val="0"/>
        <w:spacing w:line="56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结余分配 0万元，为事业单位按规定提取的专用结余、缴纳所得税和转入非财政拨款结余等。</w:t>
      </w:r>
      <w:r>
        <w:rPr>
          <w:rFonts w:hint="eastAsia" w:ascii="仿宋_GB2312" w:hAnsi="黑体" w:eastAsia="仿宋_GB2312" w:cs="仿宋_GB2312"/>
          <w:kern w:val="0"/>
          <w:sz w:val="32"/>
          <w:szCs w:val="32"/>
        </w:rPr>
        <w:t>较2022年度决算数增加</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rPr>
        <w:t>0</w:t>
      </w:r>
      <w:r>
        <w:rPr>
          <w:rFonts w:hint="eastAsia" w:ascii="仿宋_GB2312" w:hAnsi="黑体" w:eastAsia="仿宋_GB2312" w:cs="仿宋_GB2312"/>
          <w:kern w:val="0"/>
          <w:sz w:val="32"/>
          <w:szCs w:val="32"/>
        </w:rPr>
        <w:t>%。</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ascii="仿宋" w:hAnsi="仿宋" w:eastAsia="仿宋" w:cs="仿宋"/>
          <w:sz w:val="32"/>
          <w:szCs w:val="32"/>
        </w:rPr>
        <w:t>结余分配</w:t>
      </w:r>
      <w:r>
        <w:rPr>
          <w:rFonts w:hint="eastAsia" w:ascii="仿宋" w:hAnsi="仿宋" w:eastAsia="仿宋" w:cs="仿宋"/>
          <w:sz w:val="32"/>
          <w:szCs w:val="32"/>
        </w:rPr>
        <w:t>0.00</w:t>
      </w:r>
      <w:r>
        <w:rPr>
          <w:rFonts w:ascii="仿宋" w:hAnsi="仿宋" w:eastAsia="仿宋" w:cs="仿宋"/>
          <w:sz w:val="32"/>
          <w:szCs w:val="32"/>
        </w:rPr>
        <w:t>万元，为事业单位按规定提取的专用结余、缴纳所得税和转入非财政拨款结余等。较202</w:t>
      </w:r>
      <w:r>
        <w:rPr>
          <w:rFonts w:hint="eastAsia" w:ascii="仿宋" w:hAnsi="仿宋" w:eastAsia="仿宋" w:cs="仿宋"/>
          <w:sz w:val="32"/>
          <w:szCs w:val="32"/>
          <w:lang w:val="en-US" w:eastAsia="zh-CN"/>
        </w:rPr>
        <w:t>2</w:t>
      </w:r>
      <w:r>
        <w:rPr>
          <w:rFonts w:ascii="仿宋" w:hAnsi="仿宋" w:eastAsia="仿宋" w:cs="仿宋"/>
          <w:sz w:val="32"/>
          <w:szCs w:val="32"/>
        </w:rPr>
        <w:t>年决算</w:t>
      </w:r>
      <w:r>
        <w:rPr>
          <w:rFonts w:hint="eastAsia" w:ascii="仿宋" w:hAnsi="仿宋" w:eastAsia="仿宋" w:cs="仿宋"/>
          <w:sz w:val="32"/>
          <w:szCs w:val="32"/>
        </w:rPr>
        <w:t>0.00</w:t>
      </w:r>
      <w:r>
        <w:rPr>
          <w:rFonts w:ascii="仿宋" w:hAnsi="仿宋" w:eastAsia="仿宋" w:cs="仿宋"/>
          <w:sz w:val="32"/>
          <w:szCs w:val="32"/>
        </w:rPr>
        <w:t>万元</w:t>
      </w:r>
      <w:r>
        <w:rPr>
          <w:rFonts w:hint="eastAsia" w:ascii="仿宋" w:hAnsi="仿宋" w:eastAsia="仿宋" w:cs="仿宋"/>
          <w:sz w:val="32"/>
          <w:szCs w:val="32"/>
        </w:rPr>
        <w:t>,增加0.00</w:t>
      </w:r>
      <w:r>
        <w:rPr>
          <w:rFonts w:ascii="仿宋" w:hAnsi="仿宋" w:eastAsia="仿宋" w:cs="仿宋"/>
          <w:sz w:val="32"/>
          <w:szCs w:val="32"/>
        </w:rPr>
        <w:t>万元，</w:t>
      </w:r>
      <w:r>
        <w:rPr>
          <w:rFonts w:hint="eastAsia" w:ascii="仿宋" w:hAnsi="仿宋" w:eastAsia="仿宋" w:cs="仿宋"/>
          <w:sz w:val="32"/>
          <w:szCs w:val="32"/>
        </w:rPr>
        <w:t>增长0%</w:t>
      </w:r>
      <w:r>
        <w:rPr>
          <w:rFonts w:ascii="仿宋" w:hAnsi="仿宋" w:eastAsia="仿宋" w:cs="仿宋"/>
          <w:sz w:val="32"/>
          <w:szCs w:val="32"/>
        </w:rPr>
        <w:t>，主要原因是</w:t>
      </w:r>
      <w:r>
        <w:rPr>
          <w:rFonts w:hint="eastAsia" w:ascii="仿宋" w:hAnsi="仿宋" w:eastAsia="仿宋" w:cs="仿宋"/>
          <w:sz w:val="32"/>
          <w:szCs w:val="32"/>
        </w:rPr>
        <w:t>：</w:t>
      </w:r>
      <w:r>
        <w:rPr>
          <w:rFonts w:hint="eastAsia" w:ascii="仿宋" w:hAnsi="仿宋" w:eastAsia="仿宋" w:cs="仿宋"/>
          <w:sz w:val="32"/>
          <w:szCs w:val="32"/>
          <w:lang w:val="en-US" w:eastAsia="zh-CN"/>
        </w:rPr>
        <w:t>本单位无</w:t>
      </w:r>
    </w:p>
    <w:p>
      <w:pPr>
        <w:ind w:firstLine="640" w:firstLineChars="200"/>
        <w:jc w:val="left"/>
        <w:rPr>
          <w:rFonts w:ascii="仿宋" w:hAnsi="仿宋" w:eastAsia="仿宋" w:cs="仿宋"/>
          <w:sz w:val="32"/>
          <w:szCs w:val="32"/>
        </w:rPr>
      </w:pPr>
      <w:bookmarkStart w:id="4" w:name="_GoBack"/>
      <w:bookmarkEnd w:id="4"/>
      <w:r>
        <w:rPr>
          <w:rFonts w:hint="eastAsia" w:ascii="仿宋" w:hAnsi="仿宋" w:eastAsia="仿宋" w:cs="仿宋"/>
          <w:sz w:val="32"/>
          <w:szCs w:val="32"/>
        </w:rPr>
        <w:t>年末结转和结余</w:t>
      </w:r>
      <w:r>
        <w:rPr>
          <w:rFonts w:hint="eastAsia" w:ascii="仿宋" w:hAnsi="仿宋" w:eastAsia="仿宋" w:cs="仿宋"/>
          <w:sz w:val="32"/>
        </w:rPr>
        <w:t>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rPr>
        <w:t>。较202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ascii="仿宋" w:hAnsi="仿宋" w:eastAsia="仿宋" w:cs="仿宋"/>
          <w:sz w:val="32"/>
        </w:rPr>
        <w:t>增加</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主要原因是：我单位资金无结余。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szCs w:val="32"/>
          <w:highlight w:val="none"/>
          <w:lang w:val="en-US" w:eastAsia="zh-CN"/>
        </w:rPr>
        <w:t>90.62</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_GB2312" w:hAnsi="黑体" w:eastAsia="仿宋_GB2312" w:cs="仿宋_GB2312"/>
          <w:kern w:val="0"/>
          <w:sz w:val="32"/>
          <w:szCs w:val="32"/>
        </w:rPr>
        <w:t>增加</w:t>
      </w:r>
      <w:r>
        <w:rPr>
          <w:rFonts w:hint="eastAsia" w:ascii="仿宋_GB2312" w:hAnsi="黑体" w:eastAsia="仿宋_GB2312" w:cs="仿宋_GB2312"/>
          <w:color w:val="auto"/>
          <w:kern w:val="0"/>
          <w:sz w:val="32"/>
          <w:szCs w:val="32"/>
        </w:rPr>
        <w:t>40.80万元，增长81.89%</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81.03</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9.59</w:t>
      </w:r>
      <w:r>
        <w:rPr>
          <w:rFonts w:hint="eastAsia" w:ascii="仿宋" w:hAnsi="仿宋" w:eastAsia="仿宋" w:cs="仿宋"/>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本单位</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年度一般公共预算财政拨款支出年初预算为</w:t>
      </w:r>
      <w:r>
        <w:rPr>
          <w:rFonts w:hint="eastAsia" w:ascii="仿宋" w:hAnsi="仿宋" w:eastAsia="仿宋" w:cs="仿宋"/>
          <w:color w:val="auto"/>
          <w:sz w:val="32"/>
          <w:u w:color="auto"/>
          <w:lang w:val="en-US" w:eastAsia="zh-CN"/>
        </w:rPr>
        <w:t>55.41</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u w:color="auto"/>
          <w:lang w:val="en-US" w:eastAsia="zh-CN"/>
        </w:rPr>
        <w:t>90.62</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lang w:val="en-US" w:eastAsia="zh-CN"/>
        </w:rPr>
        <w:t>163.55</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p>
    <w:p>
      <w:pPr>
        <w:numPr>
          <w:ilvl w:val="0"/>
          <w:numId w:val="1"/>
        </w:numPr>
        <w:jc w:val="left"/>
        <w:rPr>
          <w:rFonts w:hint="eastAsia" w:ascii="仿宋" w:hAnsi="仿宋" w:eastAsia="仿宋"/>
          <w:color w:val="000000" w:themeColor="text1"/>
          <w:sz w:val="32"/>
          <w:szCs w:val="32"/>
          <w:highlight w:val="none"/>
          <w:lang w:val="en-US" w:eastAsia="zh-CN"/>
          <w14:textFill>
            <w14:solidFill>
              <w14:schemeClr w14:val="tx1"/>
            </w14:solidFill>
          </w14:textFill>
        </w:rPr>
      </w:pPr>
      <w:bookmarkStart w:id="3" w:name="OLE_LINK2"/>
      <w:bookmarkEnd w:id="3"/>
      <w:r>
        <w:rPr>
          <w:rFonts w:hint="eastAsia" w:ascii="仿宋" w:hAnsi="仿宋" w:eastAsia="仿宋"/>
          <w:color w:val="000000" w:themeColor="text1"/>
          <w:sz w:val="32"/>
          <w:u w:color="auto"/>
          <w14:textFill>
            <w14:solidFill>
              <w14:schemeClr w14:val="tx1"/>
            </w14:solidFill>
          </w14:textFill>
        </w:rPr>
        <w:t>一般公共服务支出</w:t>
      </w:r>
      <w:r>
        <w:rPr>
          <w:rFonts w:ascii="仿宋" w:hAnsi="仿宋" w:eastAsia="仿宋"/>
          <w:color w:val="000000" w:themeColor="text1"/>
          <w:sz w:val="32"/>
          <w:u w:color="auto"/>
          <w14:textFill>
            <w14:solidFill>
              <w14:schemeClr w14:val="tx1"/>
            </w14:solidFill>
          </w14:textFill>
        </w:rPr>
        <w:t>（20</w:t>
      </w:r>
      <w:r>
        <w:rPr>
          <w:rFonts w:hint="eastAsia" w:ascii="仿宋" w:hAnsi="仿宋" w:eastAsia="仿宋"/>
          <w:color w:val="000000" w:themeColor="text1"/>
          <w:sz w:val="32"/>
          <w:u w:color="auto"/>
          <w:lang w:val="en-US" w:eastAsia="zh-CN"/>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类）年初预算为</w:t>
      </w:r>
      <w:r>
        <w:rPr>
          <w:rFonts w:hint="eastAsia" w:ascii="仿宋" w:hAnsi="仿宋" w:eastAsia="仿宋"/>
          <w:color w:val="000000" w:themeColor="text1"/>
          <w:sz w:val="32"/>
          <w:szCs w:val="32"/>
          <w:highlight w:val="none"/>
          <w:lang w:val="en-US" w:eastAsia="zh-CN"/>
          <w14:textFill>
            <w14:solidFill>
              <w14:schemeClr w14:val="tx1"/>
            </w14:solidFill>
          </w14:textFill>
        </w:rPr>
        <w:t>55.41</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hint="eastAsia" w:ascii="仿宋" w:hAnsi="仿宋" w:eastAsia="仿宋"/>
          <w:color w:val="000000" w:themeColor="text1"/>
          <w:sz w:val="32"/>
          <w:szCs w:val="32"/>
          <w:highlight w:val="none"/>
          <w:lang w:val="en-US" w:eastAsia="zh-CN"/>
          <w14:textFill>
            <w14:solidFill>
              <w14:schemeClr w14:val="tx1"/>
            </w14:solidFill>
          </w14:textFill>
        </w:rPr>
        <w:t>70.29</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hint="eastAsia" w:ascii="仿宋" w:hAnsi="仿宋" w:eastAsia="仿宋"/>
          <w:color w:val="000000" w:themeColor="text1"/>
          <w:sz w:val="32"/>
          <w:szCs w:val="32"/>
          <w:highlight w:val="none"/>
          <w:lang w:val="en-US" w:eastAsia="zh-CN"/>
          <w14:textFill>
            <w14:solidFill>
              <w14:schemeClr w14:val="tx1"/>
            </w14:solidFill>
          </w14:textFill>
        </w:rPr>
        <w:t>126.85</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000000" w:themeColor="text1"/>
          <w:sz w:val="32"/>
          <w:szCs w:val="32"/>
          <w:lang w:eastAsia="zh-CN"/>
          <w14:textFill>
            <w14:solidFill>
              <w14:schemeClr w14:val="tx1"/>
            </w14:solidFill>
          </w14:textFill>
        </w:rPr>
        <w:t>人员工资福利增加和年内增加</w:t>
      </w:r>
      <w:r>
        <w:rPr>
          <w:rFonts w:hint="eastAsia" w:ascii="仿宋" w:hAnsi="仿宋" w:eastAsia="仿宋"/>
          <w:color w:val="000000" w:themeColor="text1"/>
          <w:sz w:val="32"/>
          <w:szCs w:val="32"/>
          <w14:textFill>
            <w14:solidFill>
              <w14:schemeClr w14:val="tx1"/>
            </w14:solidFill>
          </w14:textFill>
        </w:rPr>
        <w:t>组织</w:t>
      </w:r>
      <w:r>
        <w:rPr>
          <w:rFonts w:hint="eastAsia" w:ascii="仿宋" w:hAnsi="仿宋" w:eastAsia="仿宋"/>
          <w:color w:val="000000" w:themeColor="text1"/>
          <w:sz w:val="32"/>
          <w:szCs w:val="32"/>
          <w:lang w:eastAsia="zh-CN"/>
          <w14:textFill>
            <w14:solidFill>
              <w14:schemeClr w14:val="tx1"/>
            </w14:solidFill>
          </w14:textFill>
        </w:rPr>
        <w:t>开展</w:t>
      </w:r>
      <w:r>
        <w:rPr>
          <w:rFonts w:hint="eastAsia" w:ascii="仿宋" w:hAnsi="仿宋" w:eastAsia="仿宋"/>
          <w:color w:val="000000" w:themeColor="text1"/>
          <w:sz w:val="32"/>
          <w:szCs w:val="32"/>
          <w14:textFill>
            <w14:solidFill>
              <w14:schemeClr w14:val="tx1"/>
            </w14:solidFill>
          </w14:textFill>
        </w:rPr>
        <w:t>交流活动</w:t>
      </w:r>
      <w:r>
        <w:rPr>
          <w:rFonts w:hint="eastAsia" w:ascii="仿宋" w:hAnsi="仿宋" w:eastAsia="仿宋" w:cs="仿宋"/>
          <w:bCs/>
          <w:kern w:val="0"/>
          <w:sz w:val="32"/>
          <w:szCs w:val="32"/>
        </w:rPr>
        <w:t>，主要用于本部门为保证日常运转发生的基本支出，如根据国家及自治区规定的基本工资和津补贴标准等安排的人员经费支出和日常公用经费支出。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一般公共服务支出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55.41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
              </w:rPr>
              <w:t>70.29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126.85%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群众团体事务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
              </w:rPr>
              <w:t>52.59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117.26%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0.70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
              </w:rPr>
              <w:t>0.70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20133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宣传事务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150.98%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2013301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
              </w:rPr>
              <w:t>8.50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201.42%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55.41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（二）</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5.63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149.20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原因是：人员增加，9月份有一人调入。</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社会保障和就业支出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149.20%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本单位职工基本养老保险缴费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9月份有一人调入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行政事业单位养老支出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149.20%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本单位职工基本养老保险缴费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9月份有一人调入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149.20%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本单位职工基本养老保险缴费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9月份有一人调入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left"/>
        <w:rPr>
          <w:rFonts w:hint="eastAsia" w:ascii="仿宋" w:hAnsi="仿宋" w:eastAsia="仿宋"/>
          <w:sz w:val="32"/>
          <w:szCs w:val="32"/>
          <w:highlight w:val="none"/>
        </w:rPr>
      </w:pPr>
    </w:p>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（三）</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4.22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6.24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147.87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原因是：人员增加，9月份有一人调入。</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147.87%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职工住房保障及公积金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职工住房保障及公积金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职工住房保障及公积金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职工住房保障及公积金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szCs w:val="32"/>
          <w:highlight w:val="none"/>
          <w:lang w:val="en-US" w:eastAsia="zh-CN"/>
        </w:rPr>
        <w:t>81.03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75.15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5.88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ind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74.7</w:t>
      </w:r>
      <w:r>
        <w:rPr>
          <w:rFonts w:ascii="仿宋" w:hAnsi="仿宋" w:eastAsia="仿宋" w:cs="仿宋"/>
          <w:sz w:val="32"/>
          <w:u w:color="auto"/>
        </w:rPr>
        <w:t>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lang w:val="en-US" w:eastAsia="zh-CN"/>
          <w14:textFill>
            <w14:solidFill>
              <w14:schemeClr w14:val="tx1"/>
            </w14:solidFill>
          </w14:textFill>
        </w:rPr>
        <w:t>181.36</w:t>
      </w:r>
      <w:r>
        <w:rPr>
          <w:rFonts w:hint="eastAsia" w:ascii="仿宋" w:hAnsi="仿宋" w:eastAsia="仿宋" w:cs="仿宋"/>
          <w:color w:val="000000" w:themeColor="text1"/>
          <w:sz w:val="32"/>
          <w:szCs w:val="32"/>
          <w:highlight w:val="none"/>
          <w14:textFill>
            <w14:solidFill>
              <w14:schemeClr w14:val="tx1"/>
            </w14:solidFill>
          </w14:textFill>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主要原因是：原因是预算时是按上年的10月的工资及社保基数进行预算且不包含部分绩效奖金，每年职级工资都有所上调。</w:t>
      </w:r>
    </w:p>
    <w:p>
      <w:pPr>
        <w:jc w:val="center"/>
        <w:rPr>
          <w:rFonts w:hint="eastAsia" w:ascii="仿宋" w:hAnsi="仿宋" w:eastAsia="仿宋" w:cs="仿宋"/>
          <w:sz w:val="32"/>
          <w:szCs w:val="32"/>
          <w:highlight w:val="none"/>
        </w:rPr>
      </w:pPr>
      <w:r>
        <w:rPr>
          <w:rFonts w:hint="eastAsia" w:ascii="仿宋_GB2312" w:eastAsia="仿宋_GB2312" w:cs="仿宋_GB2312"/>
          <w:color w:val="auto"/>
          <w:kern w:val="0"/>
          <w:sz w:val="32"/>
          <w:szCs w:val="32"/>
        </w:rPr>
        <w:t>支出具体情况如下：30101基本工资</w:t>
      </w:r>
      <w:r>
        <w:rPr>
          <w:rFonts w:hint="eastAsia" w:ascii="仿宋_GB2312" w:eastAsia="仿宋_GB2312" w:cs="仿宋_GB2312"/>
          <w:color w:val="auto"/>
          <w:kern w:val="0"/>
          <w:sz w:val="32"/>
          <w:szCs w:val="32"/>
          <w:lang w:val="en-US" w:eastAsia="zh-CN"/>
        </w:rPr>
        <w:t>31.66</w:t>
      </w:r>
      <w:r>
        <w:rPr>
          <w:rFonts w:hint="eastAsia" w:ascii="仿宋_GB2312" w:eastAsia="仿宋_GB2312" w:cs="仿宋_GB2312"/>
          <w:color w:val="auto"/>
          <w:kern w:val="0"/>
          <w:sz w:val="32"/>
          <w:szCs w:val="32"/>
        </w:rPr>
        <w:t>万元，30102津贴补贴</w:t>
      </w:r>
      <w:r>
        <w:rPr>
          <w:rFonts w:hint="eastAsia" w:ascii="仿宋_GB2312" w:eastAsia="仿宋_GB2312" w:cs="仿宋_GB2312"/>
          <w:color w:val="auto"/>
          <w:kern w:val="0"/>
          <w:sz w:val="32"/>
          <w:szCs w:val="32"/>
          <w:lang w:val="en-US" w:eastAsia="zh-CN"/>
        </w:rPr>
        <w:t>8.49</w:t>
      </w:r>
      <w:r>
        <w:rPr>
          <w:rFonts w:hint="eastAsia" w:ascii="仿宋_GB2312" w:eastAsia="仿宋_GB2312" w:cs="仿宋_GB2312"/>
          <w:color w:val="auto"/>
          <w:kern w:val="0"/>
          <w:sz w:val="32"/>
          <w:szCs w:val="32"/>
        </w:rPr>
        <w:t>万元，30103奖金</w:t>
      </w:r>
      <w:r>
        <w:rPr>
          <w:rFonts w:hint="eastAsia" w:ascii="仿宋_GB2312" w:eastAsia="仿宋_GB2312" w:cs="仿宋_GB2312"/>
          <w:color w:val="auto"/>
          <w:kern w:val="0"/>
          <w:sz w:val="32"/>
          <w:szCs w:val="32"/>
          <w:lang w:val="en-US" w:eastAsia="zh-CN"/>
        </w:rPr>
        <w:t>6.93</w:t>
      </w:r>
      <w:r>
        <w:rPr>
          <w:rFonts w:hint="eastAsia" w:ascii="仿宋_GB2312" w:eastAsia="仿宋_GB2312" w:cs="仿宋_GB2312"/>
          <w:color w:val="auto"/>
          <w:kern w:val="0"/>
          <w:sz w:val="32"/>
          <w:szCs w:val="32"/>
        </w:rPr>
        <w:t>万元，30107绩效工资</w:t>
      </w:r>
      <w:r>
        <w:rPr>
          <w:rFonts w:hint="eastAsia" w:ascii="仿宋_GB2312" w:eastAsia="仿宋_GB2312" w:cs="仿宋_GB2312"/>
          <w:color w:val="auto"/>
          <w:kern w:val="0"/>
          <w:sz w:val="32"/>
          <w:szCs w:val="32"/>
          <w:lang w:val="en-US" w:eastAsia="zh-CN"/>
        </w:rPr>
        <w:t>9.48</w:t>
      </w:r>
      <w:r>
        <w:rPr>
          <w:rFonts w:hint="eastAsia" w:ascii="仿宋_GB2312" w:eastAsia="仿宋_GB2312" w:cs="仿宋_GB2312"/>
          <w:color w:val="auto"/>
          <w:kern w:val="0"/>
          <w:sz w:val="32"/>
          <w:szCs w:val="32"/>
        </w:rPr>
        <w:t>万元，30108机关事业单位基本养老保险缴费</w:t>
      </w:r>
      <w:r>
        <w:rPr>
          <w:rFonts w:hint="eastAsia" w:ascii="仿宋_GB2312" w:eastAsia="仿宋_GB2312" w:cs="仿宋_GB2312"/>
          <w:color w:val="auto"/>
          <w:kern w:val="0"/>
          <w:sz w:val="32"/>
          <w:szCs w:val="32"/>
          <w:lang w:val="en-US" w:eastAsia="zh-CN"/>
        </w:rPr>
        <w:t>8.41</w:t>
      </w:r>
      <w:r>
        <w:rPr>
          <w:rFonts w:hint="eastAsia" w:ascii="仿宋_GB2312" w:eastAsia="仿宋_GB2312" w:cs="仿宋_GB2312"/>
          <w:color w:val="auto"/>
          <w:kern w:val="0"/>
          <w:sz w:val="32"/>
          <w:szCs w:val="32"/>
        </w:rPr>
        <w:t>万元，30110职工基本医疗保险缴费</w:t>
      </w:r>
      <w:r>
        <w:rPr>
          <w:rFonts w:hint="eastAsia" w:ascii="仿宋_GB2312" w:eastAsia="仿宋_GB2312" w:cs="仿宋_GB2312"/>
          <w:color w:val="auto"/>
          <w:kern w:val="0"/>
          <w:sz w:val="32"/>
          <w:szCs w:val="32"/>
          <w:lang w:val="en-US" w:eastAsia="zh-CN"/>
        </w:rPr>
        <w:t>3.41</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val="en-US" w:eastAsia="zh-CN"/>
        </w:rPr>
        <w:t>,</w:t>
      </w:r>
      <w:r>
        <w:rPr>
          <w:rFonts w:hint="eastAsia" w:ascii="仿宋_GB2312" w:eastAsia="仿宋_GB2312" w:cs="仿宋_GB2312"/>
          <w:color w:val="auto"/>
          <w:kern w:val="0"/>
          <w:sz w:val="32"/>
          <w:szCs w:val="32"/>
        </w:rPr>
        <w:t>30112其他社会保障缴费0.0</w:t>
      </w:r>
      <w:r>
        <w:rPr>
          <w:rFonts w:hint="eastAsia" w:ascii="仿宋_GB2312" w:eastAsia="仿宋_GB2312" w:cs="仿宋_GB2312"/>
          <w:color w:val="auto"/>
          <w:kern w:val="0"/>
          <w:sz w:val="32"/>
          <w:szCs w:val="32"/>
          <w:lang w:val="en-US" w:eastAsia="zh-CN"/>
        </w:rPr>
        <w:t>8</w:t>
      </w:r>
      <w:r>
        <w:rPr>
          <w:rFonts w:hint="eastAsia" w:ascii="仿宋_GB2312" w:eastAsia="仿宋_GB2312" w:cs="仿宋_GB2312"/>
          <w:color w:val="auto"/>
          <w:kern w:val="0"/>
          <w:sz w:val="32"/>
          <w:szCs w:val="32"/>
        </w:rPr>
        <w:t>万元，30113住房公积金</w:t>
      </w:r>
      <w:r>
        <w:rPr>
          <w:rFonts w:hint="eastAsia" w:ascii="仿宋_GB2312" w:eastAsia="仿宋_GB2312" w:cs="仿宋_GB2312"/>
          <w:color w:val="auto"/>
          <w:kern w:val="0"/>
          <w:sz w:val="32"/>
          <w:szCs w:val="32"/>
          <w:lang w:val="en-US" w:eastAsia="zh-CN"/>
        </w:rPr>
        <w:t>6.24</w:t>
      </w:r>
      <w:r>
        <w:rPr>
          <w:rFonts w:hint="eastAsia" w:ascii="仿宋_GB2312" w:eastAsia="仿宋_GB2312" w:cs="仿宋_GB2312"/>
          <w:color w:val="auto"/>
          <w:kern w:val="0"/>
          <w:sz w:val="32"/>
          <w:szCs w:val="32"/>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both"/>
        <w:rPr>
          <w:rFonts w:hint="eastAsia" w:ascii="仿宋" w:hAnsi="仿宋" w:eastAsia="仿宋" w:cs="仿宋"/>
          <w:sz w:val="32"/>
          <w:szCs w:val="32"/>
          <w:highlight w:val="none"/>
        </w:rPr>
      </w:pPr>
    </w:p>
    <w:p>
      <w:pPr>
        <w:ind w:firstLine="640" w:firstLineChars="200"/>
        <w:jc w:val="left"/>
        <w:rPr>
          <w:rFonts w:hint="eastAsia" w:ascii="仿宋_GB2312" w:eastAsia="仿宋_GB2312" w:cs="仿宋_GB2312"/>
          <w:color w:val="auto"/>
          <w:kern w:val="0"/>
          <w:sz w:val="32"/>
          <w:szCs w:val="32"/>
        </w:rPr>
      </w:pPr>
    </w:p>
    <w:p>
      <w:pPr>
        <w:ind w:firstLine="640" w:firstLineChars="200"/>
        <w:jc w:val="left"/>
        <w:rPr>
          <w:rFonts w:hint="eastAsia" w:ascii="仿宋_GB2312" w:eastAsia="仿宋_GB2312" w:cs="仿宋_GB2312"/>
          <w:color w:val="auto"/>
          <w:kern w:val="0"/>
          <w:sz w:val="32"/>
          <w:szCs w:val="32"/>
        </w:rPr>
      </w:pPr>
    </w:p>
    <w:p>
      <w:pPr>
        <w:ind w:firstLine="640" w:firstLineChars="200"/>
        <w:jc w:val="left"/>
        <w:rPr>
          <w:rFonts w:hint="eastAsia" w:ascii="仿宋_GB2312" w:eastAsia="仿宋_GB2312" w:cs="仿宋_GB2312"/>
          <w:color w:val="auto"/>
          <w:kern w:val="0"/>
          <w:sz w:val="32"/>
          <w:szCs w:val="32"/>
        </w:rPr>
      </w:pPr>
    </w:p>
    <w:p>
      <w:pPr>
        <w:ind w:firstLine="640" w:firstLineChars="200"/>
        <w:jc w:val="left"/>
        <w:rPr>
          <w:rFonts w:hint="eastAsia" w:ascii="仿宋_GB2312" w:eastAsia="仿宋_GB2312" w:cs="仿宋_GB2312"/>
          <w:color w:val="auto"/>
          <w:kern w:val="0"/>
          <w:sz w:val="32"/>
          <w:szCs w:val="32"/>
        </w:rPr>
      </w:pPr>
    </w:p>
    <w:p>
      <w:pPr>
        <w:ind w:firstLine="640" w:firstLineChars="200"/>
        <w:jc w:val="left"/>
        <w:rPr>
          <w:rFonts w:hint="eastAsia" w:ascii="仿宋_GB2312" w:eastAsia="仿宋_GB2312" w:cs="仿宋_GB2312"/>
          <w:color w:val="auto"/>
          <w:kern w:val="0"/>
          <w:sz w:val="32"/>
          <w:szCs w:val="32"/>
        </w:rPr>
      </w:pPr>
    </w:p>
    <w:p>
      <w:pPr>
        <w:ind w:firstLine="640" w:firstLineChars="200"/>
        <w:jc w:val="left"/>
        <w:rPr>
          <w:rFonts w:hint="eastAsia" w:ascii="仿宋_GB2312" w:eastAsia="仿宋_GB2312" w:cs="仿宋_GB2312"/>
          <w:color w:val="auto"/>
          <w:kern w:val="0"/>
          <w:sz w:val="32"/>
          <w:szCs w:val="32"/>
        </w:rPr>
      </w:pPr>
    </w:p>
    <w:p>
      <w:pPr>
        <w:ind w:firstLine="640" w:firstLineChars="200"/>
        <w:jc w:val="left"/>
        <w:rPr>
          <w:rFonts w:hint="eastAsia" w:ascii="仿宋_GB2312" w:eastAsia="仿宋_GB2312" w:cs="仿宋_GB2312"/>
          <w:color w:val="auto"/>
          <w:kern w:val="0"/>
          <w:sz w:val="32"/>
          <w:szCs w:val="32"/>
        </w:rPr>
      </w:pPr>
    </w:p>
    <w:p>
      <w:pPr>
        <w:ind w:firstLine="640" w:firstLineChars="200"/>
        <w:jc w:val="left"/>
        <w:rPr>
          <w:rFonts w:hint="eastAsia" w:ascii="仿宋_GB2312" w:eastAsia="仿宋_GB2312" w:cs="仿宋_GB2312"/>
          <w:color w:val="auto"/>
          <w:kern w:val="0"/>
          <w:sz w:val="32"/>
          <w:szCs w:val="32"/>
        </w:rPr>
      </w:pPr>
    </w:p>
    <w:p>
      <w:pPr>
        <w:ind w:firstLine="640" w:firstLineChars="200"/>
        <w:jc w:val="left"/>
        <w:rPr>
          <w:rFonts w:hint="eastAsia" w:ascii="仿宋_GB2312" w:eastAsia="仿宋_GB2312" w:cs="仿宋_GB2312"/>
          <w:color w:val="auto"/>
          <w:kern w:val="0"/>
          <w:sz w:val="32"/>
          <w:szCs w:val="32"/>
        </w:rPr>
      </w:pPr>
    </w:p>
    <w:p>
      <w:pPr>
        <w:ind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_GB2312" w:eastAsia="仿宋_GB2312" w:cs="仿宋_GB2312"/>
          <w:color w:val="auto"/>
          <w:kern w:val="0"/>
          <w:sz w:val="32"/>
          <w:szCs w:val="32"/>
        </w:rPr>
        <w:t>（二）</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5.88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112.64</w:t>
      </w:r>
      <w:r>
        <w:rPr>
          <w:rFonts w:hint="eastAsia" w:ascii="仿宋" w:hAnsi="仿宋" w:eastAsia="仿宋" w:cs="仿宋"/>
          <w:sz w:val="32"/>
          <w:szCs w:val="32"/>
          <w:highlight w:val="none"/>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000000" w:themeColor="text1"/>
          <w:sz w:val="32"/>
          <w:szCs w:val="32"/>
          <w14:textFill>
            <w14:solidFill>
              <w14:schemeClr w14:val="tx1"/>
            </w14:solidFill>
          </w14:textFill>
        </w:rPr>
        <w:t>主要原因是：</w:t>
      </w:r>
      <w:r>
        <w:rPr>
          <w:rFonts w:hint="eastAsia" w:ascii="仿宋" w:hAnsi="仿宋" w:eastAsia="仿宋" w:cs="仿宋"/>
          <w:color w:val="000000" w:themeColor="text1"/>
          <w:sz w:val="32"/>
          <w:szCs w:val="32"/>
          <w:lang w:eastAsia="zh-CN"/>
          <w14:textFill>
            <w14:solidFill>
              <w14:schemeClr w14:val="tx1"/>
            </w14:solidFill>
          </w14:textFill>
        </w:rPr>
        <w:t>合理安排</w:t>
      </w:r>
      <w:r>
        <w:rPr>
          <w:rFonts w:hint="eastAsia" w:ascii="仿宋" w:hAnsi="仿宋" w:eastAsia="仿宋" w:cs="仿宋"/>
          <w:color w:val="000000" w:themeColor="text1"/>
          <w:sz w:val="32"/>
          <w:szCs w:val="32"/>
          <w14:textFill>
            <w14:solidFill>
              <w14:schemeClr w14:val="tx1"/>
            </w14:solidFill>
          </w14:textFill>
        </w:rPr>
        <w:t>经费开支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autoSpaceDE w:val="0"/>
        <w:autoSpaceDN w:val="0"/>
        <w:adjustRightInd w:val="0"/>
        <w:spacing w:line="560" w:lineRule="exact"/>
        <w:ind w:firstLine="627" w:firstLineChars="196"/>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_GB2312" w:eastAsia="仿宋_GB2312" w:cs="仿宋_GB2312"/>
          <w:color w:val="000000" w:themeColor="text1"/>
          <w:kern w:val="0"/>
          <w:sz w:val="32"/>
          <w:szCs w:val="32"/>
          <w14:textFill>
            <w14:solidFill>
              <w14:schemeClr w14:val="tx1"/>
            </w14:solidFill>
          </w14:textFill>
        </w:rPr>
        <w:t>30201办公费0.0</w:t>
      </w:r>
      <w:r>
        <w:rPr>
          <w:rFonts w:hint="eastAsia" w:asci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eastAsia="仿宋_GB2312" w:cs="仿宋_GB2312"/>
          <w:color w:val="000000" w:themeColor="text1"/>
          <w:kern w:val="0"/>
          <w:sz w:val="32"/>
          <w:szCs w:val="32"/>
          <w14:textFill>
            <w14:solidFill>
              <w14:schemeClr w14:val="tx1"/>
            </w14:solidFill>
          </w14:textFill>
        </w:rPr>
        <w:t>万元，30207邮电费0.</w:t>
      </w:r>
      <w:r>
        <w:rPr>
          <w:rFonts w:hint="eastAsia" w:ascii="仿宋_GB2312" w:eastAsia="仿宋_GB2312" w:cs="仿宋_GB2312"/>
          <w:color w:val="000000" w:themeColor="text1"/>
          <w:kern w:val="0"/>
          <w:sz w:val="32"/>
          <w:szCs w:val="32"/>
          <w:lang w:val="en-US" w:eastAsia="zh-CN"/>
          <w14:textFill>
            <w14:solidFill>
              <w14:schemeClr w14:val="tx1"/>
            </w14:solidFill>
          </w14:textFill>
        </w:rPr>
        <w:t>86</w:t>
      </w:r>
      <w:r>
        <w:rPr>
          <w:rFonts w:hint="eastAsia" w:ascii="仿宋_GB2312" w:eastAsia="仿宋_GB2312" w:cs="仿宋_GB2312"/>
          <w:color w:val="000000" w:themeColor="text1"/>
          <w:kern w:val="0"/>
          <w:sz w:val="32"/>
          <w:szCs w:val="32"/>
          <w14:textFill>
            <w14:solidFill>
              <w14:schemeClr w14:val="tx1"/>
            </w14:solidFill>
          </w14:textFill>
        </w:rPr>
        <w:t>万元，30226劳务费0.</w:t>
      </w:r>
      <w:r>
        <w:rPr>
          <w:rFonts w:hint="eastAsia" w:ascii="仿宋_GB2312" w:eastAsia="仿宋_GB2312" w:cs="仿宋_GB2312"/>
          <w:color w:val="000000" w:themeColor="text1"/>
          <w:kern w:val="0"/>
          <w:sz w:val="32"/>
          <w:szCs w:val="32"/>
          <w:lang w:val="en-US" w:eastAsia="zh-CN"/>
          <w14:textFill>
            <w14:solidFill>
              <w14:schemeClr w14:val="tx1"/>
            </w14:solidFill>
          </w14:textFill>
        </w:rPr>
        <w:t>11</w:t>
      </w:r>
      <w:r>
        <w:rPr>
          <w:rFonts w:hint="eastAsia" w:ascii="仿宋_GB2312" w:eastAsia="仿宋_GB2312" w:cs="仿宋_GB2312"/>
          <w:color w:val="000000" w:themeColor="text1"/>
          <w:kern w:val="0"/>
          <w:sz w:val="32"/>
          <w:szCs w:val="32"/>
          <w14:textFill>
            <w14:solidFill>
              <w14:schemeClr w14:val="tx1"/>
            </w14:solidFill>
          </w14:textFill>
        </w:rPr>
        <w:t>万元，30228工会经费0.</w:t>
      </w:r>
      <w:r>
        <w:rPr>
          <w:rFonts w:hint="eastAsia" w:ascii="仿宋_GB2312" w:eastAsia="仿宋_GB2312" w:cs="仿宋_GB2312"/>
          <w:color w:val="000000" w:themeColor="text1"/>
          <w:kern w:val="0"/>
          <w:sz w:val="32"/>
          <w:szCs w:val="32"/>
          <w:lang w:val="en-US" w:eastAsia="zh-CN"/>
          <w14:textFill>
            <w14:solidFill>
              <w14:schemeClr w14:val="tx1"/>
            </w14:solidFill>
          </w14:textFill>
        </w:rPr>
        <w:t>7</w:t>
      </w:r>
      <w:r>
        <w:rPr>
          <w:rFonts w:hint="eastAsia" w:ascii="仿宋_GB2312" w:eastAsia="仿宋_GB2312" w:cs="仿宋_GB2312"/>
          <w:color w:val="000000" w:themeColor="text1"/>
          <w:kern w:val="0"/>
          <w:sz w:val="32"/>
          <w:szCs w:val="32"/>
          <w14:textFill>
            <w14:solidFill>
              <w14:schemeClr w14:val="tx1"/>
            </w14:solidFill>
          </w14:textFill>
        </w:rPr>
        <w:t>万元，30239其他交通费用</w:t>
      </w:r>
      <w:r>
        <w:rPr>
          <w:rFonts w:hint="eastAsia" w:ascii="仿宋_GB2312" w:eastAsia="仿宋_GB2312" w:cs="仿宋_GB2312"/>
          <w:color w:val="000000" w:themeColor="text1"/>
          <w:kern w:val="0"/>
          <w:sz w:val="32"/>
          <w:szCs w:val="32"/>
          <w:lang w:val="en-US" w:eastAsia="zh-CN"/>
          <w14:textFill>
            <w14:solidFill>
              <w14:schemeClr w14:val="tx1"/>
            </w14:solidFill>
          </w14:textFill>
        </w:rPr>
        <w:t>4.19</w:t>
      </w:r>
      <w:r>
        <w:rPr>
          <w:rFonts w:hint="eastAsia" w:ascii="仿宋_GB2312" w:eastAsia="仿宋_GB2312" w:cs="仿宋_GB2312"/>
          <w:color w:val="000000" w:themeColor="text1"/>
          <w:kern w:val="0"/>
          <w:sz w:val="32"/>
          <w:szCs w:val="32"/>
          <w14:textFill>
            <w14:solidFill>
              <w14:schemeClr w14:val="tx1"/>
            </w14:solidFill>
          </w14:textFill>
        </w:rPr>
        <w:t>万元。</w:t>
      </w:r>
    </w:p>
    <w:p>
      <w:pPr>
        <w:autoSpaceDE w:val="0"/>
        <w:autoSpaceDN w:val="0"/>
        <w:adjustRightInd w:val="0"/>
        <w:spacing w:line="560" w:lineRule="exact"/>
        <w:ind w:firstLine="627" w:firstLineChars="196"/>
        <w:rPr>
          <w:rFonts w:hint="eastAsia" w:ascii="仿宋_GB2312" w:eastAsia="仿宋_GB2312" w:cs="仿宋_GB2312"/>
          <w:color w:val="000000" w:themeColor="text1"/>
          <w:kern w:val="0"/>
          <w:sz w:val="32"/>
          <w:szCs w:val="32"/>
          <w14:textFill>
            <w14:solidFill>
              <w14:schemeClr w14:val="tx1"/>
            </w14:solidFill>
          </w14:textFill>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5" name="图表 5"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rFonts w:hint="eastAsia" w:ascii="仿宋" w:hAnsi="仿宋" w:eastAsia="仿宋" w:cs="仿宋"/>
          <w:sz w:val="32"/>
          <w:szCs w:val="32"/>
          <w:highlight w:val="none"/>
        </w:rPr>
      </w:pPr>
    </w:p>
    <w:p>
      <w:pPr>
        <w:jc w:val="center"/>
        <w:rPr>
          <w:rFonts w:hint="eastAsia" w:ascii="仿宋" w:hAnsi="仿宋" w:eastAsia="仿宋" w:cs="仿宋"/>
          <w:sz w:val="32"/>
          <w:szCs w:val="32"/>
          <w:highlight w:val="none"/>
        </w:rPr>
      </w:pPr>
    </w:p>
    <w:p>
      <w:pPr>
        <w:numPr>
          <w:ilvl w:val="0"/>
          <w:numId w:val="0"/>
        </w:numPr>
        <w:ind w:left="420" w:leftChars="0"/>
        <w:jc w:val="left"/>
        <w:rPr>
          <w:rFonts w:hint="eastAsia" w:ascii="仿宋" w:hAnsi="仿宋" w:eastAsia="仿宋" w:cs="仿宋"/>
          <w:sz w:val="32"/>
          <w:szCs w:val="32"/>
          <w:highlight w:val="none"/>
          <w:lang w:val="en-US" w:eastAsia="zh-CN"/>
        </w:rPr>
      </w:pPr>
    </w:p>
    <w:p>
      <w:pPr>
        <w:numPr>
          <w:ilvl w:val="0"/>
          <w:numId w:val="0"/>
        </w:numPr>
        <w:ind w:left="420" w:leftChars="0"/>
        <w:jc w:val="left"/>
        <w:rPr>
          <w:rFonts w:hint="eastAsia" w:ascii="仿宋" w:hAnsi="仿宋" w:eastAsia="仿宋" w:cs="仿宋"/>
          <w:sz w:val="32"/>
          <w:szCs w:val="32"/>
          <w:highlight w:val="none"/>
          <w:lang w:val="en-US" w:eastAsia="zh-CN"/>
        </w:rPr>
      </w:pPr>
    </w:p>
    <w:p>
      <w:pPr>
        <w:numPr>
          <w:ilvl w:val="0"/>
          <w:numId w:val="0"/>
        </w:numPr>
        <w:ind w:left="420" w:leftChars="0"/>
        <w:jc w:val="left"/>
        <w:rPr>
          <w:rFonts w:hint="eastAsia" w:ascii="仿宋" w:hAnsi="仿宋" w:eastAsia="仿宋" w:cs="仿宋"/>
          <w:sz w:val="32"/>
          <w:szCs w:val="32"/>
          <w:highlight w:val="none"/>
          <w:lang w:val="en-US" w:eastAsia="zh-CN"/>
        </w:rPr>
      </w:pPr>
    </w:p>
    <w:p>
      <w:pPr>
        <w:numPr>
          <w:ilvl w:val="0"/>
          <w:numId w:val="0"/>
        </w:numPr>
        <w:ind w:left="420" w:leftChars="0"/>
        <w:jc w:val="left"/>
        <w:rPr>
          <w:rFonts w:hint="eastAsia" w:ascii="仿宋" w:hAnsi="仿宋" w:eastAsia="仿宋" w:cs="仿宋"/>
          <w:sz w:val="32"/>
          <w:szCs w:val="32"/>
          <w:highlight w:val="none"/>
          <w:lang w:val="en-US" w:eastAsia="zh-CN"/>
        </w:rPr>
      </w:pPr>
    </w:p>
    <w:p>
      <w:pPr>
        <w:numPr>
          <w:ilvl w:val="0"/>
          <w:numId w:val="0"/>
        </w:numPr>
        <w:ind w:left="420" w:leftChars="0"/>
        <w:jc w:val="left"/>
        <w:rPr>
          <w:rFonts w:hint="eastAsia" w:ascii="仿宋" w:hAnsi="仿宋" w:eastAsia="仿宋" w:cs="仿宋"/>
          <w:sz w:val="32"/>
          <w:szCs w:val="32"/>
          <w:highlight w:val="none"/>
          <w:lang w:val="en-US" w:eastAsia="zh-CN"/>
        </w:rPr>
      </w:pPr>
    </w:p>
    <w:p>
      <w:pPr>
        <w:numPr>
          <w:ilvl w:val="0"/>
          <w:numId w:val="0"/>
        </w:numPr>
        <w:ind w:left="420" w:leftChars="0"/>
        <w:jc w:val="left"/>
        <w:rPr>
          <w:rFonts w:hint="eastAsia" w:ascii="仿宋" w:hAnsi="仿宋" w:eastAsia="仿宋" w:cs="仿宋"/>
          <w:sz w:val="32"/>
          <w:szCs w:val="32"/>
          <w:highlight w:val="none"/>
          <w:lang w:val="en-US" w:eastAsia="zh-CN"/>
        </w:rPr>
      </w:pPr>
    </w:p>
    <w:p>
      <w:pPr>
        <w:numPr>
          <w:ilvl w:val="0"/>
          <w:numId w:val="0"/>
        </w:numPr>
        <w:ind w:left="420" w:leftChars="0"/>
        <w:jc w:val="left"/>
        <w:rPr>
          <w:rFonts w:hint="eastAsia" w:ascii="仿宋" w:hAnsi="仿宋" w:eastAsia="仿宋" w:cs="仿宋"/>
          <w:sz w:val="32"/>
          <w:szCs w:val="32"/>
          <w:highlight w:val="none"/>
          <w:lang w:val="en-US" w:eastAsia="zh-CN"/>
        </w:rPr>
      </w:pPr>
    </w:p>
    <w:p>
      <w:pPr>
        <w:numPr>
          <w:ilvl w:val="0"/>
          <w:numId w:val="0"/>
        </w:numPr>
        <w:ind w:left="420" w:leftChars="0"/>
        <w:jc w:val="left"/>
        <w:rPr>
          <w:rFonts w:hint="eastAsia" w:ascii="仿宋" w:hAnsi="仿宋" w:eastAsia="仿宋" w:cs="仿宋"/>
          <w:sz w:val="32"/>
          <w:szCs w:val="32"/>
          <w:highlight w:val="none"/>
          <w:lang w:val="en-US" w:eastAsia="zh-CN"/>
        </w:rPr>
      </w:pPr>
    </w:p>
    <w:p>
      <w:pPr>
        <w:numPr>
          <w:ilvl w:val="0"/>
          <w:numId w:val="0"/>
        </w:numPr>
        <w:ind w:left="420" w:leftChars="0"/>
        <w:jc w:val="left"/>
        <w:rPr>
          <w:rFonts w:hint="eastAsia" w:ascii="仿宋" w:hAnsi="仿宋" w:eastAsia="仿宋" w:cs="仿宋"/>
          <w:sz w:val="32"/>
          <w:szCs w:val="32"/>
          <w:highlight w:val="none"/>
          <w:lang w:val="en-US" w:eastAsia="zh-CN"/>
        </w:rPr>
      </w:pPr>
    </w:p>
    <w:p>
      <w:pPr>
        <w:numPr>
          <w:ilvl w:val="0"/>
          <w:numId w:val="0"/>
        </w:numPr>
        <w:ind w:left="420" w:leftChars="0"/>
        <w:jc w:val="left"/>
        <w:rPr>
          <w:rFonts w:hint="eastAsia" w:ascii="仿宋" w:hAnsi="仿宋" w:eastAsia="仿宋" w:cs="仿宋"/>
          <w:sz w:val="32"/>
          <w:szCs w:val="32"/>
          <w:highlight w:val="none"/>
          <w:lang w:val="en-US" w:eastAsia="zh-CN"/>
        </w:rPr>
      </w:pPr>
    </w:p>
    <w:p>
      <w:pPr>
        <w:numPr>
          <w:ilvl w:val="0"/>
          <w:numId w:val="0"/>
        </w:numPr>
        <w:jc w:val="left"/>
        <w:rPr>
          <w:rFonts w:ascii="仿宋" w:hAnsi="仿宋" w:eastAsia="仿宋" w:cs="仿宋"/>
          <w:color w:val="FF0000"/>
          <w:sz w:val="32"/>
          <w:szCs w:val="32"/>
        </w:rPr>
      </w:pP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rPr>
        <w:t>对个人和家庭的补助</w:t>
      </w:r>
      <w:r>
        <w:rPr>
          <w:rFonts w:hint="eastAsia" w:ascii="仿宋" w:hAnsi="仿宋" w:eastAsia="仿宋" w:cs="仿宋"/>
          <w:sz w:val="32"/>
          <w:u w:color="auto"/>
          <w:lang w:val="en-US" w:eastAsia="zh-CN"/>
        </w:rPr>
        <w:t>0.45</w:t>
      </w:r>
      <w:r>
        <w:rPr>
          <w:rFonts w:ascii="仿宋" w:hAnsi="仿宋" w:eastAsia="仿宋" w:cs="仿宋"/>
          <w:sz w:val="32"/>
          <w:u w:color="auto"/>
        </w:rPr>
        <w:t>万元</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_GB2312" w:hAnsi="微软雅黑" w:eastAsia="仿宋_GB2312" w:cs="仿宋_GB2312"/>
          <w:color w:val="000000"/>
          <w:sz w:val="31"/>
          <w:szCs w:val="31"/>
          <w:shd w:val="clear" w:color="auto" w:fill="FFFFFF"/>
          <w:lang w:val="en-US" w:eastAsia="zh-CN"/>
        </w:rPr>
        <w:t>100.00</w:t>
      </w:r>
      <w:r>
        <w:rPr>
          <w:rFonts w:hint="eastAsia" w:ascii="仿宋" w:hAnsi="仿宋" w:eastAsia="仿宋" w:cs="仿宋"/>
          <w:sz w:val="32"/>
          <w:szCs w:val="32"/>
        </w:rPr>
        <w:t>%</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14:textFill>
            <w14:solidFill>
              <w14:schemeClr w14:val="tx1"/>
            </w14:solidFill>
          </w14:textFill>
        </w:rPr>
        <w:t>主要原因是：退休人员生活补助</w:t>
      </w:r>
      <w:r>
        <w:rPr>
          <w:rFonts w:hint="eastAsia" w:ascii="仿宋" w:hAnsi="仿宋" w:eastAsia="仿宋" w:cs="仿宋"/>
          <w:color w:val="000000" w:themeColor="text1"/>
          <w:sz w:val="32"/>
          <w:szCs w:val="32"/>
          <w:lang w:eastAsia="zh-CN"/>
          <w14:textFill>
            <w14:solidFill>
              <w14:schemeClr w14:val="tx1"/>
            </w14:solidFill>
          </w14:textFill>
        </w:rPr>
        <w:t>待遇提高。</w:t>
      </w:r>
    </w:p>
    <w:p>
      <w:pPr>
        <w:jc w:val="left"/>
        <w:rPr>
          <w:rFonts w:hint="eastAsia" w:ascii="仿宋" w:hAnsi="仿宋" w:eastAsia="仿宋" w:cs="仿宋"/>
          <w:sz w:val="32"/>
          <w:szCs w:val="32"/>
          <w:highlight w:val="none"/>
        </w:rPr>
      </w:pPr>
      <w:r>
        <w:rPr>
          <w:rFonts w:hint="eastAsia" w:ascii="仿宋" w:hAnsi="仿宋" w:eastAsia="仿宋"/>
          <w:sz w:val="32"/>
          <w:szCs w:val="32"/>
        </w:rPr>
        <w:t>支出具体情况如下</w:t>
      </w:r>
      <w:r>
        <w:rPr>
          <w:rFonts w:hint="eastAsia" w:ascii="仿宋" w:hAnsi="仿宋" w:eastAsia="仿宋" w:cs="仿宋"/>
          <w:sz w:val="32"/>
          <w:szCs w:val="32"/>
        </w:rPr>
        <w:t>：30301离休费0万元，30302退休费0万元，</w:t>
      </w:r>
      <w:r>
        <w:rPr>
          <w:rFonts w:ascii="仿宋" w:hAnsi="仿宋" w:eastAsia="仿宋" w:cs="仿宋"/>
          <w:sz w:val="32"/>
          <w:szCs w:val="32"/>
        </w:rPr>
        <w:t>30304</w:t>
      </w:r>
      <w:r>
        <w:rPr>
          <w:rFonts w:hint="eastAsia" w:ascii="仿宋" w:hAnsi="仿宋" w:eastAsia="仿宋" w:cs="仿宋"/>
          <w:sz w:val="32"/>
          <w:szCs w:val="32"/>
        </w:rPr>
        <w:t>抚恤金</w:t>
      </w:r>
      <w:r>
        <w:rPr>
          <w:rFonts w:hint="eastAsia" w:ascii="仿宋" w:hAnsi="仿宋" w:eastAsia="仿宋" w:cs="仿宋"/>
          <w:sz w:val="32"/>
          <w:szCs w:val="32"/>
          <w:lang w:val="en-US" w:eastAsia="zh-CN"/>
        </w:rPr>
        <w:t>0</w:t>
      </w:r>
      <w:r>
        <w:rPr>
          <w:rFonts w:hint="eastAsia" w:ascii="仿宋" w:hAnsi="仿宋" w:eastAsia="仿宋" w:cs="仿宋"/>
          <w:sz w:val="32"/>
          <w:szCs w:val="32"/>
        </w:rPr>
        <w:t>万元，30305生活补助</w:t>
      </w:r>
      <w:r>
        <w:rPr>
          <w:rFonts w:hint="eastAsia" w:ascii="仿宋" w:hAnsi="仿宋" w:eastAsia="仿宋" w:cs="仿宋"/>
          <w:sz w:val="32"/>
          <w:szCs w:val="32"/>
          <w:lang w:val="en-US" w:eastAsia="zh-CN"/>
        </w:rPr>
        <w:t>0.45</w:t>
      </w:r>
      <w:r>
        <w:rPr>
          <w:rFonts w:hint="eastAsia" w:ascii="仿宋" w:hAnsi="仿宋" w:eastAsia="仿宋" w:cs="仿宋"/>
          <w:sz w:val="32"/>
          <w:szCs w:val="32"/>
        </w:rPr>
        <w:t>万元，</w:t>
      </w:r>
      <w:r>
        <w:rPr>
          <w:rFonts w:ascii="仿宋" w:hAnsi="仿宋" w:eastAsia="仿宋" w:cs="仿宋"/>
          <w:sz w:val="32"/>
          <w:szCs w:val="32"/>
        </w:rPr>
        <w:t>30399</w:t>
      </w:r>
      <w:r>
        <w:rPr>
          <w:rFonts w:hint="eastAsia" w:ascii="仿宋" w:hAnsi="仿宋" w:eastAsia="仿宋" w:cs="仿宋"/>
          <w:sz w:val="32"/>
          <w:szCs w:val="32"/>
        </w:rPr>
        <w:t xml:space="preserve">  其他对个人和家庭的补助</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jc w:val="center"/>
        <w:rPr>
          <w:rFonts w:hint="eastAsia" w:ascii="仿宋" w:hAnsi="仿宋" w:eastAsia="仿宋" w:cs="仿宋"/>
          <w:sz w:val="32"/>
          <w:szCs w:val="32"/>
          <w:highlight w:val="none"/>
        </w:rPr>
      </w:pPr>
    </w:p>
    <w:p>
      <w:pPr>
        <w:jc w:val="center"/>
        <w:rPr>
          <w:rFonts w:hint="eastAsia" w:ascii="仿宋" w:hAnsi="仿宋" w:eastAsia="仿宋" w:cs="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主要原因是：本单位没有涉及此项目。</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ind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主要原因是：本单位没有涉及此项目。</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ind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主要原因是：本单位没有涉及此项目。</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年度国有资本经营预算财政拨款支出决算情况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autoSpaceDE w:val="0"/>
        <w:autoSpaceDN w:val="0"/>
        <w:adjustRightInd w:val="0"/>
        <w:spacing w:line="560" w:lineRule="exact"/>
        <w:ind w:firstLine="640" w:firstLineChars="200"/>
        <w:rPr>
          <w:rFonts w:ascii="仿宋_GB2312" w:eastAsia="仿宋_GB2312" w:cs="仿宋_GB2312"/>
          <w:b/>
          <w:bCs/>
          <w:kern w:val="0"/>
          <w:sz w:val="32"/>
          <w:szCs w:val="32"/>
        </w:rPr>
      </w:pPr>
      <w:r>
        <w:rPr>
          <w:rFonts w:hint="eastAsia" w:ascii="黑体" w:hAnsi="黑体" w:eastAsia="黑体" w:cs="仿宋_GB2312"/>
          <w:kern w:val="0"/>
          <w:sz w:val="32"/>
          <w:szCs w:val="32"/>
        </w:rPr>
        <w:t>六、财政拨款安排的“三公”经费支出决算情况说明</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2023年度财政拨款安排的“三公”经费支出0万元，完成年初预算的0%，比上年增减0万元。其中：因公出国（境）费支出决算0万元，公务用车购置及运行费支出决算0万元，公务接待费支出决算0万元。</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（一）因公出国（境）费支出0万元，完成年初预算的0%，比上年增减0万元。全年使用财政拨款安排</w:t>
      </w:r>
      <w:r>
        <w:rPr>
          <w:rFonts w:hint="eastAsia" w:ascii="仿宋_GB2312" w:hAnsi="黑体" w:eastAsia="仿宋_GB2312"/>
          <w:bCs/>
          <w:color w:val="000000"/>
          <w:sz w:val="32"/>
          <w:szCs w:val="32"/>
          <w:u w:val="none"/>
        </w:rPr>
        <w:t>社科联</w:t>
      </w:r>
      <w:r>
        <w:rPr>
          <w:rFonts w:hint="eastAsia" w:ascii="仿宋_GB2312" w:hAnsi="黑体" w:eastAsia="仿宋_GB2312"/>
          <w:bCs/>
          <w:color w:val="000000"/>
          <w:sz w:val="32"/>
          <w:szCs w:val="32"/>
        </w:rPr>
        <w:t>机关、</w:t>
      </w:r>
      <w:r>
        <w:rPr>
          <w:rFonts w:hint="eastAsia" w:ascii="仿宋_GB2312" w:eastAsia="仿宋_GB2312" w:cs="仿宋_GB2312"/>
          <w:kern w:val="0"/>
          <w:sz w:val="32"/>
          <w:szCs w:val="32"/>
        </w:rPr>
        <w:t>0</w:t>
      </w:r>
      <w:r>
        <w:rPr>
          <w:rFonts w:hint="eastAsia" w:ascii="仿宋_GB2312" w:hAnsi="黑体" w:eastAsia="仿宋_GB2312"/>
          <w:bCs/>
          <w:color w:val="000000"/>
          <w:sz w:val="32"/>
          <w:szCs w:val="32"/>
        </w:rPr>
        <w:t>个所属单位出国团组</w:t>
      </w:r>
      <w:r>
        <w:rPr>
          <w:rFonts w:hint="eastAsia" w:ascii="仿宋_GB2312" w:eastAsia="仿宋_GB2312" w:cs="仿宋_GB2312"/>
          <w:kern w:val="0"/>
          <w:sz w:val="32"/>
          <w:szCs w:val="32"/>
        </w:rPr>
        <w:t>0</w:t>
      </w:r>
      <w:r>
        <w:rPr>
          <w:rFonts w:hint="eastAsia" w:ascii="仿宋_GB2312" w:hAnsi="黑体" w:eastAsia="仿宋_GB2312"/>
          <w:bCs/>
          <w:color w:val="000000"/>
          <w:sz w:val="32"/>
          <w:szCs w:val="32"/>
        </w:rPr>
        <w:t>个，参加其他单位组织的出国团组</w:t>
      </w:r>
      <w:r>
        <w:rPr>
          <w:rFonts w:hint="eastAsia" w:ascii="仿宋_GB2312" w:eastAsia="仿宋_GB2312" w:cs="仿宋_GB2312"/>
          <w:kern w:val="0"/>
          <w:sz w:val="32"/>
          <w:szCs w:val="32"/>
        </w:rPr>
        <w:t>0</w:t>
      </w:r>
      <w:r>
        <w:rPr>
          <w:rFonts w:hint="eastAsia" w:ascii="仿宋_GB2312" w:hAnsi="黑体" w:eastAsia="仿宋_GB2312"/>
          <w:bCs/>
          <w:color w:val="000000"/>
          <w:sz w:val="32"/>
          <w:szCs w:val="32"/>
        </w:rPr>
        <w:t>个，全年因公出国（境）团组共计</w:t>
      </w:r>
      <w:r>
        <w:rPr>
          <w:rFonts w:hint="eastAsia" w:ascii="仿宋_GB2312" w:eastAsia="仿宋_GB2312" w:cs="仿宋_GB2312"/>
          <w:kern w:val="0"/>
          <w:sz w:val="32"/>
          <w:szCs w:val="32"/>
        </w:rPr>
        <w:t>0</w:t>
      </w:r>
      <w:r>
        <w:rPr>
          <w:rFonts w:hint="eastAsia" w:ascii="仿宋_GB2312" w:hAnsi="黑体" w:eastAsia="仿宋_GB2312"/>
          <w:bCs/>
          <w:color w:val="000000"/>
          <w:sz w:val="32"/>
          <w:szCs w:val="32"/>
        </w:rPr>
        <w:t>个，累计</w:t>
      </w:r>
      <w:r>
        <w:rPr>
          <w:rFonts w:hint="eastAsia" w:ascii="仿宋_GB2312" w:eastAsia="仿宋_GB2312" w:cs="仿宋_GB2312"/>
          <w:kern w:val="0"/>
          <w:sz w:val="32"/>
          <w:szCs w:val="32"/>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（二）公务用车购置及运行费支出0万元。其中：</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公务用车购置支出0万元，完成年初预算的0%，比上年增减0万元。购置了0辆公务用车。</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公务用车运行支出0万元，完成年初预算的0%，比上年增减0万元。主要用于机要文件交换、市内因公出行以及开展0业务所需车辆燃料费、维修费、过路过桥费、保险费等。2023年，</w:t>
      </w:r>
      <w:r>
        <w:rPr>
          <w:rFonts w:hint="eastAsia" w:ascii="仿宋_GB2312" w:hAnsi="黑体" w:eastAsia="仿宋_GB2312"/>
          <w:bCs/>
          <w:color w:val="000000"/>
          <w:sz w:val="32"/>
          <w:szCs w:val="32"/>
          <w:u w:val="none"/>
        </w:rPr>
        <w:t xml:space="preserve"> </w:t>
      </w:r>
      <w:r>
        <w:rPr>
          <w:rFonts w:hint="eastAsia" w:ascii="仿宋_GB2312" w:eastAsia="仿宋_GB2312" w:cs="仿宋_GB2312"/>
          <w:kern w:val="0"/>
          <w:sz w:val="32"/>
          <w:szCs w:val="32"/>
          <w:u w:val="none"/>
        </w:rPr>
        <w:t>社科联</w:t>
      </w:r>
      <w:r>
        <w:rPr>
          <w:rFonts w:hint="eastAsia" w:ascii="仿宋_GB2312" w:hAnsi="黑体" w:eastAsia="仿宋_GB2312"/>
          <w:bCs/>
          <w:color w:val="000000"/>
          <w:sz w:val="32"/>
          <w:szCs w:val="32"/>
        </w:rPr>
        <w:t>所属单位开支财政拨款的公务用车保有量为</w:t>
      </w:r>
      <w:r>
        <w:rPr>
          <w:rFonts w:hint="eastAsia" w:ascii="仿宋_GB2312" w:eastAsia="仿宋_GB2312" w:cs="仿宋_GB2312"/>
          <w:kern w:val="0"/>
          <w:sz w:val="32"/>
          <w:szCs w:val="32"/>
        </w:rPr>
        <w:t>0</w:t>
      </w:r>
      <w:r>
        <w:rPr>
          <w:rFonts w:hint="eastAsia" w:ascii="仿宋_GB2312" w:hAnsi="黑体" w:eastAsia="仿宋_GB2312"/>
          <w:bCs/>
          <w:color w:val="000000"/>
          <w:sz w:val="32"/>
          <w:szCs w:val="32"/>
        </w:rPr>
        <w:t>辆，全年运行费支出</w:t>
      </w:r>
      <w:r>
        <w:rPr>
          <w:rFonts w:hint="eastAsia" w:ascii="仿宋_GB2312" w:eastAsia="仿宋_GB2312" w:cs="仿宋_GB2312"/>
          <w:kern w:val="0"/>
          <w:sz w:val="32"/>
          <w:szCs w:val="32"/>
        </w:rPr>
        <w:t>0</w:t>
      </w:r>
      <w:r>
        <w:rPr>
          <w:rFonts w:hint="eastAsia" w:ascii="仿宋_GB2312" w:hAnsi="黑体" w:eastAsia="仿宋_GB2312"/>
          <w:bCs/>
          <w:color w:val="000000"/>
          <w:sz w:val="32"/>
          <w:szCs w:val="32"/>
        </w:rPr>
        <w:t>万元，平均每辆</w:t>
      </w:r>
      <w:r>
        <w:rPr>
          <w:rFonts w:hint="eastAsia" w:ascii="仿宋_GB2312" w:eastAsia="仿宋_GB2312" w:cs="仿宋_GB2312"/>
          <w:kern w:val="0"/>
          <w:sz w:val="32"/>
          <w:szCs w:val="32"/>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（三）公务接待费支出0万元，完成年初预算的0%，比上年增减0万元。国内公务接待批次0次，人次0次，国（境）外公务接待批次0次，人次0次。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69.58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比年初预算数</w:t>
      </w:r>
      <w:r>
        <w:rPr>
          <w:rFonts w:hint="eastAsia" w:ascii="仿宋" w:hAnsi="仿宋" w:eastAsia="仿宋" w:cs="仿宋"/>
          <w:color w:val="000000" w:themeColor="text1"/>
          <w:sz w:val="32"/>
          <w:szCs w:val="32"/>
          <w:highlight w:val="none"/>
          <w:lang w:eastAsia="zh-CN"/>
          <w14:textFill>
            <w14:solidFill>
              <w14:schemeClr w14:val="tx1"/>
            </w14:solidFill>
          </w14:textFill>
        </w:rPr>
        <w:t>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24.73</w:t>
      </w:r>
      <w:r>
        <w:rPr>
          <w:rFonts w:hint="eastAsia" w:ascii="仿宋" w:hAnsi="仿宋" w:eastAsia="仿宋" w:cs="仿宋"/>
          <w:color w:val="000000" w:themeColor="text1"/>
          <w:sz w:val="32"/>
          <w:szCs w:val="32"/>
          <w:highlight w:val="none"/>
          <w14:textFill>
            <w14:solidFill>
              <w14:schemeClr w14:val="tx1"/>
            </w14:solidFill>
          </w14:textFill>
        </w:rPr>
        <w:t>万元，增加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55.14</w:t>
      </w:r>
      <w:r>
        <w:rPr>
          <w:rFonts w:hint="eastAsia" w:ascii="仿宋" w:hAnsi="仿宋" w:eastAsia="仿宋" w:cs="仿宋"/>
          <w:color w:val="000000" w:themeColor="text1"/>
          <w:sz w:val="32"/>
          <w:szCs w:val="32"/>
          <w:highlight w:val="none"/>
          <w14:textFill>
            <w14:solidFill>
              <w14:schemeClr w14:val="tx1"/>
            </w14:solidFill>
          </w14:textFill>
        </w:rPr>
        <w:t>%。主要原因是：机构改革、人员调整，需要增加办公用品等。</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15.49</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161.52</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eastAsia="zh-CN"/>
          <w14:textFill>
            <w14:solidFill>
              <w14:schemeClr w14:val="tx1"/>
            </w14:solidFill>
          </w14:textFill>
        </w:rPr>
        <w:t>一个</w:t>
      </w:r>
      <w:r>
        <w:rPr>
          <w:rFonts w:hint="eastAsia" w:ascii="仿宋" w:hAnsi="仿宋" w:eastAsia="仿宋" w:cs="仿宋"/>
          <w:color w:val="000000" w:themeColor="text1"/>
          <w:sz w:val="32"/>
          <w:szCs w:val="32"/>
          <w14:textFill>
            <w14:solidFill>
              <w14:schemeClr w14:val="tx1"/>
            </w14:solidFill>
          </w14:textFill>
        </w:rPr>
        <w:t>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15.49</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年初社科联在职在编有</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人，要更好地组织开展社科宣传哲及和社科课题研究等各项工作，工作力量明显不足</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加强多方联示，交流经验</w:t>
      </w:r>
      <w:r>
        <w:rPr>
          <w:rFonts w:hint="eastAsia" w:ascii="仿宋" w:hAnsi="仿宋" w:eastAsia="仿宋" w:cs="仿宋"/>
          <w:color w:val="000000" w:themeColor="text1"/>
          <w:sz w:val="32"/>
          <w:szCs w:val="32"/>
          <w:lang w:eastAsia="zh-CN"/>
          <w14:textFill>
            <w14:solidFill>
              <w14:schemeClr w14:val="tx1"/>
            </w14:solidFill>
          </w14:textFill>
        </w:rPr>
        <w:t>，改进编辑</w:t>
      </w:r>
      <w:r>
        <w:rPr>
          <w:rFonts w:hint="eastAsia" w:ascii="仿宋" w:hAnsi="仿宋" w:eastAsia="仿宋" w:cs="仿宋"/>
          <w:color w:val="000000" w:themeColor="text1"/>
          <w:sz w:val="32"/>
          <w:szCs w:val="32"/>
          <w14:textFill>
            <w14:solidFill>
              <w14:schemeClr w14:val="tx1"/>
            </w14:solidFill>
          </w14:textFill>
        </w:rPr>
        <w:t>工作，让杂志的内容更丰富、形式更多样。</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个部门开展整体支出绩效评价试点，涉及一般公共预算支出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90.62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，门整体</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，自评结论一等，</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分。从评价情况来看，发现的主要问题及原因：通过本次绩效自评，我们认为该项目目标明确，组织管理到位，执行项目有力，资金管理规范，档案管理完善科学，综合评价结果为优</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我部门根据年初设定的绩效目标，情况如下：</w:t>
      </w:r>
    </w:p>
    <w:p>
      <w:pPr>
        <w:numPr>
          <w:ilvl w:val="0"/>
          <w:numId w:val="2"/>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社科联工作经费项目，自评结论一等，</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2"/>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《环江社会科学》项目，</w:t>
      </w:r>
      <w:r>
        <w:rPr>
          <w:rFonts w:hint="eastAsia" w:ascii="仿宋" w:hAnsi="仿宋" w:eastAsia="仿宋" w:cs="仿宋"/>
          <w:color w:val="000000" w:themeColor="text1"/>
          <w:sz w:val="32"/>
          <w:szCs w:val="32"/>
          <w:lang w:val="en-US" w:eastAsia="zh-CN"/>
          <w14:textFill>
            <w14:solidFill>
              <w14:schemeClr w14:val="tx1"/>
            </w14:solidFill>
          </w14:textFill>
        </w:rPr>
        <w:t>自评结论二等，</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85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由于资金问题，人手缺少，最终没能如期出版，再者一是县社科联干部总体年龄偏大，工作创新干劲不足</w:t>
      </w:r>
      <w:r>
        <w:rPr>
          <w:rFonts w:hint="eastAsia" w:ascii="仿宋" w:hAnsi="仿宋" w:eastAsia="仿宋" w:cs="仿宋"/>
          <w:color w:val="000000" w:themeColor="text1"/>
          <w:sz w:val="32"/>
          <w:szCs w:val="32"/>
          <w:lang w:val="en-US" w:eastAsia="zh-CN"/>
          <w14:textFill>
            <w14:solidFill>
              <w14:schemeClr w14:val="tx1"/>
            </w14:solidFill>
          </w14:textFill>
        </w:rPr>
        <w:t>,是缺乏社科专业人才，社科干部队伍专业水平有待加强；三是抽调参加其他工作的人员多，影响业务工作正常开展。</w:t>
      </w:r>
    </w:p>
    <w:p>
      <w:pPr>
        <w:numPr>
          <w:ilvl w:val="0"/>
          <w:numId w:val="2"/>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奖励性补贴，</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100分</w:t>
      </w:r>
      <w:r>
        <w:rPr>
          <w:rFonts w:hint="eastAsia" w:ascii="仿宋" w:hAnsi="仿宋" w:eastAsia="仿宋" w:cs="仿宋"/>
          <w:color w:val="000000" w:themeColor="text1"/>
          <w:sz w:val="32"/>
          <w:szCs w:val="32"/>
          <w14:textFill>
            <w14:solidFill>
              <w14:schemeClr w14:val="tx1"/>
            </w14:solidFill>
          </w14:textFill>
        </w:rPr>
        <w:t>。</w:t>
      </w:r>
    </w:p>
    <w:p>
      <w:pPr>
        <w:numPr>
          <w:ilvl w:val="0"/>
          <w:numId w:val="2"/>
        </w:numPr>
        <w:ind w:left="0" w:leftChars="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奖励性补贴(非三保)</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100分</w:t>
      </w:r>
      <w:r>
        <w:rPr>
          <w:rFonts w:hint="eastAsia" w:ascii="仿宋" w:hAnsi="仿宋" w:eastAsia="仿宋" w:cs="仿宋"/>
          <w:color w:val="000000" w:themeColor="text1"/>
          <w:sz w:val="32"/>
          <w:szCs w:val="32"/>
          <w14:textFill>
            <w14:solidFill>
              <w14:schemeClr w14:val="tx1"/>
            </w14:solidFill>
          </w14:textFill>
        </w:rPr>
        <w:t>。</w:t>
      </w:r>
    </w:p>
    <w:p>
      <w:pPr>
        <w:numPr>
          <w:ilvl w:val="0"/>
          <w:numId w:val="2"/>
        </w:numPr>
        <w:ind w:left="0" w:leftChars="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自治县诗词楹学会成立大会会议经费</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100分</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附件：2023年度预算项目绩效自评表</w:t>
      </w:r>
    </w:p>
    <w:p>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2023年度决算公开表</w:t>
      </w:r>
    </w:p>
    <w:p>
      <w:pPr>
        <w:jc w:val="left"/>
        <w:rPr>
          <w:rFonts w:hint="eastAsia" w:ascii="仿宋" w:hAnsi="仿宋" w:eastAsia="仿宋" w:cs="仿宋"/>
          <w:color w:val="000000" w:themeColor="text1"/>
          <w:sz w:val="32"/>
          <w:szCs w:val="32"/>
          <w14:textFill>
            <w14:solidFill>
              <w14:schemeClr w14:val="tx1"/>
            </w14:solidFill>
          </w14:textFill>
        </w:rPr>
      </w:pPr>
    </w:p>
    <w:p>
      <w:pPr>
        <w:ind w:firstLine="1280" w:firstLineChars="400"/>
        <w:jc w:val="left"/>
        <w:rPr>
          <w:rFonts w:hint="eastAsia" w:ascii="仿宋" w:hAnsi="仿宋" w:eastAsia="仿宋" w:cs="仿宋"/>
          <w:color w:val="000000" w:themeColor="text1"/>
          <w:sz w:val="32"/>
          <w:szCs w:val="32"/>
          <w14:textFill>
            <w14:solidFill>
              <w14:schemeClr w14:val="tx1"/>
            </w14:solidFill>
          </w14:textFill>
        </w:rPr>
      </w:pPr>
    </w:p>
    <w:p>
      <w:pPr>
        <w:ind w:firstLine="1280" w:firstLineChars="400"/>
        <w:jc w:val="left"/>
        <w:rPr>
          <w:rFonts w:hint="eastAsia" w:ascii="仿宋" w:hAnsi="仿宋" w:eastAsia="仿宋" w:cs="仿宋"/>
          <w:color w:val="000000" w:themeColor="text1"/>
          <w:sz w:val="32"/>
          <w:szCs w:val="32"/>
          <w14:textFill>
            <w14:solidFill>
              <w14:schemeClr w14:val="tx1"/>
            </w14:solidFill>
          </w14:textFill>
        </w:rPr>
      </w:pPr>
    </w:p>
    <w:p>
      <w:pPr>
        <w:ind w:firstLine="1280" w:firstLineChars="4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发现的主要问题及原因：通过这次自评，进一步提高了我单位的绩效管理水平，更加认识到了绩效管理对部门综合管理提升的重要性，自评结果将用于202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年及以后年度编制部门预算的重要参考和日常管理的标靶，吸收经验，改进工作，让工作与绩效目标匹配，成果与工作推进互动。</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下一步改进措施：下一步我们将适时公开公示我单位的绩效目标和绩效成果，以经得起上级、服务对象及社会大众的肯定和满意为准绳，继续开展财政部门预算的绩效评价工作。</w:t>
      </w: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hint="eastAsia" w:ascii="黑体" w:hAnsi="黑体" w:eastAsia="黑体" w:cs="黑体"/>
          <w:sz w:val="32"/>
          <w:szCs w:val="32"/>
          <w:highlight w:val="none"/>
        </w:rPr>
      </w:pPr>
    </w:p>
    <w:p>
      <w:pPr>
        <w:ind w:firstLine="2240" w:firstLineChars="7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UnicodeMS">
    <w:altName w:val="微软雅黑"/>
    <w:panose1 w:val="00000000000000000000"/>
    <w:charset w:val="00"/>
    <w:family w:val="auto"/>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FE75C5A"/>
    <w:multiLevelType w:val="singleLevel"/>
    <w:tmpl w:val="DFE75C5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6BF94F3"/>
    <w:rsid w:val="07B0770E"/>
    <w:rsid w:val="08BB6250"/>
    <w:rsid w:val="0942143F"/>
    <w:rsid w:val="097F09BB"/>
    <w:rsid w:val="0CC34754"/>
    <w:rsid w:val="0D100297"/>
    <w:rsid w:val="0D202B45"/>
    <w:rsid w:val="0D4825C6"/>
    <w:rsid w:val="0DF7721A"/>
    <w:rsid w:val="0F8D4C87"/>
    <w:rsid w:val="10505FAA"/>
    <w:rsid w:val="105F7E7E"/>
    <w:rsid w:val="11E56B5B"/>
    <w:rsid w:val="125C77AB"/>
    <w:rsid w:val="14CB726E"/>
    <w:rsid w:val="157FF42D"/>
    <w:rsid w:val="17595BE2"/>
    <w:rsid w:val="17E92249"/>
    <w:rsid w:val="17EB1157"/>
    <w:rsid w:val="18D304F1"/>
    <w:rsid w:val="19F32577"/>
    <w:rsid w:val="19F45B80"/>
    <w:rsid w:val="1B0C078D"/>
    <w:rsid w:val="1B2B31E2"/>
    <w:rsid w:val="1B4C295A"/>
    <w:rsid w:val="1B973C63"/>
    <w:rsid w:val="1BA1001E"/>
    <w:rsid w:val="1D317259"/>
    <w:rsid w:val="1E664F5B"/>
    <w:rsid w:val="1EB34BE1"/>
    <w:rsid w:val="1FFF7660"/>
    <w:rsid w:val="215E639F"/>
    <w:rsid w:val="21EC3183"/>
    <w:rsid w:val="225E72CD"/>
    <w:rsid w:val="2275D2D9"/>
    <w:rsid w:val="246E2F77"/>
    <w:rsid w:val="254B4E2B"/>
    <w:rsid w:val="283D7C94"/>
    <w:rsid w:val="290E5677"/>
    <w:rsid w:val="29480E03"/>
    <w:rsid w:val="2983634D"/>
    <w:rsid w:val="2BB02055"/>
    <w:rsid w:val="2BF927CD"/>
    <w:rsid w:val="2C575A56"/>
    <w:rsid w:val="2CD34A38"/>
    <w:rsid w:val="2CFD1B09"/>
    <w:rsid w:val="2EDE31F1"/>
    <w:rsid w:val="2EEFEE4D"/>
    <w:rsid w:val="2EF7D3E3"/>
    <w:rsid w:val="2F257714"/>
    <w:rsid w:val="2F3275E5"/>
    <w:rsid w:val="30AA08EF"/>
    <w:rsid w:val="30D23D1C"/>
    <w:rsid w:val="31221CF5"/>
    <w:rsid w:val="31400178"/>
    <w:rsid w:val="321E3342"/>
    <w:rsid w:val="327759C8"/>
    <w:rsid w:val="33185FE3"/>
    <w:rsid w:val="339A3BCD"/>
    <w:rsid w:val="34EE2E36"/>
    <w:rsid w:val="354A7391"/>
    <w:rsid w:val="36777241"/>
    <w:rsid w:val="38A951DB"/>
    <w:rsid w:val="38B31605"/>
    <w:rsid w:val="39003F4F"/>
    <w:rsid w:val="3AFE6318"/>
    <w:rsid w:val="3BF9AB2B"/>
    <w:rsid w:val="3BFB612F"/>
    <w:rsid w:val="3BFDCC7B"/>
    <w:rsid w:val="3BFEAEA7"/>
    <w:rsid w:val="3C07002B"/>
    <w:rsid w:val="3CF5AC32"/>
    <w:rsid w:val="3D0D152A"/>
    <w:rsid w:val="3D6ECA18"/>
    <w:rsid w:val="3DF62756"/>
    <w:rsid w:val="3DFF2273"/>
    <w:rsid w:val="3F1B7587"/>
    <w:rsid w:val="3F66A8DA"/>
    <w:rsid w:val="3F87A68B"/>
    <w:rsid w:val="3FBE487A"/>
    <w:rsid w:val="3FD776B0"/>
    <w:rsid w:val="41E57B4F"/>
    <w:rsid w:val="432F26F6"/>
    <w:rsid w:val="43880F63"/>
    <w:rsid w:val="441C5A6F"/>
    <w:rsid w:val="44C44FCC"/>
    <w:rsid w:val="44CC7369"/>
    <w:rsid w:val="457F5108"/>
    <w:rsid w:val="46951B6B"/>
    <w:rsid w:val="47F60262"/>
    <w:rsid w:val="49A34401"/>
    <w:rsid w:val="4A3E30AB"/>
    <w:rsid w:val="4AC14DAC"/>
    <w:rsid w:val="4BE7D96C"/>
    <w:rsid w:val="4D154C85"/>
    <w:rsid w:val="4D8F7B1F"/>
    <w:rsid w:val="4EC8553A"/>
    <w:rsid w:val="4ED737A6"/>
    <w:rsid w:val="4F9A97A4"/>
    <w:rsid w:val="4FA37E69"/>
    <w:rsid w:val="4FFCEC49"/>
    <w:rsid w:val="508F4E24"/>
    <w:rsid w:val="51461E90"/>
    <w:rsid w:val="51463753"/>
    <w:rsid w:val="52553A93"/>
    <w:rsid w:val="53521F8B"/>
    <w:rsid w:val="53E22F47"/>
    <w:rsid w:val="54522FF8"/>
    <w:rsid w:val="55450629"/>
    <w:rsid w:val="56692963"/>
    <w:rsid w:val="568B0F48"/>
    <w:rsid w:val="5786217B"/>
    <w:rsid w:val="57979C07"/>
    <w:rsid w:val="59337A15"/>
    <w:rsid w:val="59810274"/>
    <w:rsid w:val="5AEFBA6B"/>
    <w:rsid w:val="5B5F28A1"/>
    <w:rsid w:val="5CA96A00"/>
    <w:rsid w:val="5CF730BC"/>
    <w:rsid w:val="5E5F0DCE"/>
    <w:rsid w:val="5EBD3474"/>
    <w:rsid w:val="5EFE194D"/>
    <w:rsid w:val="5F66C511"/>
    <w:rsid w:val="5FA40A7B"/>
    <w:rsid w:val="5FD56D29"/>
    <w:rsid w:val="5FDD7078"/>
    <w:rsid w:val="5FEC7F3F"/>
    <w:rsid w:val="60F74BC3"/>
    <w:rsid w:val="617D3BF8"/>
    <w:rsid w:val="61841F6A"/>
    <w:rsid w:val="623007A9"/>
    <w:rsid w:val="637D7558"/>
    <w:rsid w:val="644F19AC"/>
    <w:rsid w:val="64DB33BE"/>
    <w:rsid w:val="65AA4920"/>
    <w:rsid w:val="65C14F1F"/>
    <w:rsid w:val="67694F1E"/>
    <w:rsid w:val="67DE8C78"/>
    <w:rsid w:val="68D6BDCF"/>
    <w:rsid w:val="69597934"/>
    <w:rsid w:val="697FE232"/>
    <w:rsid w:val="699F797D"/>
    <w:rsid w:val="6A0A0C5F"/>
    <w:rsid w:val="6B964DDC"/>
    <w:rsid w:val="6BFD26C2"/>
    <w:rsid w:val="6BFF73E5"/>
    <w:rsid w:val="6C783074"/>
    <w:rsid w:val="6D779521"/>
    <w:rsid w:val="6D9E65C6"/>
    <w:rsid w:val="6D9F064E"/>
    <w:rsid w:val="6DA81947"/>
    <w:rsid w:val="6DF784EE"/>
    <w:rsid w:val="6EB66DE2"/>
    <w:rsid w:val="6ECF88B2"/>
    <w:rsid w:val="6ED3075F"/>
    <w:rsid w:val="6EF7E84C"/>
    <w:rsid w:val="6F2A2D4B"/>
    <w:rsid w:val="6F8A0C1E"/>
    <w:rsid w:val="6FDB75D8"/>
    <w:rsid w:val="6FDE9701"/>
    <w:rsid w:val="6FEFF19C"/>
    <w:rsid w:val="6FFF35C0"/>
    <w:rsid w:val="703F45D4"/>
    <w:rsid w:val="715D6546"/>
    <w:rsid w:val="71BE069E"/>
    <w:rsid w:val="71DD741B"/>
    <w:rsid w:val="73953409"/>
    <w:rsid w:val="73AB7083"/>
    <w:rsid w:val="73CEFE2C"/>
    <w:rsid w:val="73E069A3"/>
    <w:rsid w:val="73FCE8CE"/>
    <w:rsid w:val="74FA4366"/>
    <w:rsid w:val="75DEB0F5"/>
    <w:rsid w:val="75FB20E4"/>
    <w:rsid w:val="76CB9D56"/>
    <w:rsid w:val="777FE489"/>
    <w:rsid w:val="77B38D9A"/>
    <w:rsid w:val="77CFC535"/>
    <w:rsid w:val="77D73551"/>
    <w:rsid w:val="77DFC994"/>
    <w:rsid w:val="77FF14BE"/>
    <w:rsid w:val="78104AA8"/>
    <w:rsid w:val="78E257C5"/>
    <w:rsid w:val="794B35BE"/>
    <w:rsid w:val="79DD6C59"/>
    <w:rsid w:val="7AEF214A"/>
    <w:rsid w:val="7AEF3513"/>
    <w:rsid w:val="7B0A3A31"/>
    <w:rsid w:val="7B1C943B"/>
    <w:rsid w:val="7B2444A5"/>
    <w:rsid w:val="7B3360ED"/>
    <w:rsid w:val="7B5319F3"/>
    <w:rsid w:val="7B741AD3"/>
    <w:rsid w:val="7BDEFCB1"/>
    <w:rsid w:val="7BDF037E"/>
    <w:rsid w:val="7BE926C2"/>
    <w:rsid w:val="7BF50948"/>
    <w:rsid w:val="7BF8B817"/>
    <w:rsid w:val="7BFEF07D"/>
    <w:rsid w:val="7BFF6255"/>
    <w:rsid w:val="7CE66A78"/>
    <w:rsid w:val="7CFCCDC6"/>
    <w:rsid w:val="7D23564C"/>
    <w:rsid w:val="7D5E062D"/>
    <w:rsid w:val="7D7E0470"/>
    <w:rsid w:val="7D9D1038"/>
    <w:rsid w:val="7DBFFC63"/>
    <w:rsid w:val="7DCF0152"/>
    <w:rsid w:val="7DDE9A61"/>
    <w:rsid w:val="7DDF929E"/>
    <w:rsid w:val="7DF76CD8"/>
    <w:rsid w:val="7DFDB65D"/>
    <w:rsid w:val="7E753FF6"/>
    <w:rsid w:val="7EDF5C23"/>
    <w:rsid w:val="7EF72E77"/>
    <w:rsid w:val="7EFD618C"/>
    <w:rsid w:val="7F3FA456"/>
    <w:rsid w:val="7F695C26"/>
    <w:rsid w:val="7F87A619"/>
    <w:rsid w:val="7F9F0345"/>
    <w:rsid w:val="7FB99CF3"/>
    <w:rsid w:val="7FCF62D3"/>
    <w:rsid w:val="7FDBDBEA"/>
    <w:rsid w:val="7FDD97ED"/>
    <w:rsid w:val="7FEE89D3"/>
    <w:rsid w:val="7FEF371D"/>
    <w:rsid w:val="7FFD4B50"/>
    <w:rsid w:val="7FFDC07D"/>
    <w:rsid w:val="7FFE26D2"/>
    <w:rsid w:val="7FFFDD35"/>
    <w:rsid w:val="8C1DF2CD"/>
    <w:rsid w:val="8DBDF887"/>
    <w:rsid w:val="9D7F609B"/>
    <w:rsid w:val="9DCD5602"/>
    <w:rsid w:val="9DDEADC5"/>
    <w:rsid w:val="9E7B1978"/>
    <w:rsid w:val="9FF7F499"/>
    <w:rsid w:val="9FFC2AF2"/>
    <w:rsid w:val="9FFF47F0"/>
    <w:rsid w:val="9FFF7908"/>
    <w:rsid w:val="A8CFD73F"/>
    <w:rsid w:val="A9FE4C54"/>
    <w:rsid w:val="ADFB6E51"/>
    <w:rsid w:val="AE0D2EB2"/>
    <w:rsid w:val="AF4F7E1B"/>
    <w:rsid w:val="AFEF0012"/>
    <w:rsid w:val="AFFF902E"/>
    <w:rsid w:val="B6D70CC6"/>
    <w:rsid w:val="B6EA5974"/>
    <w:rsid w:val="B7F7E7CF"/>
    <w:rsid w:val="BAFF5CBC"/>
    <w:rsid w:val="BB9F9BA0"/>
    <w:rsid w:val="BBDF5D32"/>
    <w:rsid w:val="BD6FAFFC"/>
    <w:rsid w:val="BD7B913C"/>
    <w:rsid w:val="BD7F5ADE"/>
    <w:rsid w:val="BDE75FB7"/>
    <w:rsid w:val="BE7F19A9"/>
    <w:rsid w:val="BFA63E82"/>
    <w:rsid w:val="BFBD21A9"/>
    <w:rsid w:val="BFDF4282"/>
    <w:rsid w:val="BFF3B0C4"/>
    <w:rsid w:val="BFFEEFCB"/>
    <w:rsid w:val="C3F94361"/>
    <w:rsid w:val="C8B786FF"/>
    <w:rsid w:val="CBFD99E4"/>
    <w:rsid w:val="CFAB42A6"/>
    <w:rsid w:val="CFBF5DA8"/>
    <w:rsid w:val="CFDBEFEB"/>
    <w:rsid w:val="D767C7D0"/>
    <w:rsid w:val="D94E867A"/>
    <w:rsid w:val="DBB116B9"/>
    <w:rsid w:val="DBEADCA0"/>
    <w:rsid w:val="DCBDD343"/>
    <w:rsid w:val="DCEECC9D"/>
    <w:rsid w:val="DD9FB1DC"/>
    <w:rsid w:val="DE5EE581"/>
    <w:rsid w:val="DEBF57CD"/>
    <w:rsid w:val="DEDB7B00"/>
    <w:rsid w:val="DF57E571"/>
    <w:rsid w:val="DF7FE025"/>
    <w:rsid w:val="DFBBB2DD"/>
    <w:rsid w:val="DFBDEABE"/>
    <w:rsid w:val="DFE7A00F"/>
    <w:rsid w:val="DFEF4E54"/>
    <w:rsid w:val="DFEFAC4F"/>
    <w:rsid w:val="E3D76E8F"/>
    <w:rsid w:val="E3EFE69F"/>
    <w:rsid w:val="E5F7F81E"/>
    <w:rsid w:val="E7144758"/>
    <w:rsid w:val="E773DD2F"/>
    <w:rsid w:val="E77DB5B7"/>
    <w:rsid w:val="E79BAD75"/>
    <w:rsid w:val="E9FF020A"/>
    <w:rsid w:val="EBB7C342"/>
    <w:rsid w:val="EBFE5961"/>
    <w:rsid w:val="EDFEB7AC"/>
    <w:rsid w:val="EE2D88E4"/>
    <w:rsid w:val="EE594E0B"/>
    <w:rsid w:val="EE79F7E3"/>
    <w:rsid w:val="EE7BB9E3"/>
    <w:rsid w:val="EEED0577"/>
    <w:rsid w:val="EF7DCBFB"/>
    <w:rsid w:val="EFBDEDD3"/>
    <w:rsid w:val="EFDD5DAB"/>
    <w:rsid w:val="EFEF210E"/>
    <w:rsid w:val="EFF702D8"/>
    <w:rsid w:val="EFFA3D71"/>
    <w:rsid w:val="F2D91784"/>
    <w:rsid w:val="F5BD7B2C"/>
    <w:rsid w:val="F5DB0E68"/>
    <w:rsid w:val="F63C494E"/>
    <w:rsid w:val="F6FE1CBF"/>
    <w:rsid w:val="F75F66A7"/>
    <w:rsid w:val="F7B38DA4"/>
    <w:rsid w:val="F7D79CD5"/>
    <w:rsid w:val="F7E6A7BC"/>
    <w:rsid w:val="F977D9DA"/>
    <w:rsid w:val="F9B6E521"/>
    <w:rsid w:val="F9FFB811"/>
    <w:rsid w:val="FAB79656"/>
    <w:rsid w:val="FAC8F41B"/>
    <w:rsid w:val="FB6D7E46"/>
    <w:rsid w:val="FB7F46E2"/>
    <w:rsid w:val="FBAF415D"/>
    <w:rsid w:val="FBB839ED"/>
    <w:rsid w:val="FBCF9361"/>
    <w:rsid w:val="FBDBAA8C"/>
    <w:rsid w:val="FBE1D2AD"/>
    <w:rsid w:val="FBFBEFA0"/>
    <w:rsid w:val="FBFF3DED"/>
    <w:rsid w:val="FBFFB8A2"/>
    <w:rsid w:val="FC9C8D10"/>
    <w:rsid w:val="FD1E81F9"/>
    <w:rsid w:val="FD9DEF9F"/>
    <w:rsid w:val="FDBF1780"/>
    <w:rsid w:val="FDD84C3E"/>
    <w:rsid w:val="FDDD6661"/>
    <w:rsid w:val="FE2879E2"/>
    <w:rsid w:val="FE35FC5B"/>
    <w:rsid w:val="FEB7804F"/>
    <w:rsid w:val="FEF57B3F"/>
    <w:rsid w:val="FEFBB922"/>
    <w:rsid w:val="FEFE2590"/>
    <w:rsid w:val="FEFF5BFE"/>
    <w:rsid w:val="FF1FE10A"/>
    <w:rsid w:val="FF224517"/>
    <w:rsid w:val="FF3321F9"/>
    <w:rsid w:val="FF3E08CA"/>
    <w:rsid w:val="FF5DCA81"/>
    <w:rsid w:val="FF6B2714"/>
    <w:rsid w:val="FF6FC126"/>
    <w:rsid w:val="FF7F1176"/>
    <w:rsid w:val="FF7F5820"/>
    <w:rsid w:val="FFB35744"/>
    <w:rsid w:val="FFB73780"/>
    <w:rsid w:val="FFBD7996"/>
    <w:rsid w:val="FFD36DB5"/>
    <w:rsid w:val="FFFCED91"/>
    <w:rsid w:val="FFFE25A7"/>
    <w:rsid w:val="FFFE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0.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49.82</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37.44</c:v>
                </c:pt>
                <c:pt idx="1">
                  <c:v>4.17</c:v>
                </c:pt>
                <c:pt idx="2">
                  <c:v>3.17</c:v>
                </c:pt>
                <c:pt idx="3">
                  <c:v>5.04</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70.28</c:v>
                </c:pt>
                <c:pt idx="1">
                  <c:v>8.41</c:v>
                </c:pt>
                <c:pt idx="2">
                  <c:v>6.24</c:v>
                </c:pt>
                <c:pt idx="3">
                  <c:v>5.69</c:v>
                </c:pt>
              </c:numCache>
            </c:numRef>
          </c:val>
        </c:ser>
        <c:dLbls>
          <c:showLegendKey val="0"/>
          <c:showVal val="1"/>
          <c:showCatName val="0"/>
          <c:showSerName val="0"/>
          <c:showPercent val="0"/>
          <c:showBubbleSize val="0"/>
        </c:dLbls>
        <c:gapWidth val="444"/>
        <c:overlap val="-90"/>
        <c:axId val="-172443552"/>
        <c:axId val="-172442464"/>
      </c:barChart>
      <c:catAx>
        <c:axId val="-172443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一般公共服务支出</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201</c:v>
                </c:pt>
                <c:pt idx="1">
                  <c:v>20129</c:v>
                </c:pt>
                <c:pt idx="2">
                  <c:v>2012999</c:v>
                </c:pt>
                <c:pt idx="3">
                  <c:v>20133</c:v>
                </c:pt>
                <c:pt idx="4">
                  <c:v>2013301</c:v>
                </c:pt>
              </c:numCache>
            </c:numRef>
          </c:cat>
          <c:val>
            <c:numRef>
              <c:f>Sheet1!$B$2:$B$6</c:f>
              <c:numCache>
                <c:formatCode>General</c:formatCode>
                <c:ptCount val="5"/>
                <c:pt idx="0">
                  <c:v>61.09</c:v>
                </c:pt>
                <c:pt idx="1">
                  <c:v>0.7</c:v>
                </c:pt>
                <c:pt idx="2">
                  <c:v>0.7</c:v>
                </c:pt>
                <c:pt idx="3">
                  <c:v>8.5</c:v>
                </c:pt>
                <c:pt idx="4">
                  <c:v>8.5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400" b="0" i="0" u="none" strike="noStrike" kern="1200" spc="0" baseline="0">
                <a:solidFill>
                  <a:schemeClr val="tx1">
                    <a:lumMod val="65000"/>
                    <a:lumOff val="35000"/>
                  </a:schemeClr>
                </a:solidFill>
                <a:latin typeface="+mn-lt"/>
                <a:ea typeface="+mn-ea"/>
                <a:cs typeface="+mn-cs"/>
              </a:defRPr>
            </a:pPr>
            <a:r>
              <a:t>社会保障和就业支出</a:t>
            </a:r>
          </a:p>
        </c:rich>
      </c:tx>
      <c:layout/>
      <c:overlay val="0"/>
      <c:spPr>
        <a:noFill/>
        <a:ln>
          <a:noFill/>
        </a:ln>
        <a:effectLst/>
      </c:spPr>
    </c:title>
    <c:autoTitleDeleted val="0"/>
    <c:plotArea>
      <c:layout>
        <c:manualLayout>
          <c:layoutTarget val="inner"/>
          <c:xMode val="edge"/>
          <c:yMode val="edge"/>
          <c:x val="0.0892010784731091"/>
          <c:y val="0.166074249605055"/>
          <c:w val="0.882134241521215"/>
          <c:h val="0.64601105845181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208</c:v>
                </c:pt>
                <c:pt idx="1">
                  <c:v>20805</c:v>
                </c:pt>
                <c:pt idx="2">
                  <c:v>2080505</c:v>
                </c:pt>
              </c:numCache>
            </c:numRef>
          </c:cat>
          <c:val>
            <c:numRef>
              <c:f>Sheet1!$B$2:$B$4</c:f>
              <c:numCache>
                <c:formatCode>General</c:formatCode>
                <c:ptCount val="3"/>
                <c:pt idx="0">
                  <c:v>8.4</c:v>
                </c:pt>
                <c:pt idx="1">
                  <c:v>8.4</c:v>
                </c:pt>
                <c:pt idx="2">
                  <c:v>8.4</c:v>
                </c:pt>
              </c:numCache>
            </c:numRef>
          </c:val>
        </c:ser>
        <c:dLbls>
          <c:showLegendKey val="0"/>
          <c:showVal val="1"/>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6.24</c:v>
                </c:pt>
                <c:pt idx="1">
                  <c:v>6.24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31.66</c:v>
                </c:pt>
                <c:pt idx="1">
                  <c:v>8.49</c:v>
                </c:pt>
                <c:pt idx="2">
                  <c:v>6.93</c:v>
                </c:pt>
                <c:pt idx="3">
                  <c:v>0</c:v>
                </c:pt>
                <c:pt idx="4">
                  <c:v>9.48</c:v>
                </c:pt>
                <c:pt idx="5">
                  <c:v>8.41</c:v>
                </c:pt>
                <c:pt idx="6">
                  <c:v>0</c:v>
                </c:pt>
                <c:pt idx="7">
                  <c:v>3.41</c:v>
                </c:pt>
                <c:pt idx="8">
                  <c:v>0</c:v>
                </c:pt>
                <c:pt idx="9">
                  <c:v>0.08</c:v>
                </c:pt>
                <c:pt idx="10">
                  <c:v>6.24</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0.02</c:v>
                </c:pt>
                <c:pt idx="1">
                  <c:v>0</c:v>
                </c:pt>
                <c:pt idx="2">
                  <c:v>0</c:v>
                </c:pt>
                <c:pt idx="3">
                  <c:v>0</c:v>
                </c:pt>
                <c:pt idx="4">
                  <c:v>0</c:v>
                </c:pt>
                <c:pt idx="5">
                  <c:v>0</c:v>
                </c:pt>
                <c:pt idx="6">
                  <c:v>0.86</c:v>
                </c:pt>
                <c:pt idx="7">
                  <c:v>0</c:v>
                </c:pt>
                <c:pt idx="8">
                  <c:v>0</c:v>
                </c:pt>
                <c:pt idx="9">
                  <c:v>0</c:v>
                </c:pt>
                <c:pt idx="10">
                  <c:v>0</c:v>
                </c:pt>
                <c:pt idx="11">
                  <c:v>0</c:v>
                </c:pt>
                <c:pt idx="12">
                  <c:v>0</c:v>
                </c:pt>
                <c:pt idx="13">
                  <c:v>0</c:v>
                </c:pt>
                <c:pt idx="14">
                  <c:v>0</c:v>
                </c:pt>
                <c:pt idx="15">
                  <c:v>0</c:v>
                </c:pt>
                <c:pt idx="16">
                  <c:v>0</c:v>
                </c:pt>
                <c:pt idx="17">
                  <c:v>0</c:v>
                </c:pt>
                <c:pt idx="18">
                  <c:v>0</c:v>
                </c:pt>
                <c:pt idx="19">
                  <c:v>0.11</c:v>
                </c:pt>
                <c:pt idx="20">
                  <c:v>0</c:v>
                </c:pt>
                <c:pt idx="21">
                  <c:v>0.7</c:v>
                </c:pt>
                <c:pt idx="22">
                  <c:v>0</c:v>
                </c:pt>
                <c:pt idx="23">
                  <c:v>0</c:v>
                </c:pt>
                <c:pt idx="24">
                  <c:v>4.19</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对个人和家庭的补助</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30301</c:v>
                </c:pt>
                <c:pt idx="1">
                  <c:v>30302</c:v>
                </c:pt>
                <c:pt idx="2">
                  <c:v>30304</c:v>
                </c:pt>
                <c:pt idx="3">
                  <c:v>30305</c:v>
                </c:pt>
                <c:pt idx="4">
                  <c:v>30399</c:v>
                </c:pt>
              </c:numCache>
            </c:numRef>
          </c:cat>
          <c:val>
            <c:numRef>
              <c:f>Sheet1!$B$2:$B$6</c:f>
              <c:numCache>
                <c:formatCode>General</c:formatCode>
                <c:ptCount val="5"/>
                <c:pt idx="0">
                  <c:v>0</c:v>
                </c:pt>
                <c:pt idx="1">
                  <c:v>0</c:v>
                </c:pt>
                <c:pt idx="2">
                  <c:v>0</c:v>
                </c:pt>
                <c:pt idx="3">
                  <c:v>0.45</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8</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2023-08-18T10:06:00Z</dcterms:created>
  <dc:creator>C D D</dc:creator>
  <cp:lastModifiedBy>Administrator</cp:lastModifiedBy>
  <dcterms:modified xsi:type="dcterms:W3CDTF">2024-12-30T03:14:04Z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