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环江毛南族自治县文物管理所202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645"/>
        <w:jc w:val="center"/>
        <w:rPr>
          <w:rFonts w:hint="eastAsia" w:ascii="仿宋_GB2312" w:hAnsi="Times New Roman" w:eastAsia="仿宋_GB2312" w:cs="Times New Roman"/>
          <w:b w:val="0"/>
          <w:sz w:val="32"/>
          <w:szCs w:val="32"/>
          <w:lang w:val="en-US" w:eastAsia="zh-CN"/>
        </w:rPr>
      </w:pPr>
      <w:r>
        <w:rPr>
          <w:rFonts w:hint="eastAsia" w:ascii="仿宋_GB2312" w:hAnsi="Times New Roman" w:eastAsia="仿宋_GB2312" w:cs="Times New Roman"/>
          <w:b w:val="0"/>
          <w:sz w:val="32"/>
          <w:szCs w:val="32"/>
          <w:lang w:val="en-US" w:eastAsia="zh-CN"/>
        </w:rPr>
        <w:t>2024年12月3日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环江毛南族自治县文物管理所</w:t>
      </w:r>
      <w:r>
        <w:rPr>
          <w:rFonts w:hint="eastAsia" w:ascii="黑体" w:hAnsi="黑体" w:eastAsia="黑体" w:cs="黑体"/>
          <w:b/>
          <w:bCs/>
          <w:sz w:val="32"/>
          <w:szCs w:val="32"/>
          <w:highlight w:val="none"/>
        </w:rPr>
        <w:t>概况</w:t>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一、主要职能</w:t>
      </w:r>
    </w:p>
    <w:p>
      <w:pPr>
        <w:keepNext w:val="0"/>
        <w:keepLines w:val="0"/>
        <w:pageBreakBefore w:val="0"/>
        <w:kinsoku/>
        <w:wordWrap/>
        <w:overflowPunct/>
        <w:topLinePunct w:val="0"/>
        <w:bidi w:val="0"/>
        <w:snapToGrid/>
        <w:spacing w:line="56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管理保护文物，促进文物事业发展。文物保护管理；文物理论：出土文献研究；文物档案资料管理与研究、征集、保管；文物展览；文物保护法宣传；相关资讯与培训。</w:t>
      </w:r>
    </w:p>
    <w:p>
      <w:pPr>
        <w:keepNext w:val="0"/>
        <w:keepLines w:val="0"/>
        <w:pageBreakBefore w:val="0"/>
        <w:numPr>
          <w:ilvl w:val="0"/>
          <w:numId w:val="1"/>
        </w:numPr>
        <w:kinsoku/>
        <w:wordWrap/>
        <w:overflowPunct/>
        <w:topLinePunct w:val="0"/>
        <w:bidi w:val="0"/>
        <w:snapToGrid/>
        <w:spacing w:line="560" w:lineRule="exact"/>
        <w:ind w:firstLine="64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部门决算单位构成</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环江毛南族自治县文物管理所为财政全额拨款副科级事业单位。</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事业在职人数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ind w:firstLine="1280" w:firstLineChars="400"/>
        <w:jc w:val="both"/>
        <w:rPr>
          <w:rFonts w:hint="eastAsia" w:ascii="黑体" w:hAnsi="黑体" w:eastAsia="黑体" w:cs="黑体"/>
          <w:sz w:val="32"/>
          <w:szCs w:val="32"/>
          <w:highlight w:val="none"/>
        </w:rPr>
      </w:pPr>
      <w:r>
        <w:rPr>
          <w:rFonts w:hint="eastAsia" w:ascii="仿宋_GB2312" w:eastAsia="仿宋_GB2312"/>
          <w:sz w:val="32"/>
          <w:szCs w:val="32"/>
          <w:lang w:eastAsia="zh-CN"/>
        </w:rPr>
        <w:t>表一：</w:t>
      </w:r>
      <w:r>
        <w:rPr>
          <w:rFonts w:hint="eastAsia" w:ascii="仿宋_GB2312" w:eastAsia="仿宋_GB2312"/>
          <w:sz w:val="32"/>
          <w:szCs w:val="32"/>
        </w:rPr>
        <w:t>收入支出决算总表</w:t>
      </w: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3"/>
        <w:gridCol w:w="891"/>
        <w:gridCol w:w="1157"/>
        <w:gridCol w:w="4348"/>
        <w:gridCol w:w="891"/>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920"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部门：环江毛南族自治县文物管理所</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spacing w:line="240" w:lineRule="auto"/>
        <w:ind w:left="0"/>
        <w:rPr>
          <w:rFonts w:hint="eastAsia" w:ascii="仿宋_GB2312" w:eastAsia="仿宋_GB2312"/>
          <w:sz w:val="32"/>
          <w:szCs w:val="32"/>
        </w:rPr>
      </w:pPr>
      <w:r>
        <w:rPr>
          <w:rFonts w:hint="eastAsia" w:ascii="仿宋_GB2312" w:eastAsia="仿宋_GB2312"/>
          <w:sz w:val="32"/>
          <w:szCs w:val="32"/>
        </w:rPr>
        <w:t>表二：收入决算表</w:t>
      </w:r>
    </w:p>
    <w:tbl>
      <w:tblPr>
        <w:tblStyle w:val="6"/>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
        <w:gridCol w:w="318"/>
        <w:gridCol w:w="318"/>
        <w:gridCol w:w="3980"/>
        <w:gridCol w:w="1454"/>
        <w:gridCol w:w="1454"/>
        <w:gridCol w:w="939"/>
        <w:gridCol w:w="836"/>
        <w:gridCol w:w="836"/>
        <w:gridCol w:w="1044"/>
        <w:gridCol w:w="2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840"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部门：环江毛南族自治县文物管理所</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7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7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7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332"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2"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53"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博物馆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12.15</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68.45</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spacing w:line="240" w:lineRule="auto"/>
        <w:ind w:left="0"/>
        <w:jc w:val="left"/>
        <w:rPr>
          <w:rFonts w:hint="eastAsia" w:ascii="仿宋_GB2312" w:eastAsia="仿宋_GB2312"/>
          <w:sz w:val="32"/>
          <w:szCs w:val="32"/>
        </w:rPr>
      </w:pPr>
      <w:r>
        <w:rPr>
          <w:rFonts w:hint="eastAsia" w:ascii="仿宋_GB2312" w:eastAsia="仿宋_GB2312"/>
          <w:sz w:val="32"/>
          <w:szCs w:val="32"/>
        </w:rPr>
        <w:t>表三：支出决算表</w:t>
      </w:r>
    </w:p>
    <w:tbl>
      <w:tblPr>
        <w:tblStyle w:val="6"/>
        <w:tblW w:w="14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0"/>
        <w:gridCol w:w="330"/>
        <w:gridCol w:w="330"/>
        <w:gridCol w:w="4124"/>
        <w:gridCol w:w="1627"/>
        <w:gridCol w:w="1309"/>
        <w:gridCol w:w="1309"/>
        <w:gridCol w:w="1187"/>
        <w:gridCol w:w="979"/>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4180" w:type="dxa"/>
            <w:gridSpan w:val="10"/>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部门：环江毛南族自治县文物管理所</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上缴上级支出</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经营支出</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6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6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6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494"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45"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45"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4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6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90.39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博物馆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注：本表反映部门本年度各项支出情况。</w:t>
            </w:r>
          </w:p>
        </w:tc>
      </w:tr>
    </w:tbl>
    <w:p>
      <w:pPr>
        <w:spacing w:line="240" w:lineRule="auto"/>
        <w:ind w:left="0"/>
        <w:jc w:val="left"/>
        <w:rPr>
          <w:rFonts w:hint="eastAsia" w:ascii="仿宋_GB2312" w:eastAsia="仿宋_GB2312"/>
          <w:sz w:val="32"/>
          <w:szCs w:val="32"/>
        </w:rPr>
      </w:pPr>
      <w:r>
        <w:rPr>
          <w:rFonts w:hint="eastAsia" w:ascii="仿宋_GB2312" w:eastAsia="仿宋_GB2312"/>
          <w:sz w:val="32"/>
          <w:szCs w:val="32"/>
        </w:rPr>
        <w:t>表四：财政拨款收入支出决算总表</w:t>
      </w:r>
    </w:p>
    <w:tbl>
      <w:tblPr>
        <w:tblStyle w:val="6"/>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5"/>
        <w:gridCol w:w="831"/>
        <w:gridCol w:w="1010"/>
        <w:gridCol w:w="3290"/>
        <w:gridCol w:w="746"/>
        <w:gridCol w:w="745"/>
        <w:gridCol w:w="1122"/>
        <w:gridCol w:w="789"/>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384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0" w:type="auto"/>
            <w:gridSpan w:val="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部门：环江毛南族自治县文物管理所</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24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c>
          <w:tcPr>
            <w:tcW w:w="307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财政拨款</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政府性基金预</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算财政拨款</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国有资本经营</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24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307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二、外交支出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三、国防支出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四、公共安全支出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五、教育支出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六、科学技术支出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10.93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九、卫生健康支出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十、节能环保支出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13.12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本年收入合计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本年支出合计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189.77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12"/>
                <w:szCs w:val="12"/>
                <w:u w:val="none"/>
              </w:rPr>
            </w:pP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t>表五：一般公共预算财政拨款支出决算表</w:t>
      </w:r>
    </w:p>
    <w:tbl>
      <w:tblPr>
        <w:tblStyle w:val="6"/>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1"/>
        <w:gridCol w:w="318"/>
        <w:gridCol w:w="318"/>
        <w:gridCol w:w="5363"/>
        <w:gridCol w:w="1257"/>
        <w:gridCol w:w="1099"/>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00" w:type="dxa"/>
            <w:gridSpan w:val="7"/>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1"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1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31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36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25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203" w:type="dxa"/>
            <w:gridSpan w:val="2"/>
            <w:tcBorders>
              <w:top w:val="nil"/>
              <w:left w:val="nil"/>
              <w:bottom w:val="nil"/>
              <w:right w:val="nil"/>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12"/>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977" w:type="dxa"/>
            <w:gridSpan w:val="3"/>
            <w:tcBorders>
              <w:top w:val="nil"/>
              <w:left w:val="nil"/>
              <w:bottom w:val="nil"/>
              <w:right w:val="nil"/>
            </w:tcBorders>
            <w:shd w:val="clear" w:color="auto" w:fill="FFFFFF"/>
            <w:noWrap/>
            <w:vAlign w:val="center"/>
          </w:tcPr>
          <w:p>
            <w:pPr>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部门：环江毛南族自治县文物管理所</w:t>
            </w:r>
          </w:p>
        </w:tc>
        <w:tc>
          <w:tcPr>
            <w:tcW w:w="536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25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203" w:type="dxa"/>
            <w:gridSpan w:val="2"/>
            <w:tcBorders>
              <w:top w:val="nil"/>
              <w:left w:val="nil"/>
              <w:bottom w:val="nil"/>
              <w:right w:val="nil"/>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77"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7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7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表六：一般公共预算财政拨款基本支出决算明细表</w:t>
      </w:r>
    </w:p>
    <w:tbl>
      <w:tblPr>
        <w:tblStyle w:val="6"/>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2908"/>
        <w:gridCol w:w="744"/>
        <w:gridCol w:w="744"/>
        <w:gridCol w:w="2043"/>
        <w:gridCol w:w="657"/>
        <w:gridCol w:w="744"/>
        <w:gridCol w:w="3601"/>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80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一般公共预算财政拨款基本支出决算</w:t>
            </w:r>
            <w:r>
              <w:rPr>
                <w:rStyle w:val="13"/>
                <w:lang w:val="en-US" w:eastAsia="zh-CN" w:bidi="ar"/>
              </w:rPr>
              <w:t>明细</w:t>
            </w:r>
            <w:r>
              <w:rPr>
                <w:rFonts w:hint="default" w:ascii="华文中宋" w:hAnsi="华文中宋" w:eastAsia="华文中宋" w:cs="华文中宋"/>
                <w:i w:val="0"/>
                <w:iCs w:val="0"/>
                <w:color w:val="000000"/>
                <w:kern w:val="0"/>
                <w:sz w:val="44"/>
                <w:szCs w:val="4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44"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290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744"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74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04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65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74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3601"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0" w:hRule="atLeast"/>
        </w:trPr>
        <w:tc>
          <w:tcPr>
            <w:tcW w:w="0" w:type="auto"/>
            <w:gridSpan w:val="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部门：环江毛南族自治县文物管理所</w:t>
            </w:r>
          </w:p>
        </w:tc>
        <w:tc>
          <w:tcPr>
            <w:tcW w:w="0" w:type="auto"/>
            <w:tcBorders>
              <w:top w:val="nil"/>
              <w:left w:val="nil"/>
              <w:bottom w:val="nil"/>
              <w:right w:val="nil"/>
            </w:tcBorders>
            <w:noWrap/>
            <w:vAlign w:val="center"/>
          </w:tcPr>
          <w:p>
            <w:pPr>
              <w:rPr>
                <w:rFonts w:hint="eastAsia"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90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360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90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360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96.84</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32.08</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0.18</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3.15</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21.89</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10.93</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30110</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0.44</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0.28</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8.26</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30199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1.46</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福利费</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30310</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30399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97.46</w:t>
            </w:r>
          </w:p>
        </w:tc>
        <w:tc>
          <w:tcPr>
            <w:tcW w:w="0" w:type="auto"/>
            <w:gridSpan w:val="5"/>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注：本表反映部门本年度一般公共预算财政拨款基本支出明细情况。</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tbl>
      <w:tblPr>
        <w:tblStyle w:val="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4"/>
        <w:gridCol w:w="601"/>
        <w:gridCol w:w="526"/>
        <w:gridCol w:w="1842"/>
        <w:gridCol w:w="2243"/>
        <w:gridCol w:w="1393"/>
        <w:gridCol w:w="907"/>
        <w:gridCol w:w="1393"/>
        <w:gridCol w:w="1580"/>
        <w:gridCol w:w="2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14100" w:type="dxa"/>
            <w:gridSpan w:val="10"/>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54"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601"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26"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842"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24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39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90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39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58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部门：环江毛南族自治县文物所</w:t>
            </w:r>
          </w:p>
        </w:tc>
        <w:tc>
          <w:tcPr>
            <w:tcW w:w="139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90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39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58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224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年初结转和结余</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本年收入</w:t>
            </w:r>
          </w:p>
        </w:tc>
        <w:tc>
          <w:tcPr>
            <w:tcW w:w="3880"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本年支出</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基本支出</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项目支出</w:t>
            </w: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4100" w:type="dxa"/>
            <w:gridSpan w:val="10"/>
            <w:tcBorders>
              <w:top w:val="single" w:color="000000" w:sz="4" w:space="0"/>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注：本表反映部门本年度政府性基金预算财政拨款收入、支出及结转和结余情况。</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本部门2023年度没有政府性基金预算财政拨款收入，也没有政府性基金预算财政拨款安排的支出，故本表无数据</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tbl>
      <w:tblPr>
        <w:tblStyle w:val="6"/>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7"/>
        <w:gridCol w:w="450"/>
        <w:gridCol w:w="450"/>
        <w:gridCol w:w="2038"/>
        <w:gridCol w:w="823"/>
        <w:gridCol w:w="1943"/>
        <w:gridCol w:w="2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800" w:type="dxa"/>
            <w:gridSpan w:val="7"/>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377"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450"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450"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2038"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2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94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71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部门：环江毛南族自治县文物所</w:t>
            </w:r>
          </w:p>
        </w:tc>
        <w:tc>
          <w:tcPr>
            <w:tcW w:w="450"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450"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2038"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2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94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71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85"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77"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7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7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3800" w:type="dxa"/>
            <w:gridSpan w:val="7"/>
            <w:tcBorders>
              <w:top w:val="single" w:color="000000" w:sz="4" w:space="0"/>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本部门2023年度没有国有资本经营预算财政拨款收入，也没有国有资本经营预算财政拨款安排的支出，故本表无数据。</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表九：财政拨款安排的“三公”经费支出决算表</w:t>
      </w: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0"/>
        <w:gridCol w:w="1216"/>
        <w:gridCol w:w="655"/>
        <w:gridCol w:w="1192"/>
        <w:gridCol w:w="1517"/>
        <w:gridCol w:w="865"/>
        <w:gridCol w:w="875"/>
        <w:gridCol w:w="1312"/>
        <w:gridCol w:w="875"/>
        <w:gridCol w:w="1174"/>
        <w:gridCol w:w="1594"/>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3920" w:type="dxa"/>
            <w:gridSpan w:val="12"/>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9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65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192"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51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6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312"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17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59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部门：环江毛南族自治县文物所</w:t>
            </w:r>
          </w:p>
        </w:tc>
        <w:tc>
          <w:tcPr>
            <w:tcW w:w="86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312"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17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59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335" w:type="dxa"/>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预算数</w:t>
            </w:r>
          </w:p>
        </w:tc>
        <w:tc>
          <w:tcPr>
            <w:tcW w:w="7585" w:type="dxa"/>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因公出国（境）费</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公务用车购置及运行维护费</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公务接待费</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因公出国（境）费</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公务用车购置及运行维护费</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19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公务用车购置费</w:t>
            </w:r>
          </w:p>
        </w:tc>
        <w:tc>
          <w:tcPr>
            <w:tcW w:w="151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公务用车运行维护费</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17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公务用车购置费</w:t>
            </w:r>
          </w:p>
        </w:tc>
        <w:tc>
          <w:tcPr>
            <w:tcW w:w="159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公务用车运行维护费</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9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87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59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bidi="ar"/>
              </w:rPr>
            </w:pPr>
            <w:r>
              <w:rPr>
                <w:rFonts w:hint="eastAsia" w:ascii="宋体" w:hAnsi="宋体" w:eastAsia="宋体" w:cs="宋体"/>
                <w:i w:val="0"/>
                <w:iCs w:val="0"/>
                <w:color w:val="000000"/>
                <w:kern w:val="0"/>
                <w:sz w:val="12"/>
                <w:szCs w:val="12"/>
                <w:u w:val="none"/>
                <w:lang w:val="en-US" w:eastAsia="zh-CN" w:bidi="ar"/>
              </w:rPr>
              <w:t>0.51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eastAsia="宋体" w:cs="宋体"/>
                <w:i w:val="0"/>
                <w:iCs w:val="0"/>
                <w:color w:val="000000"/>
                <w:kern w:val="0"/>
                <w:sz w:val="12"/>
                <w:szCs w:val="1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3920" w:type="dxa"/>
            <w:gridSpan w:val="12"/>
            <w:tcBorders>
              <w:top w:val="single" w:color="000000" w:sz="4" w:space="0"/>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autoSpaceDE w:val="0"/>
        <w:autoSpaceDN w:val="0"/>
        <w:adjustRightInd w:val="0"/>
        <w:spacing w:line="560" w:lineRule="exact"/>
        <w:ind w:firstLine="640" w:firstLineChars="200"/>
        <w:jc w:val="both"/>
        <w:rPr>
          <w:rFonts w:hint="default" w:ascii="仿宋_GB2312" w:eastAsia="微软雅黑" w:cs="仿宋_GB2312"/>
          <w:kern w:val="0"/>
          <w:sz w:val="32"/>
          <w:szCs w:val="32"/>
          <w:lang w:val="en-US" w:eastAsia="zh-CN"/>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189.77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189.77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autoSpaceDN/>
        <w:adjustRightInd/>
        <w:spacing w:line="240" w:lineRule="auto"/>
        <w:ind w:firstLine="640" w:firstLineChars="200"/>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189.77</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1.59</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 w:hAnsi="仿宋" w:eastAsia="仿宋" w:cs="仿宋"/>
          <w:color w:val="auto"/>
          <w:kern w:val="2"/>
          <w:sz w:val="32"/>
          <w:szCs w:val="32"/>
          <w:highlight w:val="none"/>
          <w:lang w:val="en-US" w:eastAsia="zh-CN" w:bidi="ar"/>
        </w:rPr>
        <w:t>本年度减少开支，过紧日子。</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kern w:val="2"/>
          <w:sz w:val="32"/>
          <w:szCs w:val="32"/>
          <w:highlight w:val="none"/>
          <w:lang w:val="en-US" w:eastAsia="zh-CN" w:bidi="ar"/>
        </w:rPr>
        <w:t>本部门无</w:t>
      </w:r>
      <w:r>
        <w:rPr>
          <w:rFonts w:hint="eastAsia" w:ascii="仿宋" w:hAnsi="仿宋" w:eastAsia="仿宋" w:cs="仿宋"/>
          <w:kern w:val="2"/>
          <w:sz w:val="32"/>
          <w:szCs w:val="32"/>
          <w:highlight w:val="none"/>
          <w:lang w:val="en-US" w:eastAsia="zh-CN" w:bidi="ar"/>
        </w:rPr>
        <w:t>政府性基金预算财政拨款收入。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kern w:val="2"/>
          <w:sz w:val="32"/>
          <w:szCs w:val="32"/>
          <w:highlight w:val="none"/>
          <w:lang w:val="en-US" w:eastAsia="zh-CN" w:bidi="ar"/>
        </w:rPr>
        <w:t>本部门无</w:t>
      </w:r>
      <w:r>
        <w:rPr>
          <w:rFonts w:hint="eastAsia" w:ascii="仿宋" w:hAnsi="仿宋" w:eastAsia="仿宋" w:cs="仿宋"/>
          <w:kern w:val="2"/>
          <w:sz w:val="32"/>
          <w:szCs w:val="32"/>
          <w:highlight w:val="none"/>
          <w:lang w:val="en-US" w:eastAsia="zh-CN" w:bidi="ar"/>
        </w:rPr>
        <w:t>国有资本经营预算财政拨款收入。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kern w:val="2"/>
          <w:sz w:val="32"/>
          <w:szCs w:val="32"/>
          <w:highlight w:val="none"/>
          <w:lang w:val="en-US" w:eastAsia="zh-CN" w:bidi="ar"/>
        </w:rPr>
        <w:t>本部门无</w:t>
      </w:r>
      <w:r>
        <w:rPr>
          <w:rFonts w:hint="eastAsia" w:ascii="仿宋_GB2312" w:eastAsia="仿宋_GB2312" w:cs="仿宋_GB2312"/>
          <w:kern w:val="0"/>
          <w:sz w:val="32"/>
          <w:szCs w:val="32"/>
        </w:rPr>
        <w:t>事业</w:t>
      </w:r>
      <w:r>
        <w:rPr>
          <w:rFonts w:hint="eastAsia" w:ascii="仿宋" w:hAnsi="仿宋" w:eastAsia="仿宋" w:cs="仿宋"/>
          <w:kern w:val="2"/>
          <w:sz w:val="32"/>
          <w:szCs w:val="32"/>
          <w:highlight w:val="none"/>
          <w:lang w:val="en-US" w:eastAsia="zh-CN" w:bidi="ar"/>
        </w:rPr>
        <w:t>收入</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kern w:val="2"/>
          <w:sz w:val="32"/>
          <w:szCs w:val="32"/>
          <w:highlight w:val="none"/>
          <w:lang w:val="en-US" w:eastAsia="zh-CN" w:bidi="ar"/>
        </w:rPr>
        <w:t>本部门无</w:t>
      </w:r>
      <w:r>
        <w:rPr>
          <w:rFonts w:hint="eastAsia" w:ascii="仿宋_GB2312" w:eastAsia="仿宋_GB2312" w:cs="仿宋_GB2312"/>
          <w:kern w:val="0"/>
          <w:sz w:val="32"/>
          <w:szCs w:val="32"/>
        </w:rPr>
        <w:t>经营</w:t>
      </w:r>
      <w:r>
        <w:rPr>
          <w:rFonts w:hint="eastAsia" w:ascii="仿宋" w:hAnsi="仿宋" w:eastAsia="仿宋" w:cs="仿宋"/>
          <w:kern w:val="2"/>
          <w:sz w:val="32"/>
          <w:szCs w:val="32"/>
          <w:highlight w:val="none"/>
          <w:lang w:val="en-US" w:eastAsia="zh-CN" w:bidi="ar"/>
        </w:rPr>
        <w:t>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autoSpaceDN/>
        <w:adjustRightInd/>
        <w:spacing w:line="240" w:lineRule="auto"/>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kern w:val="2"/>
          <w:sz w:val="32"/>
          <w:szCs w:val="32"/>
          <w:highlight w:val="none"/>
          <w:lang w:val="en-US" w:eastAsia="zh-CN" w:bidi="ar"/>
        </w:rPr>
        <w:t>本部门无</w:t>
      </w:r>
      <w:r>
        <w:rPr>
          <w:rFonts w:hint="eastAsia" w:ascii="仿宋_GB2312" w:eastAsia="仿宋_GB2312" w:cs="仿宋_GB2312"/>
          <w:kern w:val="0"/>
          <w:sz w:val="32"/>
          <w:szCs w:val="32"/>
        </w:rPr>
        <w:t>其他</w:t>
      </w:r>
      <w:r>
        <w:rPr>
          <w:rFonts w:hint="eastAsia" w:ascii="仿宋" w:hAnsi="仿宋" w:eastAsia="仿宋" w:cs="仿宋"/>
          <w:kern w:val="2"/>
          <w:sz w:val="32"/>
          <w:szCs w:val="32"/>
          <w:highlight w:val="none"/>
          <w:lang w:val="en-US" w:eastAsia="zh-CN" w:bidi="ar"/>
        </w:rPr>
        <w:t>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kern w:val="2"/>
          <w:sz w:val="32"/>
          <w:szCs w:val="32"/>
          <w:highlight w:val="none"/>
          <w:lang w:val="en-US" w:eastAsia="zh-CN" w:bidi="ar"/>
        </w:rPr>
        <w:t>本部门无使用非财政拨款。</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kern w:val="2"/>
          <w:sz w:val="32"/>
          <w:szCs w:val="32"/>
          <w:highlight w:val="none"/>
          <w:lang w:val="en-US" w:eastAsia="zh-CN" w:bidi="ar"/>
        </w:rPr>
        <w:t>本部门无使用</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eastAsia="zh-CN"/>
        </w:rPr>
        <w:t>资金</w:t>
      </w:r>
      <w:r>
        <w:rPr>
          <w:rFonts w:hint="eastAsia" w:ascii="仿宋_GB2312" w:hAnsi="黑体" w:eastAsia="仿宋_GB2312" w:cs="仿宋_GB2312"/>
          <w:kern w:val="0"/>
          <w:sz w:val="32"/>
          <w:szCs w:val="32"/>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189.77</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189.77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rPr>
        <w:t>1.46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支付</w:t>
      </w:r>
      <w:r>
        <w:rPr>
          <w:rFonts w:hint="eastAsia" w:ascii="仿宋_GB2312" w:hAnsi="Times New Roman" w:eastAsia="仿宋_GB2312" w:cs="仿宋_GB2312"/>
          <w:i w:val="0"/>
          <w:iCs w:val="0"/>
          <w:caps w:val="0"/>
          <w:spacing w:val="0"/>
          <w:kern w:val="0"/>
          <w:sz w:val="32"/>
          <w:szCs w:val="32"/>
          <w:shd w:val="clear" w:color="auto" w:fill="auto"/>
          <w:lang w:eastAsia="zh-CN"/>
        </w:rPr>
        <w:t>工会经费。</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0.09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5.81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紧跟中央政策过紧日子，支出减少</w:t>
      </w:r>
      <w:r>
        <w:rPr>
          <w:rFonts w:hint="eastAsia" w:ascii="仿宋_GB2312" w:hAnsi="黑体" w:eastAsia="仿宋_GB2312" w:cs="仿宋_GB2312"/>
          <w:kern w:val="0"/>
          <w:sz w:val="32"/>
          <w:szCs w:val="32"/>
        </w:rPr>
        <w:t>。</w:t>
      </w:r>
    </w:p>
    <w:p>
      <w:pPr>
        <w:keepNext w:val="0"/>
        <w:keepLines w:val="0"/>
        <w:widowControl w:val="0"/>
        <w:numPr>
          <w:ilvl w:val="0"/>
          <w:numId w:val="2"/>
        </w:numPr>
        <w:suppressLineNumbers w:val="0"/>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_GB2312" w:hAnsi="黑体" w:eastAsia="仿宋_GB2312" w:cs="仿宋_GB2312"/>
          <w:i w:val="0"/>
          <w:iCs w:val="0"/>
          <w:caps w:val="0"/>
          <w:color w:val="333333"/>
          <w:spacing w:val="0"/>
          <w:kern w:val="0"/>
          <w:sz w:val="32"/>
          <w:szCs w:val="32"/>
          <w:shd w:val="clear" w:color="auto" w:fill="auto"/>
        </w:rPr>
        <w:t>文化旅游体育与传媒支出</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bidi="ar"/>
        </w:rPr>
        <w:t>207</w:t>
      </w:r>
      <w:r>
        <w:rPr>
          <w:rFonts w:hint="eastAsia" w:ascii="仿宋_GB2312" w:hAnsi="黑体" w:eastAsia="仿宋_GB2312" w:cs="仿宋_GB2312"/>
          <w:kern w:val="0"/>
          <w:sz w:val="32"/>
          <w:szCs w:val="32"/>
          <w:highlight w:val="none"/>
          <w:lang w:bidi="ar"/>
        </w:rPr>
        <w:t xml:space="preserve"> </w:t>
      </w:r>
      <w:r>
        <w:rPr>
          <w:rFonts w:hint="eastAsia" w:ascii="仿宋_GB2312" w:hAnsi="黑体" w:eastAsia="仿宋_GB2312" w:cs="仿宋_GB2312"/>
          <w:kern w:val="0"/>
          <w:sz w:val="32"/>
          <w:szCs w:val="32"/>
          <w:highlight w:val="none"/>
        </w:rPr>
        <w:t>类）</w:t>
      </w:r>
      <w:r>
        <w:rPr>
          <w:rFonts w:hint="eastAsia" w:ascii="仿宋_GB2312" w:hAnsi="黑体" w:eastAsia="仿宋_GB2312" w:cs="仿宋_GB2312"/>
          <w:kern w:val="0"/>
          <w:sz w:val="32"/>
          <w:szCs w:val="32"/>
          <w:highlight w:val="none"/>
          <w:lang w:val="en-US" w:eastAsia="zh-CN" w:bidi="ar"/>
        </w:rPr>
        <w:t>156</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color w:val="000000"/>
          <w:kern w:val="0"/>
          <w:sz w:val="32"/>
          <w:szCs w:val="32"/>
          <w:highlight w:val="none"/>
        </w:rPr>
        <w:t>主要用于</w:t>
      </w:r>
      <w:r>
        <w:rPr>
          <w:rFonts w:hint="eastAsia" w:ascii="仿宋_GB2312" w:hAnsi="黑体" w:eastAsia="仿宋_GB2312" w:cs="仿宋_GB2312"/>
          <w:color w:val="000000"/>
          <w:kern w:val="0"/>
          <w:sz w:val="32"/>
          <w:szCs w:val="32"/>
          <w:highlight w:val="none"/>
          <w:lang w:eastAsia="zh-CN"/>
        </w:rPr>
        <w:t>：</w:t>
      </w:r>
      <w:r>
        <w:rPr>
          <w:rFonts w:hint="eastAsia" w:ascii="仿宋_GB2312" w:hAnsi="黑体" w:eastAsia="仿宋_GB2312" w:cs="仿宋_GB2312"/>
          <w:i w:val="0"/>
          <w:iCs w:val="0"/>
          <w:caps w:val="0"/>
          <w:color w:val="333333"/>
          <w:spacing w:val="0"/>
          <w:kern w:val="0"/>
          <w:sz w:val="32"/>
          <w:szCs w:val="32"/>
          <w:shd w:val="clear" w:color="auto" w:fill="auto"/>
        </w:rPr>
        <w:t>主要用于本部门</w:t>
      </w:r>
      <w:r>
        <w:rPr>
          <w:rFonts w:hint="eastAsia" w:ascii="仿宋_GB2312" w:hAnsi="黑体" w:eastAsia="仿宋_GB2312" w:cs="仿宋_GB2312"/>
          <w:i w:val="0"/>
          <w:iCs w:val="0"/>
          <w:caps w:val="0"/>
          <w:color w:val="333333"/>
          <w:spacing w:val="0"/>
          <w:kern w:val="0"/>
          <w:sz w:val="32"/>
          <w:szCs w:val="32"/>
          <w:shd w:val="clear" w:color="auto" w:fill="auto"/>
          <w:lang w:eastAsia="zh-CN"/>
        </w:rPr>
        <w:t>人员经费及</w:t>
      </w:r>
      <w:r>
        <w:rPr>
          <w:rFonts w:hint="eastAsia" w:ascii="仿宋_GB2312" w:hAnsi="黑体" w:eastAsia="仿宋_GB2312" w:cs="仿宋_GB2312"/>
          <w:i w:val="0"/>
          <w:iCs w:val="0"/>
          <w:caps w:val="0"/>
          <w:color w:val="333333"/>
          <w:spacing w:val="0"/>
          <w:kern w:val="0"/>
          <w:sz w:val="32"/>
          <w:szCs w:val="32"/>
          <w:shd w:val="clear" w:color="auto" w:fill="auto"/>
        </w:rPr>
        <w:t>为保证日常运转发生的基本支出和</w:t>
      </w:r>
      <w:r>
        <w:rPr>
          <w:rFonts w:hint="default" w:ascii="仿宋_GB2312" w:hAnsi="黑体" w:eastAsia="仿宋_GB2312" w:cs="仿宋_GB2312"/>
          <w:b w:val="0"/>
          <w:bCs w:val="0"/>
          <w:color w:val="000000"/>
          <w:kern w:val="0"/>
          <w:sz w:val="32"/>
          <w:szCs w:val="32"/>
          <w:highlight w:val="none"/>
          <w:lang w:bidi="ar"/>
        </w:rPr>
        <w:t>其他文化和旅游支出</w:t>
      </w:r>
      <w:r>
        <w:rPr>
          <w:rFonts w:hint="default" w:ascii="仿宋_GB2312" w:hAnsi="黑体" w:eastAsia="仿宋_GB2312" w:cs="仿宋_GB2312"/>
          <w:b w:val="0"/>
          <w:bCs w:val="0"/>
          <w:color w:val="000000"/>
          <w:kern w:val="0"/>
          <w:sz w:val="32"/>
          <w:szCs w:val="32"/>
          <w:highlight w:val="none"/>
          <w:lang w:eastAsia="zh-CN" w:bidi="ar"/>
        </w:rPr>
        <w:t>、文物保护、其他文物</w:t>
      </w:r>
      <w:r>
        <w:rPr>
          <w:rFonts w:hint="eastAsia" w:ascii="仿宋_GB2312" w:hAnsi="黑体" w:eastAsia="仿宋_GB2312" w:cs="仿宋_GB2312"/>
          <w:i w:val="0"/>
          <w:iCs w:val="0"/>
          <w:caps w:val="0"/>
          <w:color w:val="333333"/>
          <w:spacing w:val="0"/>
          <w:kern w:val="0"/>
          <w:sz w:val="32"/>
          <w:szCs w:val="32"/>
          <w:shd w:val="clear" w:color="auto" w:fill="auto"/>
        </w:rPr>
        <w:t>项目支出。</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bidi="ar"/>
        </w:rPr>
        <w:t>增加</w:t>
      </w:r>
      <w:r>
        <w:rPr>
          <w:rFonts w:hint="eastAsia" w:ascii="仿宋_GB2312" w:hAnsi="黑体" w:eastAsia="仿宋_GB2312" w:cs="仿宋_GB2312"/>
          <w:kern w:val="0"/>
          <w:sz w:val="32"/>
          <w:szCs w:val="32"/>
          <w:highlight w:val="none"/>
          <w:lang w:val="en-US" w:eastAsia="zh-CN" w:bidi="ar"/>
        </w:rPr>
        <w:t>1.5</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bidi="ar"/>
        </w:rPr>
        <w:t>增加</w:t>
      </w:r>
      <w:r>
        <w:rPr>
          <w:rFonts w:hint="eastAsia" w:ascii="仿宋_GB2312" w:hAnsi="黑体" w:eastAsia="仿宋_GB2312" w:cs="仿宋_GB2312"/>
          <w:kern w:val="0"/>
          <w:sz w:val="32"/>
          <w:szCs w:val="32"/>
          <w:highlight w:val="none"/>
          <w:lang w:val="en-US" w:eastAsia="zh-CN" w:bidi="ar"/>
        </w:rPr>
        <w:t>1</w:t>
      </w:r>
      <w:r>
        <w:rPr>
          <w:rFonts w:hint="eastAsia" w:ascii="仿宋_GB2312" w:hAnsi="黑体" w:eastAsia="仿宋_GB2312" w:cs="仿宋_GB2312"/>
          <w:kern w:val="0"/>
          <w:sz w:val="32"/>
          <w:szCs w:val="32"/>
          <w:highlight w:val="none"/>
          <w:lang w:bidi="ar"/>
        </w:rPr>
        <w:t>%</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color w:val="000000"/>
          <w:kern w:val="0"/>
          <w:sz w:val="32"/>
          <w:szCs w:val="32"/>
          <w:highlight w:val="none"/>
          <w:lang w:val="en-US" w:eastAsia="zh-CN" w:bidi="ar"/>
        </w:rPr>
        <w:t>主要原因是：</w:t>
      </w:r>
      <w:r>
        <w:rPr>
          <w:rFonts w:hint="eastAsia" w:ascii="仿宋_GB2312" w:hAnsi="黑体" w:eastAsia="仿宋_GB2312" w:cs="仿宋_GB2312"/>
          <w:kern w:val="0"/>
          <w:sz w:val="32"/>
          <w:szCs w:val="32"/>
          <w:highlight w:val="none"/>
          <w:lang w:val="en-US" w:eastAsia="zh-CN" w:bidi="ar"/>
        </w:rPr>
        <w:t>人员调资</w:t>
      </w:r>
      <w:r>
        <w:rPr>
          <w:rFonts w:hint="eastAsia" w:ascii="仿宋_GB2312" w:hAnsi="黑体" w:eastAsia="仿宋_GB2312" w:cs="仿宋_GB2312"/>
          <w:color w:val="000000"/>
          <w:kern w:val="0"/>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rPr>
      </w:pPr>
      <w:r>
        <w:rPr>
          <w:rFonts w:hint="eastAsia" w:ascii="仿宋_GB2312" w:hAnsi="宋体" w:eastAsia="仿宋_GB2312" w:cs="仿宋_GB2312"/>
          <w:i w:val="0"/>
          <w:iCs w:val="0"/>
          <w:caps w:val="0"/>
          <w:color w:val="333333"/>
          <w:spacing w:val="0"/>
          <w:sz w:val="31"/>
          <w:szCs w:val="31"/>
          <w:shd w:val="clear" w:color="auto" w:fill="FFFFFF"/>
          <w:lang w:val="en-US" w:eastAsia="zh-CN"/>
        </w:rPr>
        <w:t>3.</w:t>
      </w:r>
      <w:r>
        <w:rPr>
          <w:rFonts w:ascii="仿宋_GB2312" w:hAnsi="宋体" w:eastAsia="仿宋_GB2312" w:cs="仿宋_GB2312"/>
          <w:i w:val="0"/>
          <w:iCs w:val="0"/>
          <w:caps w:val="0"/>
          <w:color w:val="333333"/>
          <w:spacing w:val="0"/>
          <w:sz w:val="31"/>
          <w:szCs w:val="31"/>
          <w:shd w:val="clear" w:color="auto" w:fill="FFFFFF"/>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10.93</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ascii="仿宋_GB2312" w:hAnsi="宋体" w:eastAsia="仿宋_GB2312" w:cs="仿宋_GB2312"/>
          <w:i w:val="0"/>
          <w:iCs w:val="0"/>
          <w:caps w:val="0"/>
          <w:color w:val="333333"/>
          <w:spacing w:val="0"/>
          <w:sz w:val="31"/>
          <w:szCs w:val="31"/>
          <w:shd w:val="clear" w:color="auto" w:fill="FFFFFF"/>
        </w:rPr>
        <w:t>主要用于机关事业单位基本养老保险缴费支出。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0.96</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8.1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主要原因是：人员变动，养老保险支出减少。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rPr>
        <w:t>.</w:t>
      </w: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8.26</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 w:hAnsi="仿宋" w:eastAsia="仿宋" w:cs="仿宋"/>
          <w:i w:val="0"/>
          <w:iCs w:val="0"/>
          <w:caps w:val="0"/>
          <w:color w:val="333333"/>
          <w:spacing w:val="0"/>
          <w:sz w:val="32"/>
          <w:szCs w:val="32"/>
          <w:highlight w:val="none"/>
          <w:shd w:val="clear" w:color="auto" w:fill="auto"/>
        </w:rPr>
        <w:t>主要用于按照国家政策规定向职工发放的住房公积金、提租补贴、购房补贴等住房改革方面的支出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5.28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r>
        <w:rPr>
          <w:rFonts w:hint="eastAsia" w:ascii="仿宋" w:hAnsi="仿宋" w:eastAsia="仿宋" w:cs="仿宋"/>
          <w:color w:val="000000"/>
          <w:kern w:val="2"/>
          <w:sz w:val="32"/>
          <w:szCs w:val="32"/>
          <w:highlight w:val="none"/>
          <w:lang w:val="en-US" w:eastAsia="zh-CN" w:bidi="ar"/>
        </w:rPr>
        <w:t>主要原因是：人员变动，</w:t>
      </w: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color w:val="000000"/>
          <w:kern w:val="2"/>
          <w:sz w:val="32"/>
          <w:szCs w:val="32"/>
          <w:highlight w:val="none"/>
          <w:lang w:val="en-US" w:eastAsia="zh-CN" w:bidi="ar"/>
        </w:rPr>
        <w:t>减少。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color w:val="000000"/>
          <w:kern w:val="2"/>
          <w:sz w:val="32"/>
          <w:szCs w:val="32"/>
          <w:highlight w:val="none"/>
          <w:lang w:val="en-US" w:eastAsia="zh-CN" w:bidi="ar"/>
        </w:rPr>
        <w:t>5.</w:t>
      </w:r>
      <w:r>
        <w:rPr>
          <w:rFonts w:ascii="仿宋_GB2312" w:hAnsi="宋体" w:eastAsia="仿宋_GB2312" w:cs="仿宋_GB2312"/>
          <w:i w:val="0"/>
          <w:iCs w:val="0"/>
          <w:caps w:val="0"/>
          <w:color w:val="333333"/>
          <w:spacing w:val="0"/>
          <w:sz w:val="31"/>
          <w:szCs w:val="31"/>
          <w:shd w:val="clear" w:color="auto" w:fill="FFFFFF"/>
        </w:rPr>
        <w:t>其他支出</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13.12万元，</w:t>
      </w:r>
      <w:r>
        <w:rPr>
          <w:rFonts w:ascii="仿宋_GB2312" w:hAnsi="宋体" w:eastAsia="仿宋_GB2312" w:cs="仿宋_GB2312"/>
          <w:i w:val="0"/>
          <w:iCs w:val="0"/>
          <w:caps w:val="0"/>
          <w:color w:val="333333"/>
          <w:spacing w:val="0"/>
          <w:sz w:val="31"/>
          <w:szCs w:val="31"/>
          <w:shd w:val="clear" w:color="auto" w:fill="FFFFFF"/>
        </w:rPr>
        <w:t>主要用于年终绩效考评奖</w:t>
      </w:r>
      <w:r>
        <w:rPr>
          <w:rFonts w:hint="eastAsia" w:ascii="仿宋_GB2312" w:hAnsi="宋体" w:eastAsia="仿宋_GB2312" w:cs="仿宋_GB2312"/>
          <w:i w:val="0"/>
          <w:iCs w:val="0"/>
          <w:caps w:val="0"/>
          <w:color w:val="333333"/>
          <w:spacing w:val="0"/>
          <w:sz w:val="31"/>
          <w:szCs w:val="31"/>
          <w:shd w:val="clear" w:color="auto" w:fill="FFFFFF"/>
          <w:lang w:val="en-US" w:eastAsia="zh-CN"/>
        </w:rPr>
        <w:t>支出</w:t>
      </w:r>
      <w:r>
        <w:rPr>
          <w:rFonts w:ascii="仿宋_GB2312" w:hAnsi="宋体" w:eastAsia="仿宋_GB2312" w:cs="仿宋_GB2312"/>
          <w:i w:val="0"/>
          <w:iCs w:val="0"/>
          <w:caps w:val="0"/>
          <w:color w:val="333333"/>
          <w:spacing w:val="0"/>
          <w:sz w:val="31"/>
          <w:szCs w:val="31"/>
          <w:shd w:val="clear" w:color="auto" w:fill="FFFFFF"/>
        </w:rPr>
        <w:t>。较202</w:t>
      </w:r>
      <w:r>
        <w:rPr>
          <w:rFonts w:hint="eastAsia" w:ascii="仿宋_GB2312" w:hAnsi="宋体" w:eastAsia="仿宋_GB2312" w:cs="仿宋_GB2312"/>
          <w:i w:val="0"/>
          <w:iCs w:val="0"/>
          <w:caps w:val="0"/>
          <w:color w:val="333333"/>
          <w:spacing w:val="0"/>
          <w:sz w:val="31"/>
          <w:szCs w:val="31"/>
          <w:shd w:val="clear" w:color="auto" w:fill="FFFFFF"/>
          <w:lang w:val="en-US" w:eastAsia="zh-CN"/>
        </w:rPr>
        <w:t>2</w:t>
      </w:r>
      <w:r>
        <w:rPr>
          <w:rFonts w:ascii="仿宋_GB2312" w:hAnsi="宋体" w:eastAsia="仿宋_GB2312" w:cs="仿宋_GB2312"/>
          <w:i w:val="0"/>
          <w:iCs w:val="0"/>
          <w:caps w:val="0"/>
          <w:color w:val="333333"/>
          <w:spacing w:val="0"/>
          <w:sz w:val="31"/>
          <w:szCs w:val="31"/>
          <w:shd w:val="clear" w:color="auto" w:fill="FFFFFF"/>
        </w:rPr>
        <w:t>年度决算数</w:t>
      </w:r>
      <w:r>
        <w:rPr>
          <w:rFonts w:hint="eastAsia" w:ascii="仿宋_GB2312" w:hAnsi="宋体" w:eastAsia="仿宋_GB2312" w:cs="仿宋_GB2312"/>
          <w:i w:val="0"/>
          <w:iCs w:val="0"/>
          <w:caps w:val="0"/>
          <w:color w:val="333333"/>
          <w:spacing w:val="0"/>
          <w:sz w:val="31"/>
          <w:szCs w:val="31"/>
          <w:shd w:val="clear" w:color="auto" w:fill="FFFFFF"/>
          <w:lang w:eastAsia="zh-CN"/>
        </w:rPr>
        <w:t>减少</w:t>
      </w:r>
      <w:r>
        <w:rPr>
          <w:rFonts w:hint="eastAsia" w:ascii="仿宋_GB2312" w:hAnsi="宋体" w:eastAsia="仿宋_GB2312" w:cs="仿宋_GB2312"/>
          <w:i w:val="0"/>
          <w:iCs w:val="0"/>
          <w:caps w:val="0"/>
          <w:color w:val="333333"/>
          <w:spacing w:val="0"/>
          <w:sz w:val="31"/>
          <w:szCs w:val="31"/>
          <w:shd w:val="clear" w:color="auto" w:fill="FFFFFF"/>
          <w:lang w:val="en-US" w:eastAsia="zh-CN"/>
        </w:rPr>
        <w:t>3.05</w:t>
      </w:r>
      <w:r>
        <w:rPr>
          <w:rFonts w:ascii="仿宋_GB2312" w:hAnsi="宋体" w:eastAsia="仿宋_GB2312" w:cs="仿宋_GB2312"/>
          <w:i w:val="0"/>
          <w:iCs w:val="0"/>
          <w:caps w:val="0"/>
          <w:color w:val="333333"/>
          <w:spacing w:val="0"/>
          <w:sz w:val="31"/>
          <w:szCs w:val="31"/>
          <w:shd w:val="clear" w:color="auto" w:fill="FFFFFF"/>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18.86</w:t>
      </w:r>
      <w:r>
        <w:rPr>
          <w:rFonts w:ascii="仿宋_GB2312" w:hAnsi="宋体" w:eastAsia="仿宋_GB2312" w:cs="仿宋_GB2312"/>
          <w:i w:val="0"/>
          <w:iCs w:val="0"/>
          <w:caps w:val="0"/>
          <w:color w:val="333333"/>
          <w:spacing w:val="0"/>
          <w:sz w:val="31"/>
          <w:szCs w:val="31"/>
          <w:shd w:val="clear" w:color="auto" w:fill="FFFFFF"/>
        </w:rPr>
        <w:t>%，主要原因是</w:t>
      </w:r>
      <w:r>
        <w:rPr>
          <w:rFonts w:hint="eastAsia" w:ascii="仿宋_GB2312" w:hAnsi="宋体" w:eastAsia="仿宋_GB2312" w:cs="仿宋_GB2312"/>
          <w:i w:val="0"/>
          <w:iCs w:val="0"/>
          <w:caps w:val="0"/>
          <w:color w:val="333333"/>
          <w:spacing w:val="0"/>
          <w:sz w:val="31"/>
          <w:szCs w:val="31"/>
          <w:shd w:val="clear" w:color="auto" w:fill="FFFFFF"/>
          <w:lang w:eastAsia="zh-CN"/>
        </w:rPr>
        <w:t>：人员变动</w:t>
      </w:r>
      <w:r>
        <w:rPr>
          <w:rFonts w:hint="eastAsia" w:ascii="仿宋" w:hAnsi="仿宋" w:eastAsia="仿宋" w:cs="仿宋"/>
          <w:color w:val="00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color w:val="000000"/>
          <w:sz w:val="32"/>
          <w:szCs w:val="32"/>
          <w:highlight w:val="none"/>
          <w:lang w:val="en-US" w:eastAsia="zh-CN" w:bidi="ar"/>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主要原因是</w:t>
      </w:r>
      <w:r>
        <w:rPr>
          <w:rFonts w:hint="eastAsia" w:ascii="仿宋" w:hAnsi="仿宋" w:eastAsia="仿宋" w:cs="仿宋"/>
          <w:color w:val="000000"/>
          <w:kern w:val="2"/>
          <w:sz w:val="32"/>
          <w:szCs w:val="32"/>
          <w:highlight w:val="none"/>
          <w:lang w:val="en-US" w:eastAsia="zh-CN" w:bidi="ar"/>
        </w:rPr>
        <w:t>：本单位无结余分配资金。</w:t>
      </w:r>
    </w:p>
    <w:p>
      <w:pPr>
        <w:autoSpaceDE/>
        <w:autoSpaceDN/>
        <w:adjustRightInd/>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主要原因是：本单位无年末结转和结余资金。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99000" cy="2735580"/>
            <wp:effectExtent l="4445" t="4445" r="20955" b="2222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bookmarkStart w:id="1" w:name="OLE_LINK2"/>
      <w:bookmarkEnd w:id="1"/>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文物所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default" w:ascii="仿宋_GB2312" w:eastAsia="仿宋_GB2312" w:cs="仿宋_GB2312"/>
          <w:kern w:val="0"/>
          <w:sz w:val="32"/>
          <w:szCs w:val="32"/>
          <w:lang w:val="en-US"/>
        </w:rPr>
        <w:t>189.77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default" w:ascii="仿宋_GB2312" w:eastAsia="仿宋_GB2312" w:cs="仿宋_GB2312"/>
          <w:kern w:val="0"/>
          <w:sz w:val="32"/>
          <w:szCs w:val="32"/>
          <w:lang w:val="en-US"/>
        </w:rPr>
        <w:t>99.37</w:t>
      </w:r>
      <w:r>
        <w:rPr>
          <w:rFonts w:hint="eastAsia" w:ascii="仿宋_GB2312" w:eastAsia="仿宋_GB2312" w:cs="仿宋_GB2312"/>
          <w:kern w:val="0"/>
          <w:sz w:val="32"/>
          <w:szCs w:val="32"/>
        </w:rPr>
        <w:t>万元，项目支出</w:t>
      </w:r>
      <w:r>
        <w:rPr>
          <w:rFonts w:hint="default" w:ascii="仿宋_GB2312" w:eastAsia="仿宋_GB2312" w:cs="仿宋_GB2312"/>
          <w:kern w:val="0"/>
          <w:sz w:val="32"/>
          <w:szCs w:val="32"/>
          <w:lang w:val="en-US"/>
        </w:rPr>
        <w:t>90.39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文物所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108.44</w:t>
      </w:r>
      <w:r>
        <w:rPr>
          <w:rFonts w:hint="eastAsia" w:ascii="仿宋_GB2312" w:hAnsi="黑体" w:eastAsia="仿宋_GB2312" w:cs="仿宋_GB2312"/>
          <w:kern w:val="0"/>
          <w:sz w:val="32"/>
          <w:szCs w:val="32"/>
        </w:rPr>
        <w:t>万元，支出决算为</w:t>
      </w:r>
      <w:r>
        <w:rPr>
          <w:rFonts w:hint="default" w:ascii="仿宋_GB2312" w:eastAsia="仿宋_GB2312" w:cs="仿宋_GB2312"/>
          <w:kern w:val="0"/>
          <w:sz w:val="32"/>
          <w:szCs w:val="32"/>
          <w:lang w:val="en-US"/>
        </w:rPr>
        <w:t>189.77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175</w:t>
      </w:r>
      <w:r>
        <w:rPr>
          <w:rFonts w:hint="eastAsia" w:ascii="仿宋_GB2312" w:hAnsi="黑体" w:eastAsia="仿宋_GB2312" w:cs="仿宋_GB2312"/>
          <w:kern w:val="0"/>
          <w:sz w:val="32"/>
          <w:szCs w:val="32"/>
        </w:rPr>
        <w:t>%。</w:t>
      </w:r>
      <w:r>
        <w:rPr>
          <w:rFonts w:hint="eastAsia" w:ascii="仿宋" w:hAnsi="仿宋" w:eastAsia="仿宋"/>
          <w:sz w:val="32"/>
          <w:szCs w:val="32"/>
          <w:highlight w:val="none"/>
        </w:rPr>
        <w:t xml:space="preserve"> </w:t>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bidi="ar"/>
        </w:rPr>
        <w:t>1.46</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cs="仿宋"/>
          <w:sz w:val="32"/>
          <w:szCs w:val="32"/>
          <w:highlight w:val="none"/>
          <w:lang w:val="en-US" w:eastAsia="zh-CN" w:bidi="ar"/>
        </w:rPr>
        <w:t>1.46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_GB2312" w:hAnsi="宋体" w:eastAsia="仿宋_GB2312" w:cs="仿宋_GB2312"/>
          <w:i w:val="0"/>
          <w:iCs w:val="0"/>
          <w:caps w:val="0"/>
          <w:color w:val="333333"/>
          <w:spacing w:val="0"/>
          <w:sz w:val="31"/>
          <w:szCs w:val="31"/>
          <w:shd w:val="clear" w:color="auto" w:fill="FFFFFF"/>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86.53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cs="仿宋"/>
          <w:sz w:val="32"/>
          <w:szCs w:val="32"/>
          <w:highlight w:val="none"/>
          <w:lang w:val="en-US" w:eastAsia="zh-CN" w:bidi="ar"/>
        </w:rPr>
        <w:t>156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180.28</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原因是：上级专款不列入年初预算</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2070101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主要用于办公费等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年初没有预算数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403.60%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主要用于聘用人员工资等费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办公费未支付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2070204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文物保护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491.01%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主要用于聘用人员工资等费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年中增加调剂使用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2070205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博物馆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101.25%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主要用于办公费用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部分费用未支付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2070299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其他文物支出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68.45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117.55%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主要用于支付工资等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年中增加调剂使用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hint="eastAsia" w:ascii="仿宋" w:hAnsi="仿宋" w:eastAsia="仿宋" w:cs="仿宋"/>
          <w:sz w:val="32"/>
          <w:szCs w:val="32"/>
          <w:highlight w:val="none"/>
          <w:lang w:val="en-US" w:eastAsia="zh-CN" w:bidi="ar"/>
        </w:rPr>
        <w:t>11.69</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10.93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93.5</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原因是：是年中有人员变动</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11.69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w:t>
            </w: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11.69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10.93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037080"/>
            <wp:effectExtent l="4445" t="4445" r="16510" b="1587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bidi="ar"/>
        </w:rPr>
        <w:t>8.76</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8.26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94.29</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原因是：是年中有人员变动</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仿宋" w:hAnsi="仿宋" w:eastAsia="仿宋"/>
          <w:sz w:val="32"/>
          <w:szCs w:val="32"/>
          <w:highlight w:val="none"/>
        </w:rPr>
      </w:pPr>
      <w:r>
        <w:rPr>
          <w:rFonts w:ascii="仿宋_GB2312" w:hAnsi="宋体" w:eastAsia="仿宋_GB2312" w:cs="仿宋_GB2312"/>
          <w:i w:val="0"/>
          <w:iCs w:val="0"/>
          <w:caps w:val="0"/>
          <w:color w:val="333333"/>
          <w:spacing w:val="0"/>
          <w:sz w:val="31"/>
          <w:szCs w:val="31"/>
          <w:shd w:val="clear" w:color="auto" w:fill="FFFFFF"/>
        </w:rPr>
        <w:t>其他支出</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 w:hAnsi="仿宋" w:eastAsia="仿宋" w:cs="仿宋"/>
          <w:sz w:val="32"/>
          <w:szCs w:val="32"/>
          <w:highlight w:val="none"/>
          <w:lang w:eastAsia="zh-CN"/>
        </w:rPr>
        <w:t>年初预算为</w:t>
      </w:r>
      <w:r>
        <w:rPr>
          <w:rFonts w:hint="eastAsia" w:ascii="仿宋_GB2312" w:hAnsi="宋体" w:eastAsia="仿宋_GB2312" w:cs="仿宋_GB2312"/>
          <w:i w:val="0"/>
          <w:iCs w:val="0"/>
          <w:caps w:val="0"/>
          <w:color w:val="333333"/>
          <w:spacing w:val="0"/>
          <w:sz w:val="31"/>
          <w:szCs w:val="31"/>
          <w:shd w:val="clear" w:color="auto" w:fill="FFFFFF"/>
          <w:lang w:val="en-US" w:eastAsia="zh-CN"/>
        </w:rPr>
        <w:t>0万元，</w:t>
      </w:r>
      <w:r>
        <w:rPr>
          <w:rFonts w:hint="eastAsia" w:ascii="仿宋" w:hAnsi="仿宋" w:eastAsia="仿宋"/>
          <w:sz w:val="32"/>
          <w:szCs w:val="32"/>
          <w:highlight w:val="none"/>
        </w:rPr>
        <w:t>支出决算为</w:t>
      </w:r>
      <w:r>
        <w:rPr>
          <w:rFonts w:hint="eastAsia" w:ascii="仿宋_GB2312" w:hAnsi="宋体" w:eastAsia="仿宋_GB2312" w:cs="仿宋_GB2312"/>
          <w:i w:val="0"/>
          <w:iCs w:val="0"/>
          <w:caps w:val="0"/>
          <w:color w:val="333333"/>
          <w:spacing w:val="0"/>
          <w:sz w:val="31"/>
          <w:szCs w:val="31"/>
          <w:shd w:val="clear" w:color="auto" w:fill="FFFFFF"/>
          <w:lang w:val="en-US" w:eastAsia="zh-CN"/>
        </w:rPr>
        <w:t>13.12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lang w:val="en-US" w:eastAsia="zh-CN"/>
        </w:rPr>
        <w:t>原因是：其他支出为奖励性补贴，年初预算时无预算</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主要用于事业单位奖励性补贴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99.38</w:t>
      </w:r>
      <w:r>
        <w:rPr>
          <w:rFonts w:hint="eastAsia" w:ascii="仿宋_GB2312" w:eastAsia="仿宋_GB2312" w:cs="仿宋_GB2312"/>
          <w:kern w:val="0"/>
          <w:sz w:val="32"/>
          <w:szCs w:val="32"/>
        </w:rPr>
        <w:t>万元，</w:t>
      </w:r>
    </w:p>
    <w:p>
      <w:pPr>
        <w:jc w:val="left"/>
        <w:rPr>
          <w:rFonts w:ascii="仿宋" w:hAnsi="仿宋" w:eastAsia="仿宋" w:cs="仿宋"/>
          <w:sz w:val="32"/>
          <w:szCs w:val="32"/>
          <w:highlight w:val="none"/>
        </w:rPr>
      </w:pP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97.46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1.92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numPr>
          <w:ilvl w:val="0"/>
          <w:numId w:val="4"/>
        </w:num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工资福利支出</w:t>
      </w:r>
      <w:r>
        <w:rPr>
          <w:rFonts w:hint="default" w:ascii="仿宋_GB2312" w:eastAsia="仿宋_GB2312" w:cs="仿宋_GB2312"/>
          <w:kern w:val="0"/>
          <w:sz w:val="32"/>
          <w:szCs w:val="32"/>
          <w:lang w:val="en-US"/>
        </w:rPr>
        <w:t>96.84</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129.02</w:t>
      </w:r>
      <w:r>
        <w:rPr>
          <w:rFonts w:hint="eastAsia" w:ascii="仿宋_GB2312" w:eastAsia="仿宋_GB2312"/>
          <w:bCs/>
          <w:kern w:val="0"/>
          <w:sz w:val="32"/>
          <w:szCs w:val="32"/>
        </w:rPr>
        <w:t xml:space="preserve"> %</w:t>
      </w:r>
      <w:r>
        <w:rPr>
          <w:rFonts w:hint="eastAsia" w:ascii="仿宋_GB2312" w:eastAsia="仿宋_GB2312"/>
          <w:bCs/>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主要原因是：职工工资福利增加</w:t>
      </w:r>
      <w:r>
        <w:rPr>
          <w:rFonts w:hint="eastAsia" w:ascii="仿宋_GB2312" w:eastAsia="仿宋_GB2312"/>
          <w:bCs/>
          <w:kern w:val="0"/>
          <w:sz w:val="32"/>
          <w:szCs w:val="32"/>
        </w:rPr>
        <w:t>。</w:t>
      </w:r>
      <w:r>
        <w:rPr>
          <w:rFonts w:hint="eastAsia" w:ascii="仿宋_GB2312" w:eastAsia="仿宋_GB2312"/>
          <w:bCs/>
          <w:kern w:val="0"/>
          <w:sz w:val="32"/>
          <w:szCs w:val="32"/>
          <w:lang w:eastAsia="zh-CN"/>
        </w:rPr>
        <w:t>支出具体情况如下：30101基本工资32.08万元、30102津贴补贴3.15万元、30103奖金21.89万元、30107绩效工资15.7万元、30108机关事业单位基本养老保险缴费10.93万元、30110职工基本医疗保险缴费4.4万元、30112其他社会保障缴费0.44万元、30113住房公积金8.26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5"/>
        </w:num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商品和服务支出</w:t>
      </w:r>
      <w:r>
        <w:rPr>
          <w:rFonts w:hint="default" w:ascii="仿宋_GB2312" w:eastAsia="仿宋_GB2312" w:cs="仿宋_GB2312"/>
          <w:kern w:val="0"/>
          <w:sz w:val="32"/>
          <w:szCs w:val="32"/>
          <w:lang w:val="en-US"/>
        </w:rPr>
        <w:t>1.92</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37.72</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w:t>
      </w:r>
      <w:r>
        <w:rPr>
          <w:rFonts w:hint="eastAsia" w:ascii="仿宋" w:hAnsi="仿宋" w:eastAsia="仿宋" w:cs="仿宋"/>
          <w:color w:val="auto"/>
          <w:kern w:val="2"/>
          <w:sz w:val="32"/>
          <w:szCs w:val="32"/>
          <w:highlight w:val="none"/>
          <w:lang w:val="en-US" w:eastAsia="zh-CN" w:bidi="ar"/>
        </w:rPr>
        <w:t>部分项目未能支付</w:t>
      </w:r>
      <w:r>
        <w:rPr>
          <w:rFonts w:hint="eastAsia" w:ascii="仿宋_GB2312" w:eastAsia="仿宋_GB2312"/>
          <w:bCs/>
          <w:kern w:val="0"/>
          <w:sz w:val="32"/>
          <w:szCs w:val="32"/>
        </w:rPr>
        <w:t>。</w:t>
      </w:r>
      <w:r>
        <w:rPr>
          <w:rFonts w:hint="eastAsia" w:ascii="仿宋_GB2312" w:eastAsia="仿宋_GB2312"/>
          <w:bCs/>
          <w:kern w:val="0"/>
          <w:sz w:val="32"/>
          <w:szCs w:val="32"/>
          <w:lang w:eastAsia="zh-CN"/>
        </w:rPr>
        <w:t>支出具体情况如下：</w:t>
      </w:r>
      <w:r>
        <w:rPr>
          <w:rFonts w:hint="eastAsia" w:ascii="仿宋_GB2312" w:eastAsia="仿宋_GB2312"/>
          <w:bCs/>
          <w:kern w:val="0"/>
          <w:sz w:val="32"/>
          <w:szCs w:val="32"/>
        </w:rPr>
        <w:t>30201办公费0.18万元、30211差旅费0.28万元、30228工会经费1.46万元</w:t>
      </w:r>
      <w:r>
        <w:rPr>
          <w:rFonts w:hint="eastAsia" w:ascii="仿宋_GB2312" w:eastAsia="仿宋_GB2312"/>
          <w:bCs/>
          <w:kern w:val="0"/>
          <w:sz w:val="32"/>
          <w:szCs w:val="32"/>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lang w:val="en-US" w:eastAsia="zh-CN"/>
        </w:rPr>
        <w:t>0.62</w:t>
      </w:r>
      <w:r>
        <w:rPr>
          <w:rFonts w:ascii="仿宋" w:hAnsi="仿宋" w:eastAsia="仿宋" w:cs="仿宋"/>
          <w:sz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kern w:val="2"/>
          <w:sz w:val="32"/>
          <w:szCs w:val="32"/>
          <w:highlight w:val="none"/>
          <w:lang w:val="en-US" w:eastAsia="zh-CN" w:bidi="ar"/>
        </w:rPr>
        <w:t>主要原因是：增加退休人员。</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w:t>
      </w:r>
      <w:r>
        <w:rPr>
          <w:rFonts w:hint="eastAsia" w:ascii="仿宋" w:hAnsi="仿宋" w:eastAsia="仿宋" w:cs="仿宋"/>
          <w:sz w:val="32"/>
          <w:lang w:val="en-US" w:eastAsia="zh-CN"/>
        </w:rPr>
        <w:t>0.62</w:t>
      </w:r>
      <w:r>
        <w:rPr>
          <w:rFonts w:hint="eastAsia" w:ascii="仿宋" w:hAnsi="仿宋" w:eastAsia="仿宋" w:cs="仿宋"/>
          <w:sz w:val="32"/>
          <w:szCs w:val="32"/>
          <w:highlight w:val="none"/>
          <w:lang w:val="en-US" w:eastAsia="zh-CN"/>
        </w:rPr>
        <w:t>万元。</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002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2097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环江毛南族自治县文物管理所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环江毛南族自治县文物管理所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环江毛南族自治县文物管理所</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环江毛南族自治县文物管理所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default" w:ascii="仿宋_GB2312" w:eastAsia="仿宋_GB2312" w:cs="仿宋_GB2312"/>
          <w:kern w:val="0"/>
          <w:sz w:val="32"/>
          <w:szCs w:val="32"/>
          <w:lang w:val="en-US"/>
        </w:rPr>
        <w:t>0.51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default" w:ascii="仿宋_GB2312" w:eastAsia="仿宋_GB2312" w:cs="仿宋_GB2312"/>
          <w:kern w:val="0"/>
          <w:sz w:val="32"/>
          <w:szCs w:val="32"/>
          <w:lang w:val="en-US"/>
        </w:rPr>
        <w:t>0.51</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7"/>
        </w:num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与上年一致，根据往年来看也无因公出国（境）费支出，故年初不做预算。</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机关、</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default" w:ascii="仿宋_GB2312" w:eastAsia="仿宋_GB2312" w:cs="仿宋_GB2312"/>
          <w:kern w:val="0"/>
          <w:sz w:val="32"/>
          <w:szCs w:val="32"/>
          <w:lang w:val="en-US"/>
        </w:rPr>
        <w:t>0.51</w:t>
      </w:r>
      <w:r>
        <w:rPr>
          <w:rFonts w:hint="eastAsia" w:ascii="仿宋_GB2312" w:eastAsia="仿宋_GB2312" w:cs="仿宋_GB2312"/>
          <w:kern w:val="0"/>
          <w:sz w:val="32"/>
          <w:szCs w:val="32"/>
        </w:rPr>
        <w:t>万元。其中：公务用车运行费支出0.51万元，完成年初预算的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 w:hAnsi="仿宋" w:eastAsia="仿宋" w:cs="仿宋"/>
          <w:kern w:val="2"/>
          <w:sz w:val="32"/>
          <w:szCs w:val="32"/>
          <w:highlight w:val="none"/>
          <w:lang w:val="en-US" w:eastAsia="zh-CN" w:bidi="ar-SA"/>
        </w:rPr>
        <w:t>购置了0辆公务用车</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0.51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hAnsi="Times New Roman" w:eastAsia="仿宋_GB2312" w:cs="Times New Roman"/>
          <w:color w:val="000000"/>
          <w:sz w:val="32"/>
          <w:szCs w:val="32"/>
        </w:rPr>
        <w:t>环江毛南族自治县</w:t>
      </w:r>
      <w:r>
        <w:rPr>
          <w:rFonts w:hint="eastAsia" w:ascii="仿宋_GB2312" w:hAnsi="Times New Roman" w:eastAsia="仿宋_GB2312" w:cs="Times New Roman"/>
          <w:color w:val="000000"/>
          <w:sz w:val="32"/>
          <w:szCs w:val="32"/>
          <w:lang w:eastAsia="zh-CN"/>
        </w:rPr>
        <w:t>文物所</w:t>
      </w:r>
      <w:r>
        <w:rPr>
          <w:rFonts w:hint="eastAsia" w:ascii="仿宋_GB2312" w:hAnsi="黑体" w:eastAsia="仿宋_GB2312"/>
          <w:bCs/>
          <w:color w:val="000000"/>
          <w:sz w:val="32"/>
          <w:szCs w:val="32"/>
        </w:rPr>
        <w:t>、</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eastAsia="仿宋_GB2312" w:cs="仿宋_GB2312"/>
          <w:kern w:val="0"/>
          <w:sz w:val="32"/>
          <w:szCs w:val="32"/>
          <w:lang w:val="en-US" w:eastAsia="zh-CN"/>
        </w:rPr>
        <w:t>1</w:t>
      </w:r>
      <w:r>
        <w:rPr>
          <w:rFonts w:hint="eastAsia" w:ascii="仿宋_GB2312" w:hAnsi="黑体" w:eastAsia="仿宋_GB2312"/>
          <w:bCs/>
          <w:color w:val="000000"/>
          <w:sz w:val="32"/>
          <w:szCs w:val="32"/>
        </w:rPr>
        <w:t xml:space="preserve"> 辆，全年运行费支出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 w:hAnsi="仿宋" w:eastAsia="仿宋" w:cs="仿宋"/>
          <w:kern w:val="2"/>
          <w:sz w:val="32"/>
          <w:szCs w:val="32"/>
          <w:highlight w:val="none"/>
          <w:lang w:val="en-US" w:eastAsia="zh-CN" w:bidi="ar-SA"/>
        </w:rPr>
        <w:t>2023年度本部门没有“三公”经费收支，也没有“三公”经费的支出，故无数据。</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办公设施设备购置经费减</w:t>
      </w:r>
      <w:r>
        <w:rPr>
          <w:rFonts w:hint="eastAsia" w:ascii="仿宋" w:hAnsi="仿宋" w:eastAsia="仿宋" w:cs="仿宋"/>
          <w:color w:val="auto"/>
          <w:sz w:val="32"/>
          <w:szCs w:val="32"/>
          <w:highlight w:val="none"/>
          <w:lang w:eastAsia="zh-CN"/>
        </w:rPr>
        <w:t>少。</w:t>
      </w:r>
    </w:p>
    <w:p>
      <w:pPr>
        <w:autoSpaceDE w:val="0"/>
        <w:autoSpaceDN w:val="0"/>
        <w:adjustRightInd w:val="0"/>
        <w:spacing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机关运行经费支出。</w:t>
      </w:r>
    </w:p>
    <w:p>
      <w:pPr>
        <w:ind w:firstLine="64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autoSpaceDE w:val="0"/>
        <w:autoSpaceDN w:val="0"/>
        <w:adjustRightInd w:val="0"/>
        <w:spacing w:line="560" w:lineRule="exact"/>
        <w:ind w:firstLine="640" w:firstLineChars="200"/>
        <w:jc w:val="both"/>
        <w:rPr>
          <w:rFonts w:hint="eastAsia" w:ascii="仿宋" w:hAnsi="仿宋" w:eastAsia="仿宋" w:cs="仿宋"/>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政府采购支出</w:t>
      </w:r>
      <w:r>
        <w:rPr>
          <w:rFonts w:hint="eastAsia" w:ascii="仿宋_GB2312" w:eastAsia="仿宋_GB2312" w:cs="仿宋_GB2312"/>
          <w:b/>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 w:hAnsi="仿宋" w:eastAsia="仿宋" w:cs="仿宋"/>
          <w:color w:val="000000" w:themeColor="text1"/>
          <w:sz w:val="32"/>
          <w:szCs w:val="32"/>
          <w14:textFill>
            <w14:solidFill>
              <w14:schemeClr w14:val="tx1"/>
            </w14:solidFill>
          </w14:textFill>
        </w:rPr>
        <w:t>根据财政预算管理要求，</w:t>
      </w: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我部门2023年度项目</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94.08</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94.08</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640" w:firstLineChars="200"/>
        <w:jc w:val="left"/>
        <w:outlineLvl w:val="9"/>
        <w:rPr>
          <w:rFonts w:hint="eastAsia" w:ascii="仿宋" w:hAnsi="仿宋" w:eastAsia="仿宋" w:cs="仿宋"/>
          <w:color w:val="00000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94.08</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87.5</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12.5</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sz w:val="32"/>
          <w:szCs w:val="32"/>
        </w:rPr>
        <w:t>一是</w:t>
      </w:r>
      <w:r>
        <w:rPr>
          <w:rFonts w:hint="eastAsia" w:ascii="仿宋" w:hAnsi="仿宋" w:eastAsia="仿宋" w:cs="仿宋"/>
          <w:color w:val="000000"/>
          <w:sz w:val="32"/>
          <w:szCs w:val="32"/>
          <w:lang w:eastAsia="zh-CN"/>
        </w:rPr>
        <w:t>业务开展不及时</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eastAsia="zh-CN"/>
        </w:rPr>
        <w:t>部分业务开展后未能及时支付</w:t>
      </w:r>
      <w:r>
        <w:rPr>
          <w:rFonts w:hint="eastAsia" w:ascii="仿宋" w:hAnsi="仿宋" w:eastAsia="仿宋" w:cs="仿宋"/>
          <w:color w:val="000000"/>
          <w:sz w:val="32"/>
          <w:szCs w:val="32"/>
        </w:rPr>
        <w:t>。下一步改进措施：一是</w:t>
      </w:r>
      <w:r>
        <w:rPr>
          <w:rFonts w:hint="eastAsia" w:ascii="仿宋" w:hAnsi="仿宋" w:eastAsia="仿宋" w:cs="仿宋"/>
          <w:color w:val="000000"/>
          <w:sz w:val="32"/>
          <w:szCs w:val="32"/>
          <w:lang w:eastAsia="zh-CN"/>
        </w:rPr>
        <w:t>完善各项业务的开展计划</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eastAsia="zh-CN"/>
        </w:rPr>
        <w:t>业务开展后及时支付款项</w:t>
      </w:r>
    </w:p>
    <w:p>
      <w:pPr>
        <w:ind w:firstLine="640" w:firstLineChars="200"/>
        <w:jc w:val="left"/>
        <w:rPr>
          <w:rFonts w:hint="eastAsia" w:ascii="仿宋_GB2312" w:hAnsi="Times New Roman" w:eastAsia="仿宋_GB2312" w:cs="仿宋_GB2312"/>
          <w:b w:val="0"/>
          <w:bCs w:val="0"/>
          <w:caps w:val="0"/>
          <w:color w:val="auto"/>
          <w:kern w:val="0"/>
          <w:sz w:val="32"/>
          <w:szCs w:val="32"/>
          <w:shd w:val="clear" w:color="auto" w:fill="auto"/>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部分重点项目绩效自评情况：根据年初设定的绩效目标，</w:t>
      </w:r>
      <w:r>
        <w:rPr>
          <w:rFonts w:hint="eastAsia" w:ascii="仿宋_GB2312" w:hAnsi="Times New Roman" w:eastAsia="仿宋_GB2312" w:cs="仿宋_GB2312"/>
          <w:i w:val="0"/>
          <w:iCs w:val="0"/>
          <w:caps w:val="0"/>
          <w:color w:val="auto"/>
          <w:spacing w:val="0"/>
          <w:kern w:val="0"/>
          <w:sz w:val="32"/>
          <w:szCs w:val="32"/>
          <w:shd w:val="clear" w:color="auto" w:fill="auto"/>
          <w:lang w:bidi="ar"/>
        </w:rPr>
        <w:t>2020年国家文物保护专项资金</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自评得分为</w:t>
      </w:r>
      <w:r>
        <w:rPr>
          <w:rFonts w:hint="eastAsia" w:ascii="仿宋" w:hAnsi="仿宋" w:eastAsia="仿宋" w:cs="仿宋"/>
          <w:color w:val="000000"/>
          <w:sz w:val="32"/>
          <w:szCs w:val="32"/>
          <w:lang w:val="en-US" w:eastAsia="zh-CN"/>
        </w:rPr>
        <w:t>99.89</w:t>
      </w:r>
      <w:r>
        <w:rPr>
          <w:rFonts w:hint="eastAsia" w:ascii="仿宋_GB2312" w:hAnsi="Times New Roman" w:eastAsia="仿宋_GB2312" w:cs="仿宋_GB2312"/>
          <w:b w:val="0"/>
          <w:bCs w:val="0"/>
          <w:caps w:val="0"/>
          <w:color w:val="auto"/>
          <w:kern w:val="0"/>
          <w:sz w:val="32"/>
          <w:szCs w:val="32"/>
          <w:vertAlign w:val="baseline"/>
          <w:lang w:val="en-US" w:eastAsia="zh-CN" w:bidi="ar"/>
        </w:rPr>
        <w:t>，一等，项目全年预算数为</w:t>
      </w:r>
      <w:r>
        <w:rPr>
          <w:rFonts w:hint="eastAsia" w:ascii="仿宋_GB2312" w:eastAsia="仿宋_GB2312" w:cs="仿宋_GB2312"/>
          <w:kern w:val="0"/>
          <w:sz w:val="32"/>
          <w:szCs w:val="32"/>
          <w:lang w:val="en-US" w:eastAsia="zh-CN"/>
        </w:rPr>
        <w:t>41.47</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41</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default" w:ascii="仿宋_GB2312" w:eastAsia="仿宋_GB2312" w:cs="仿宋_GB2312"/>
          <w:kern w:val="0"/>
          <w:sz w:val="32"/>
          <w:szCs w:val="32"/>
          <w:lang w:val="en-US"/>
        </w:rPr>
        <w:t>98.85</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%。项目绩效目标完成情况：一是完成</w:t>
      </w:r>
      <w:r>
        <w:rPr>
          <w:rFonts w:hint="eastAsia" w:ascii="仿宋_GB2312" w:hAnsi="Times New Roman" w:eastAsia="仿宋_GB2312" w:cs="仿宋_GB2312"/>
          <w:i w:val="0"/>
          <w:iCs w:val="0"/>
          <w:caps w:val="0"/>
          <w:color w:val="auto"/>
          <w:spacing w:val="0"/>
          <w:kern w:val="0"/>
          <w:sz w:val="32"/>
          <w:szCs w:val="32"/>
          <w:shd w:val="clear" w:color="auto" w:fill="auto"/>
          <w:lang w:bidi="ar"/>
        </w:rPr>
        <w:t>古墓修缮</w:t>
      </w:r>
      <w:r>
        <w:rPr>
          <w:rFonts w:hint="eastAsia" w:ascii="仿宋_GB2312" w:hAnsi="Times New Roman" w:eastAsia="仿宋_GB2312" w:cs="仿宋_GB2312"/>
          <w:i w:val="0"/>
          <w:iCs w:val="0"/>
          <w:caps w:val="0"/>
          <w:color w:val="auto"/>
          <w:spacing w:val="0"/>
          <w:kern w:val="0"/>
          <w:sz w:val="32"/>
          <w:szCs w:val="32"/>
          <w:shd w:val="clear" w:color="auto" w:fill="auto"/>
          <w:lang w:val="en-US" w:eastAsia="zh-CN" w:bidi="ar"/>
        </w:rPr>
        <w:t>19座</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hAnsi="Times New Roman" w:eastAsia="仿宋_GB2312" w:cs="仿宋_GB2312"/>
          <w:i w:val="0"/>
          <w:iCs w:val="0"/>
          <w:caps w:val="0"/>
          <w:color w:val="auto"/>
          <w:spacing w:val="0"/>
          <w:kern w:val="0"/>
          <w:sz w:val="32"/>
          <w:szCs w:val="32"/>
          <w:shd w:val="clear" w:color="auto" w:fill="auto"/>
          <w:lang w:eastAsia="zh-CN" w:bidi="ar"/>
        </w:rPr>
        <w:t>及时支付经费</w:t>
      </w:r>
      <w:r>
        <w:rPr>
          <w:rFonts w:hint="eastAsia" w:ascii="仿宋_GB2312" w:hAnsi="Times New Roman" w:eastAsia="仿宋_GB2312" w:cs="仿宋_GB2312"/>
          <w:i w:val="0"/>
          <w:iCs w:val="0"/>
          <w:caps w:val="0"/>
          <w:color w:val="auto"/>
          <w:spacing w:val="0"/>
          <w:kern w:val="0"/>
          <w:sz w:val="32"/>
          <w:szCs w:val="32"/>
          <w:shd w:val="clear" w:color="auto" w:fill="auto"/>
          <w:lang w:val="en-US" w:eastAsia="zh-CN" w:bidi="ar"/>
        </w:rPr>
        <w:t>；三是</w:t>
      </w:r>
      <w:r>
        <w:rPr>
          <w:rFonts w:hint="eastAsia" w:ascii="仿宋_GB2312" w:hAnsi="Times New Roman" w:eastAsia="仿宋_GB2312" w:cs="仿宋_GB2312"/>
          <w:i w:val="0"/>
          <w:iCs w:val="0"/>
          <w:caps w:val="0"/>
          <w:color w:val="auto"/>
          <w:spacing w:val="0"/>
          <w:kern w:val="0"/>
          <w:sz w:val="32"/>
          <w:szCs w:val="32"/>
          <w:shd w:val="clear" w:color="auto" w:fill="auto"/>
          <w:lang w:bidi="ar"/>
        </w:rPr>
        <w:t>提升文物保护</w:t>
      </w:r>
      <w:r>
        <w:rPr>
          <w:rFonts w:hint="eastAsia" w:ascii="仿宋_GB2312" w:hAnsi="Times New Roman" w:eastAsia="仿宋_GB2312" w:cs="仿宋_GB2312"/>
          <w:i w:val="0"/>
          <w:iCs w:val="0"/>
          <w:caps w:val="0"/>
          <w:color w:val="auto"/>
          <w:spacing w:val="0"/>
          <w:kern w:val="0"/>
          <w:sz w:val="32"/>
          <w:szCs w:val="32"/>
          <w:shd w:val="clear" w:color="auto" w:fill="auto"/>
          <w:lang w:eastAsia="zh-CN" w:bidi="ar"/>
        </w:rPr>
        <w:t>力度</w:t>
      </w:r>
      <w:r>
        <w:rPr>
          <w:rFonts w:hint="eastAsia" w:ascii="仿宋_GB2312" w:hAnsi="Times New Roman" w:eastAsia="仿宋_GB2312" w:cs="仿宋_GB2312"/>
          <w:b w:val="0"/>
          <w:bCs w:val="0"/>
          <w:caps w:val="0"/>
          <w:color w:val="auto"/>
          <w:kern w:val="0"/>
          <w:sz w:val="32"/>
          <w:szCs w:val="32"/>
          <w:shd w:val="clear" w:color="auto" w:fill="auto"/>
          <w:vertAlign w:val="baseline"/>
          <w:lang w:val="en-US" w:eastAsia="zh-CN" w:bidi="ar"/>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numPr>
          <w:ilvl w:val="0"/>
          <w:numId w:val="8"/>
        </w:numPr>
        <w:ind w:left="420" w:leftChars="0" w:firstLine="0" w:firstLine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博物馆保安经费自评得分为100分。</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文物保护经费自评得分为97.52分。</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凤腾山古墓群巡查员经费自评得分为98.3分。</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奖励性补贴自评得分为100分。</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2020年国家文物保护专项资金自评得分为99.89分</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中央补助地方公共服务体系免费开放经费自评得分为97.7分。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奖励性补贴(非三保)自评得分为100分</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8"/>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文物调查征集经费自评得分为80分。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0" w:firstLineChars="0"/>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eastAsia="zh-CN"/>
        </w:rPr>
        <w:t>附件：环江毛南族自治县文物所</w:t>
      </w:r>
      <w:r>
        <w:rPr>
          <w:rFonts w:hint="eastAsia" w:ascii="仿宋_GB2312" w:hAnsi="Times New Roman" w:eastAsia="仿宋_GB2312" w:cs="Times New Roman"/>
          <w:kern w:val="2"/>
          <w:sz w:val="32"/>
          <w:szCs w:val="32"/>
          <w:lang w:val="en-US" w:eastAsia="zh-CN"/>
        </w:rPr>
        <w:t>2023年项目支出绩效自评表</w:t>
      </w:r>
    </w:p>
    <w:p>
      <w:pPr>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object>
          <v:shape id="_x0000_i1025" o:spt="75" type="#_x0000_t75" style="height:42.75pt;width:282.75pt;" o:ole="t" filled="f" o:preferrelative="t" stroked="f" coordsize="21600,21600">
            <v:fill on="f" focussize="0,0"/>
            <v:stroke on="f"/>
            <v:imagedata r:id="rId20" o:title=""/>
            <o:lock v:ext="edit" aspectratio="t"/>
            <w10:wrap type="none"/>
            <w10:anchorlock/>
          </v:shape>
          <o:OLEObject Type="Embed" ProgID="Package" ShapeID="_x0000_i1025" DrawAspect="Content" ObjectID="_1468075725" r:id="rId19">
            <o:LockedField>false</o:LockedField>
          </o:OLEObject>
        </w:object>
      </w:r>
    </w:p>
    <w:p>
      <w:pPr>
        <w:jc w:val="left"/>
        <w:rPr>
          <w:rFonts w:hint="default" w:ascii="Times New Roman" w:hAnsi="Times New Roman" w:eastAsia="仿宋_GB2312" w:cs="Times New Roman"/>
          <w:kern w:val="0"/>
          <w:sz w:val="32"/>
          <w:szCs w:val="32"/>
          <w:lang w:val="en-US" w:eastAsia="zh-CN"/>
        </w:rPr>
      </w:pPr>
      <w:bookmarkStart w:id="3" w:name="_GoBack"/>
      <w:bookmarkEnd w:id="3"/>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6A49B58"/>
    <w:multiLevelType w:val="singleLevel"/>
    <w:tmpl w:val="C6A49B58"/>
    <w:lvl w:ilvl="0" w:tentative="0">
      <w:start w:val="2"/>
      <w:numFmt w:val="decimal"/>
      <w:lvlText w:val="%1."/>
      <w:lvlJc w:val="left"/>
      <w:pPr>
        <w:tabs>
          <w:tab w:val="left" w:pos="312"/>
        </w:tabs>
      </w:pPr>
    </w:lvl>
  </w:abstractNum>
  <w:abstractNum w:abstractNumId="2">
    <w:nsid w:val="CD487FBF"/>
    <w:multiLevelType w:val="singleLevel"/>
    <w:tmpl w:val="CD487FBF"/>
    <w:lvl w:ilvl="0" w:tentative="0">
      <w:start w:val="2"/>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4">
    <w:nsid w:val="E020F757"/>
    <w:multiLevelType w:val="singleLevel"/>
    <w:tmpl w:val="E020F757"/>
    <w:lvl w:ilvl="0" w:tentative="0">
      <w:start w:val="1"/>
      <w:numFmt w:val="chineseCounting"/>
      <w:suff w:val="nothing"/>
      <w:lvlText w:val="（%1）"/>
      <w:lvlJc w:val="left"/>
      <w:rPr>
        <w:rFonts w:hint="eastAsia"/>
      </w:rPr>
    </w:lvl>
  </w:abstractNum>
  <w:abstractNum w:abstractNumId="5">
    <w:nsid w:val="F54A575E"/>
    <w:multiLevelType w:val="singleLevel"/>
    <w:tmpl w:val="F54A575E"/>
    <w:lvl w:ilvl="0" w:tentative="0">
      <w:start w:val="2"/>
      <w:numFmt w:val="chineseCounting"/>
      <w:suff w:val="nothing"/>
      <w:lvlText w:val="%1、"/>
      <w:lvlJc w:val="left"/>
      <w:rPr>
        <w:rFonts w:hint="eastAsia"/>
      </w:rPr>
    </w:lvl>
  </w:abstractNum>
  <w:abstractNum w:abstractNumId="6">
    <w:nsid w:val="2171AF31"/>
    <w:multiLevelType w:val="singleLevel"/>
    <w:tmpl w:val="2171AF31"/>
    <w:lvl w:ilvl="0" w:tentative="0">
      <w:start w:val="1"/>
      <w:numFmt w:val="decimal"/>
      <w:suff w:val="nothing"/>
      <w:lvlText w:val="（%1）"/>
      <w:lvlJc w:val="left"/>
      <w:pPr>
        <w:ind w:left="420" w:leftChars="0" w:firstLine="0" w:firstLineChars="0"/>
      </w:pPr>
    </w:lvl>
  </w:abstractNum>
  <w:abstractNum w:abstractNumId="7">
    <w:nsid w:val="6202026E"/>
    <w:multiLevelType w:val="singleLevel"/>
    <w:tmpl w:val="6202026E"/>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737565"/>
    <w:rsid w:val="02E0291A"/>
    <w:rsid w:val="03B30A67"/>
    <w:rsid w:val="04E54546"/>
    <w:rsid w:val="05097AD0"/>
    <w:rsid w:val="05692F8F"/>
    <w:rsid w:val="057C705C"/>
    <w:rsid w:val="05992762"/>
    <w:rsid w:val="07B0770E"/>
    <w:rsid w:val="087F6C43"/>
    <w:rsid w:val="0942143F"/>
    <w:rsid w:val="09D77079"/>
    <w:rsid w:val="0D100297"/>
    <w:rsid w:val="0D202B45"/>
    <w:rsid w:val="0F8D4C87"/>
    <w:rsid w:val="10505FAA"/>
    <w:rsid w:val="105F7E7E"/>
    <w:rsid w:val="11621964"/>
    <w:rsid w:val="11E56B5B"/>
    <w:rsid w:val="125C77AB"/>
    <w:rsid w:val="14CB726E"/>
    <w:rsid w:val="17E92249"/>
    <w:rsid w:val="18D304F1"/>
    <w:rsid w:val="199C670E"/>
    <w:rsid w:val="19EE1986"/>
    <w:rsid w:val="19F32577"/>
    <w:rsid w:val="19F45B80"/>
    <w:rsid w:val="1B0C078D"/>
    <w:rsid w:val="1B2B31E2"/>
    <w:rsid w:val="1B4C295A"/>
    <w:rsid w:val="1B973C63"/>
    <w:rsid w:val="1BA1001E"/>
    <w:rsid w:val="1C204A0A"/>
    <w:rsid w:val="1D2821E4"/>
    <w:rsid w:val="1D317259"/>
    <w:rsid w:val="1E664F5B"/>
    <w:rsid w:val="1EB34BE1"/>
    <w:rsid w:val="207063A7"/>
    <w:rsid w:val="215E639F"/>
    <w:rsid w:val="21EC3183"/>
    <w:rsid w:val="225E72CD"/>
    <w:rsid w:val="23A74938"/>
    <w:rsid w:val="246E2F77"/>
    <w:rsid w:val="254B4E2B"/>
    <w:rsid w:val="269746D1"/>
    <w:rsid w:val="283D7C94"/>
    <w:rsid w:val="29480E03"/>
    <w:rsid w:val="2983634D"/>
    <w:rsid w:val="29DE193E"/>
    <w:rsid w:val="29F205DF"/>
    <w:rsid w:val="2B2F79F3"/>
    <w:rsid w:val="2BB02055"/>
    <w:rsid w:val="2C575A56"/>
    <w:rsid w:val="2F257714"/>
    <w:rsid w:val="2F3275E5"/>
    <w:rsid w:val="30AA08EF"/>
    <w:rsid w:val="30D23D1C"/>
    <w:rsid w:val="31221CF5"/>
    <w:rsid w:val="31400178"/>
    <w:rsid w:val="321E3342"/>
    <w:rsid w:val="32575F21"/>
    <w:rsid w:val="327759C8"/>
    <w:rsid w:val="33185FE3"/>
    <w:rsid w:val="34EE2E36"/>
    <w:rsid w:val="36777241"/>
    <w:rsid w:val="36C97417"/>
    <w:rsid w:val="371E78D5"/>
    <w:rsid w:val="38655B8F"/>
    <w:rsid w:val="38A951DB"/>
    <w:rsid w:val="38B31605"/>
    <w:rsid w:val="39003F4F"/>
    <w:rsid w:val="3B070843"/>
    <w:rsid w:val="3C07002B"/>
    <w:rsid w:val="3CDB61EF"/>
    <w:rsid w:val="3D0D152A"/>
    <w:rsid w:val="3DF62756"/>
    <w:rsid w:val="3F1B7587"/>
    <w:rsid w:val="3F764027"/>
    <w:rsid w:val="41E57B4F"/>
    <w:rsid w:val="432F26F6"/>
    <w:rsid w:val="43880F63"/>
    <w:rsid w:val="441C5A6F"/>
    <w:rsid w:val="4447497A"/>
    <w:rsid w:val="44C44FCC"/>
    <w:rsid w:val="44CC7369"/>
    <w:rsid w:val="457F5108"/>
    <w:rsid w:val="46951B6B"/>
    <w:rsid w:val="474755DB"/>
    <w:rsid w:val="478425FC"/>
    <w:rsid w:val="49A34401"/>
    <w:rsid w:val="4A3E30AB"/>
    <w:rsid w:val="4AC14DAC"/>
    <w:rsid w:val="4D154C85"/>
    <w:rsid w:val="4EB35ECE"/>
    <w:rsid w:val="508F4E24"/>
    <w:rsid w:val="51461E90"/>
    <w:rsid w:val="51463753"/>
    <w:rsid w:val="52553A93"/>
    <w:rsid w:val="53521F8B"/>
    <w:rsid w:val="53E22F47"/>
    <w:rsid w:val="54490493"/>
    <w:rsid w:val="54522FF8"/>
    <w:rsid w:val="54FB4AFB"/>
    <w:rsid w:val="55013F6B"/>
    <w:rsid w:val="55450629"/>
    <w:rsid w:val="56692963"/>
    <w:rsid w:val="568B0F48"/>
    <w:rsid w:val="5786217B"/>
    <w:rsid w:val="579937F8"/>
    <w:rsid w:val="591A684F"/>
    <w:rsid w:val="59337A15"/>
    <w:rsid w:val="59810274"/>
    <w:rsid w:val="5CA96A00"/>
    <w:rsid w:val="5CF730BC"/>
    <w:rsid w:val="5E5F0DCE"/>
    <w:rsid w:val="5FA40A7B"/>
    <w:rsid w:val="5FD56D29"/>
    <w:rsid w:val="5FEC7F3F"/>
    <w:rsid w:val="60F74BC3"/>
    <w:rsid w:val="614C243E"/>
    <w:rsid w:val="617D3BF8"/>
    <w:rsid w:val="61841F6A"/>
    <w:rsid w:val="623007A9"/>
    <w:rsid w:val="637D7558"/>
    <w:rsid w:val="644F19AC"/>
    <w:rsid w:val="65363AED"/>
    <w:rsid w:val="65AA4920"/>
    <w:rsid w:val="65E31D0B"/>
    <w:rsid w:val="67686034"/>
    <w:rsid w:val="67694F1E"/>
    <w:rsid w:val="69597934"/>
    <w:rsid w:val="6AB36545"/>
    <w:rsid w:val="6B964DDC"/>
    <w:rsid w:val="6BB519A0"/>
    <w:rsid w:val="6C783074"/>
    <w:rsid w:val="6D9E65C6"/>
    <w:rsid w:val="6DA81947"/>
    <w:rsid w:val="6E53498E"/>
    <w:rsid w:val="6EB66DE2"/>
    <w:rsid w:val="6ED3075F"/>
    <w:rsid w:val="6F2A2D4B"/>
    <w:rsid w:val="6F8A0C1E"/>
    <w:rsid w:val="703F45D4"/>
    <w:rsid w:val="715D6546"/>
    <w:rsid w:val="71BE069E"/>
    <w:rsid w:val="73166260"/>
    <w:rsid w:val="737F240C"/>
    <w:rsid w:val="73953409"/>
    <w:rsid w:val="73E069A3"/>
    <w:rsid w:val="76E200C9"/>
    <w:rsid w:val="78104AA8"/>
    <w:rsid w:val="78624696"/>
    <w:rsid w:val="78AF520D"/>
    <w:rsid w:val="78E257C5"/>
    <w:rsid w:val="794B35BE"/>
    <w:rsid w:val="7A440B8C"/>
    <w:rsid w:val="7B0A3A31"/>
    <w:rsid w:val="7B3360ED"/>
    <w:rsid w:val="7BDF037E"/>
    <w:rsid w:val="7BF50948"/>
    <w:rsid w:val="7CDD3F56"/>
    <w:rsid w:val="7CE66A78"/>
    <w:rsid w:val="7CE85D5D"/>
    <w:rsid w:val="7D23564C"/>
    <w:rsid w:val="7D5E062D"/>
    <w:rsid w:val="7DF76CD8"/>
    <w:rsid w:val="7F055953"/>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61"/>
    <w:basedOn w:val="7"/>
    <w:uiPriority w:val="0"/>
    <w:rPr>
      <w:rFonts w:hint="eastAsia" w:ascii="宋体" w:hAnsi="宋体" w:eastAsia="宋体" w:cs="宋体"/>
      <w:color w:val="000000"/>
      <w:sz w:val="20"/>
      <w:szCs w:val="20"/>
      <w:u w:val="none"/>
    </w:rPr>
  </w:style>
  <w:style w:type="character" w:customStyle="1" w:styleId="13">
    <w:name w:val="font01"/>
    <w:basedOn w:val="7"/>
    <w:qFormat/>
    <w:uiPriority w:val="0"/>
    <w:rPr>
      <w:rFonts w:hint="default" w:ascii="华文中宋" w:hAnsi="华文中宋" w:eastAsia="华文中宋" w:cs="华文中宋"/>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192.83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30305</c:v>
                </c:pt>
              </c:numCache>
            </c:numRef>
          </c:cat>
          <c:val>
            <c:numRef>
              <c:f>Sheet1!$B$2</c:f>
              <c:numCache>
                <c:formatCode>General</c:formatCode>
                <c:ptCount val="1"/>
                <c:pt idx="0">
                  <c:v>0.62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1.46</c:v>
                </c:pt>
                <c:pt idx="1">
                  <c:v>156</c:v>
                </c:pt>
                <c:pt idx="2">
                  <c:v>10.93</c:v>
                </c:pt>
                <c:pt idx="3">
                  <c:v>8.26</c:v>
                </c:pt>
                <c:pt idx="4">
                  <c:v>13.12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1.55</c:v>
                </c:pt>
                <c:pt idx="1">
                  <c:v>154.5</c:v>
                </c:pt>
                <c:pt idx="2">
                  <c:v>11.89</c:v>
                </c:pt>
                <c:pt idx="3">
                  <c:v>8.72</c:v>
                </c:pt>
                <c:pt idx="4">
                  <c:v>16.17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1.46</c:v>
                </c:pt>
                <c:pt idx="1">
                  <c:v>1.46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2070101</c:v>
                </c:pt>
                <c:pt idx="1">
                  <c:v>2070199</c:v>
                </c:pt>
                <c:pt idx="2">
                  <c:v>2070204</c:v>
                </c:pt>
                <c:pt idx="3">
                  <c:v>2070205</c:v>
                </c:pt>
                <c:pt idx="4">
                  <c:v>2070299</c:v>
                </c:pt>
              </c:numCache>
            </c:numRef>
          </c:cat>
          <c:val>
            <c:numRef>
              <c:f>Sheet1!$B$2:$B$6</c:f>
              <c:numCache>
                <c:formatCode>General</c:formatCode>
                <c:ptCount val="5"/>
                <c:pt idx="0">
                  <c:v>0.51</c:v>
                </c:pt>
                <c:pt idx="1">
                  <c:v>23.53</c:v>
                </c:pt>
                <c:pt idx="2">
                  <c:v>51.36</c:v>
                </c:pt>
                <c:pt idx="3">
                  <c:v>12.15</c:v>
                </c:pt>
                <c:pt idx="4">
                  <c:v>68.45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10.93</c:v>
                </c:pt>
                <c:pt idx="1">
                  <c:v>11.69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8.26</c:v>
                </c:pt>
                <c:pt idx="1">
                  <c:v>8.76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13.12</c:v>
                </c:pt>
                <c:pt idx="1">
                  <c:v>13.12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32.08</c:v>
                </c:pt>
                <c:pt idx="1">
                  <c:v>3.15</c:v>
                </c:pt>
                <c:pt idx="2">
                  <c:v>21.89</c:v>
                </c:pt>
                <c:pt idx="3">
                  <c:v>15.7</c:v>
                </c:pt>
                <c:pt idx="4">
                  <c:v>10.93</c:v>
                </c:pt>
                <c:pt idx="5">
                  <c:v>4.4</c:v>
                </c:pt>
                <c:pt idx="6">
                  <c:v>0.44</c:v>
                </c:pt>
                <c:pt idx="7">
                  <c:v>8.26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30201</c:v>
                </c:pt>
                <c:pt idx="1">
                  <c:v>30211</c:v>
                </c:pt>
                <c:pt idx="2">
                  <c:v>30228</c:v>
                </c:pt>
              </c:numCache>
            </c:numRef>
          </c:cat>
          <c:val>
            <c:numRef>
              <c:f>Sheet1!$B$2:$B$4</c:f>
              <c:numCache>
                <c:formatCode>General</c:formatCode>
                <c:ptCount val="3"/>
                <c:pt idx="0">
                  <c:v>0.18</c:v>
                </c:pt>
                <c:pt idx="1">
                  <c:v>0.28</c:v>
                </c:pt>
                <c:pt idx="2">
                  <c:v>1.46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2024-12-30T10:31:02Z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