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hAnsi="方正小标宋简体" w:eastAsia="方正小标宋简体" w:cs="方正小标宋简体"/>
          <w:b w:val="0"/>
          <w:bCs w:val="0"/>
          <w:sz w:val="52"/>
          <w:szCs w:val="52"/>
          <w:highlight w:val="none"/>
        </w:rPr>
      </w:pPr>
      <w:r>
        <w:rPr>
          <w:rFonts w:hint="eastAsia" w:ascii="方正小标宋简体" w:hAnsi="方正小标宋简体" w:eastAsia="方正小标宋简体" w:cs="方正小标宋简体"/>
          <w:b w:val="0"/>
          <w:bCs w:val="0"/>
          <w:sz w:val="52"/>
          <w:szCs w:val="52"/>
          <w:highlight w:val="none"/>
          <w:lang w:val="en-US" w:eastAsia="zh-CN"/>
        </w:rPr>
        <w:t>中共环江毛南族自治县委员会宣传部</w:t>
      </w:r>
      <w:r>
        <w:rPr>
          <w:rFonts w:hint="eastAsia" w:ascii="方正小标宋简体" w:hAnsi="方正小标宋简体" w:eastAsia="方正小标宋简体" w:cs="方正小标宋简体"/>
          <w:b w:val="0"/>
          <w:bCs w:val="0"/>
          <w:sz w:val="52"/>
          <w:szCs w:val="52"/>
          <w:highlight w:val="none"/>
          <w:lang w:eastAsia="zh-CN"/>
        </w:rPr>
        <w:t>2023</w:t>
      </w:r>
      <w:r>
        <w:rPr>
          <w:rFonts w:hint="eastAsia" w:ascii="方正小标宋简体" w:hAnsi="方正小标宋简体" w:eastAsia="方正小标宋简体" w:cs="方正小标宋简体"/>
          <w:b w:val="0"/>
          <w:bCs w:val="0"/>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w:t>
      </w:r>
      <w:r>
        <w:rPr>
          <w:rFonts w:hint="eastAsia" w:ascii="仿宋_GB2312" w:eastAsia="仿宋_GB2312"/>
          <w:sz w:val="32"/>
          <w:szCs w:val="32"/>
          <w:lang w:eastAsia="zh-CN"/>
        </w:rPr>
        <w:t>本部门职责</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_GB2312" w:eastAsia="仿宋_GB2312"/>
          <w:sz w:val="32"/>
          <w:szCs w:val="32"/>
          <w:lang w:eastAsia="zh-CN"/>
        </w:rPr>
        <w:t>机构设置情况</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宣传部</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表六：一般公共预算财政拨款基本支出决算明细表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表七：政府性基金预算财政拨款收入支出决算表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表八：国有资本经营预算财政拨款支出决算表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表九：财政拨款安排的“三公”经费支出决算表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宣传部</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年度收入支出决算总体情况。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年度一般公共预算财政拨款支出决算情况。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年度一般公共预算财政拨款基本支出决算情况说明。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年度政府性基金支出决算情况。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年度国有资本经营预算支出决算情况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六、财政拨款安排的“三公”经费支出决算情况说明。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七、其他重要事项情况说明。</w:t>
      </w:r>
    </w:p>
    <w:p>
      <w:pPr>
        <w:rPr>
          <w:rFonts w:hint="eastAsia" w:ascii="仿宋_GB2312" w:eastAsia="仿宋_GB2312" w:cs="仿宋_GB2312"/>
          <w:kern w:val="0"/>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hint="default" w:ascii="方正小标宋简体" w:hAnsi="方正小标宋简体" w:eastAsia="方正小标宋简体" w:cs="方正小标宋简体"/>
          <w:sz w:val="36"/>
          <w:szCs w:val="36"/>
          <w:highlight w:val="none"/>
          <w:lang w:val="en-US"/>
        </w:rPr>
      </w:pPr>
      <w:r>
        <w:rPr>
          <w:rFonts w:hint="eastAsia" w:ascii="方正小标宋简体" w:hAnsi="方正小标宋简体" w:eastAsia="方正小标宋简体" w:cs="方正小标宋简体"/>
          <w:b/>
          <w:bCs/>
          <w:sz w:val="36"/>
          <w:szCs w:val="36"/>
          <w:highlight w:val="none"/>
        </w:rPr>
        <w:t>第一部分：</w:t>
      </w:r>
      <w:r>
        <w:rPr>
          <w:rFonts w:hint="eastAsia" w:ascii="方正小标宋简体" w:hAnsi="方正小标宋简体" w:eastAsia="方正小标宋简体" w:cs="方正小标宋简体"/>
          <w:b/>
          <w:sz w:val="36"/>
          <w:szCs w:val="36"/>
          <w:u w:color="auto"/>
          <w:lang w:val="en-US" w:eastAsia="zh-CN"/>
        </w:rPr>
        <w:t>单位概况</w:t>
      </w:r>
    </w:p>
    <w:p>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本部门职责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（一）负责指导全县理论学习、理论研究、理论宣传和哲学社会科学规划工作，并在理论研究、理论宣传政策等方面实施指导。联系县社科联，并在工作上实施指导。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（二）负责对党的路线、方针、政策和上级党委重大决策的宣传及社会宣传工作。引导社会舆论，协调新闻、出版等部门的工作。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（三）负责从宏观上指导文化艺术和精神产品生产的管理工作，并在政治方向和方针、政策方面实施指导。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四）负责规划、部署全县的宣传思想工作、国防教育以及社会主义精神文明建设工作；督促检查各乡（镇）、各部门贯彻落实中央、自治区党委、市委和自治县党委关于加强和改进未成年人思想道德建设工作情况；组织协调全县各有关部门做好未成年人思想道德建设工作；推荐、宣传先进典型，会同有关部门研究和改进思想政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（五）制订培训规划，并组织对乡镇宣传干部和有关宣传文化系统干部的培训；联系宣传文化系统的知识分子，配合有关部门做好人才培养工作。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（六）负责管理、组织、协调、指导全县对外宣传、互联网络新闻宣传和新闻发布工作，负责制订全县对外宣传工作以及互联网络新闻宣传工作政策和工作部署。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（七）贯彻宣传文化事业发展的指导方针；指导、协调全县新闻出版广播影视业和宣传文化事业改革和发展工作；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（八）负责指导、审查宣传口各专业技术职务的评定工作，负责全县政工专业技术职务的评定。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30"/>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（九）负责组织全县重点党报党刊的征订发行工作。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0" w:firstLineChars="200"/>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color="auto" w:fill="FFFFFF"/>
        </w:rPr>
        <w:t>（十）承办自治县党委和市委宣传部交办的其他任务</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jc w:val="left"/>
        <w:rPr>
          <w:rFonts w:hint="default" w:ascii="仿宋" w:hAnsi="仿宋" w:eastAsia="黑体" w:cs="仿宋"/>
          <w:sz w:val="32"/>
          <w:szCs w:val="32"/>
          <w:highlight w:val="none"/>
          <w:lang w:val="en-US"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机构设置情况</w:t>
      </w:r>
    </w:p>
    <w:p>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部门内设有</w:t>
      </w:r>
      <w:r>
        <w:rPr>
          <w:rFonts w:hint="eastAsia" w:ascii="仿宋_GB2312" w:hAnsi="仿宋_GB2312" w:eastAsia="仿宋_GB2312" w:cs="仿宋_GB2312"/>
          <w:sz w:val="32"/>
          <w:szCs w:val="32"/>
          <w:lang w:val="en-US" w:eastAsia="zh-CN"/>
        </w:rPr>
        <w:t>网络宣传服务中心、部办公室、宣传文化股、意识形态巡察股、新闻股、财务室、精神文明建设股等7个股室</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jc w:val="center"/>
        <w:rPr>
          <w:rFonts w:hint="eastAsia" w:ascii="仿宋_GB2312" w:hAnsi="仿宋_GB2312" w:eastAsia="仿宋_GB2312" w:cs="仿宋_GB2312"/>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984" w:right="1531" w:bottom="1417" w:left="1531" w:header="851" w:footer="992" w:gutter="0"/>
          <w:pgNumType w:fmt="decimal"/>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第二部分：</w:t>
      </w:r>
      <w:r>
        <w:rPr>
          <w:rFonts w:hint="eastAsia" w:ascii="方正小标宋简体" w:hAnsi="方正小标宋简体" w:eastAsia="方正小标宋简体" w:cs="方正小标宋简体"/>
          <w:sz w:val="36"/>
          <w:szCs w:val="36"/>
          <w:highlight w:val="none"/>
          <w:lang w:val="en-US" w:eastAsia="zh-CN"/>
        </w:rPr>
        <w:t>中共环江毛南族自治县委员会宣传部</w:t>
      </w:r>
      <w:r>
        <w:rPr>
          <w:rFonts w:hint="eastAsia" w:ascii="方正小标宋简体" w:hAnsi="方正小标宋简体" w:eastAsia="方正小标宋简体" w:cs="方正小标宋简体"/>
          <w:sz w:val="36"/>
          <w:szCs w:val="36"/>
          <w:highlight w:val="none"/>
        </w:rPr>
        <w:t xml:space="preserve"> </w:t>
      </w:r>
      <w:r>
        <w:rPr>
          <w:rFonts w:hint="eastAsia" w:ascii="方正小标宋简体" w:hAnsi="方正小标宋简体" w:eastAsia="方正小标宋简体" w:cs="方正小标宋简体"/>
          <w:sz w:val="36"/>
          <w:szCs w:val="36"/>
          <w:highlight w:val="none"/>
          <w:lang w:eastAsia="zh-CN"/>
        </w:rPr>
        <w:t>2023</w:t>
      </w:r>
      <w:r>
        <w:rPr>
          <w:rFonts w:hint="eastAsia" w:ascii="方正小标宋简体" w:hAnsi="方正小标宋简体" w:eastAsia="方正小标宋简体" w:cs="方正小标宋简体"/>
          <w:sz w:val="36"/>
          <w:szCs w:val="36"/>
          <w:highlight w:val="none"/>
        </w:rPr>
        <w:t>年度部门决算报表</w:t>
      </w:r>
    </w:p>
    <w:p>
      <w:pPr>
        <w:jc w:val="left"/>
        <w:rPr>
          <w:rFonts w:ascii="仿宋" w:hAnsi="仿宋" w:eastAsia="仿宋" w:cs="仿宋"/>
          <w:sz w:val="24"/>
          <w:highlight w:val="none"/>
        </w:rPr>
      </w:pP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7"/>
        <w:gridCol w:w="793"/>
        <w:gridCol w:w="1857"/>
        <w:gridCol w:w="4251"/>
        <w:gridCol w:w="793"/>
        <w:gridCol w:w="18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70"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9"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1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7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9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59"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03"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8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820.90</w:t>
            </w: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42.59</w:t>
            </w: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c>
          <w:tcPr>
            <w:tcW w:w="4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8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70" w:type="dxa"/>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5"/>
        <w:gridCol w:w="222"/>
        <w:gridCol w:w="222"/>
        <w:gridCol w:w="3736"/>
        <w:gridCol w:w="1547"/>
        <w:gridCol w:w="1547"/>
        <w:gridCol w:w="436"/>
        <w:gridCol w:w="436"/>
        <w:gridCol w:w="546"/>
        <w:gridCol w:w="551"/>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5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8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4" w:hRule="atLeast"/>
        </w:trPr>
        <w:tc>
          <w:tcPr>
            <w:tcW w:w="118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4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863.49</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863.49</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201.69</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201.69</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2013350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448.66</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448.66</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其他国家电影事业发展专项资金支出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75" w:type="dxa"/>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4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公开02表</w:t>
            </w:r>
          </w:p>
        </w:tc>
      </w:tr>
    </w:tbl>
    <w:p>
      <w:pPr>
        <w:jc w:val="left"/>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7"/>
        <w:gridCol w:w="381"/>
        <w:gridCol w:w="214"/>
        <w:gridCol w:w="832"/>
        <w:gridCol w:w="2853"/>
        <w:gridCol w:w="1575"/>
        <w:gridCol w:w="770"/>
        <w:gridCol w:w="1272"/>
        <w:gridCol w:w="831"/>
        <w:gridCol w:w="731"/>
        <w:gridCol w:w="381"/>
        <w:gridCol w:w="381"/>
        <w:gridCol w:w="1160"/>
        <w:gridCol w:w="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510" w:hRule="atLeast"/>
        </w:trPr>
        <w:tc>
          <w:tcPr>
            <w:tcW w:w="4957"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270" w:hRule="atLeast"/>
        </w:trPr>
        <w:tc>
          <w:tcPr>
            <w:tcW w:w="826"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4"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0"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84"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270" w:hRule="atLeast"/>
        </w:trPr>
        <w:tc>
          <w:tcPr>
            <w:tcW w:w="826"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214"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60"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84"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7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2119"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60"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84" w:type="pct"/>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2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0"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8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0"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0"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4"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2119"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3"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70"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2119"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863.49</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291.02</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572.47</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201.69</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191.41</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2013350</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448.66</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445.58</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2070799</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其他国家电影事业发展专项资金支出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1407"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7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06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5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684"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2" w:type="pct"/>
          <w:trHeight w:val="300" w:hRule="atLeast"/>
        </w:trPr>
        <w:tc>
          <w:tcPr>
            <w:tcW w:w="4957" w:type="pct"/>
            <w:gridSpan w:val="13"/>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40"/>
                <w:szCs w:val="40"/>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2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56"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36"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7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1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61" w:type="pct"/>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4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35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3"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071"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2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3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93"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89"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0185" w:type="dxa"/>
            <w:gridSpan w:val="10"/>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5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07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593"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2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6" w:type="pct"/>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61" w:type="pct"/>
            <w:gridSpan w:val="4"/>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2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820.90</w:t>
            </w: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654.45</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654.45</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42.59</w:t>
            </w: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72.47</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59.87</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820.90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42.59</w:t>
            </w: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5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c>
          <w:tcPr>
            <w:tcW w:w="407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863.49</w:t>
            </w:r>
          </w:p>
        </w:tc>
        <w:tc>
          <w:tcPr>
            <w:tcW w:w="10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820.90</w:t>
            </w:r>
          </w:p>
        </w:tc>
        <w:tc>
          <w:tcPr>
            <w:tcW w:w="9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42.59</w:t>
            </w:r>
          </w:p>
        </w:tc>
        <w:tc>
          <w:tcPr>
            <w:tcW w:w="159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581"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93" w:type="dxa"/>
            <w:gridSpan w:val="4"/>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tbl>
      <w:tblPr>
        <w:tblStyle w:val="6"/>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6"/>
        <w:gridCol w:w="222"/>
        <w:gridCol w:w="222"/>
        <w:gridCol w:w="3736"/>
        <w:gridCol w:w="2270"/>
        <w:gridCol w:w="2251"/>
        <w:gridCol w:w="2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760"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2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7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5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42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2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820.90</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291.02</w:t>
            </w: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201.69</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191.41</w:t>
            </w: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2013350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其他宣传事务支出</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448.66</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22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2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760"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3"/>
        <w:gridCol w:w="2423"/>
        <w:gridCol w:w="1099"/>
        <w:gridCol w:w="749"/>
        <w:gridCol w:w="1687"/>
        <w:gridCol w:w="951"/>
        <w:gridCol w:w="749"/>
        <w:gridCol w:w="3012"/>
        <w:gridCol w:w="1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89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1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1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35"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57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249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10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97"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97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5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5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0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258.48</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69.46</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0.26</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26.36</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87.44</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3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310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507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270.16</w:t>
            </w:r>
          </w:p>
        </w:tc>
        <w:tc>
          <w:tcPr>
            <w:tcW w:w="7002"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74"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6"/>
        <w:gridCol w:w="222"/>
        <w:gridCol w:w="222"/>
        <w:gridCol w:w="3736"/>
        <w:gridCol w:w="572"/>
        <w:gridCol w:w="1518"/>
        <w:gridCol w:w="1518"/>
        <w:gridCol w:w="572"/>
        <w:gridCol w:w="1518"/>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00"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7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7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8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816" w:type="dxa"/>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42.59</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42.59</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42.59</w:t>
            </w: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2070799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其他国家电影事业发展专项资金支出</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8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2121903</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城市建设支出</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001"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tbl>
      <w:tblPr>
        <w:tblStyle w:val="6"/>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6"/>
        <w:gridCol w:w="222"/>
        <w:gridCol w:w="222"/>
        <w:gridCol w:w="1096"/>
        <w:gridCol w:w="2233"/>
        <w:gridCol w:w="2071"/>
        <w:gridCol w:w="2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65"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部门：中共环江毛南族自治县委员会宣传部</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36"/>
        <w:gridCol w:w="1086"/>
        <w:gridCol w:w="774"/>
        <w:gridCol w:w="774"/>
        <w:gridCol w:w="780"/>
        <w:gridCol w:w="1206"/>
        <w:gridCol w:w="1206"/>
        <w:gridCol w:w="1086"/>
        <w:gridCol w:w="774"/>
        <w:gridCol w:w="774"/>
        <w:gridCol w:w="781"/>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bookmarkStart w:id="4" w:name="_GoBack" w:colFirst="0" w:colLast="11"/>
          </w:p>
        </w:tc>
        <w:tc>
          <w:tcPr>
            <w:tcW w:w="108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3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部门：广西河池市环江毛南族自治县宣传部</w:t>
            </w:r>
          </w:p>
        </w:tc>
        <w:tc>
          <w:tcPr>
            <w:tcW w:w="108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0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8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7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97"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56"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91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328"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8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8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36" w:type="dxa"/>
            <w:tcBorders>
              <w:top w:val="single" w:color="000000" w:sz="4" w:space="0"/>
              <w:left w:val="single" w:color="000000" w:sz="4" w:space="0"/>
              <w:bottom w:val="single" w:color="000000" w:sz="4" w:space="0"/>
              <w:right w:val="single" w:color="000000" w:sz="4" w:space="0"/>
            </w:tcBorders>
            <w:shd w:val="clear" w:color="auto" w:fill="D6F6E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D6F6EF"/>
            <w:noWrap/>
            <w:vAlign w:val="center"/>
          </w:tcPr>
          <w:p>
            <w:pPr>
              <w:jc w:val="right"/>
              <w:rPr>
                <w:rFonts w:hint="eastAsia" w:ascii="宋体" w:hAnsi="宋体" w:eastAsia="宋体" w:cs="宋体"/>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174"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jc w:val="left"/>
        <w:rPr>
          <w:rFonts w:ascii="仿宋" w:hAnsi="仿宋" w:eastAsia="仿宋" w:cs="仿宋"/>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sz w:val="24"/>
          <w:highlight w:val="none"/>
        </w:rPr>
      </w:pPr>
    </w:p>
    <w:p>
      <w:pPr>
        <w:ind w:left="1600" w:hanging="1800" w:hangingChars="500"/>
        <w:jc w:val="center"/>
        <w:rPr>
          <w:rFonts w:hint="eastAsia" w:ascii="方正小标宋简体" w:hAnsi="方正小标宋简体" w:eastAsia="方正小标宋简体" w:cs="方正小标宋简体"/>
          <w:sz w:val="36"/>
          <w:szCs w:val="36"/>
          <w:u w:color="auto"/>
          <w:lang w:val="en-US" w:eastAsia="zh-CN"/>
        </w:rPr>
      </w:pPr>
      <w:r>
        <w:rPr>
          <w:rFonts w:hint="eastAsia" w:ascii="方正小标宋简体" w:hAnsi="方正小标宋简体" w:eastAsia="方正小标宋简体" w:cs="方正小标宋简体"/>
          <w:sz w:val="36"/>
          <w:szCs w:val="36"/>
          <w:highlight w:val="none"/>
        </w:rPr>
        <w:t>第三部分：</w:t>
      </w:r>
      <w:r>
        <w:rPr>
          <w:rFonts w:hint="eastAsia" w:ascii="方正小标宋简体" w:hAnsi="方正小标宋简体" w:eastAsia="方正小标宋简体" w:cs="方正小标宋简体"/>
          <w:sz w:val="36"/>
          <w:szCs w:val="36"/>
          <w:u w:color="auto"/>
          <w:lang w:val="en-US" w:eastAsia="zh-CN"/>
        </w:rPr>
        <w:t>中共环江毛南族自治县委员会宣传部</w:t>
      </w:r>
    </w:p>
    <w:p>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2023</w:t>
      </w:r>
      <w:r>
        <w:rPr>
          <w:rFonts w:hint="eastAsia" w:ascii="方正小标宋简体" w:hAnsi="方正小标宋简体" w:eastAsia="方正小标宋简体" w:cs="方正小标宋简体"/>
          <w:sz w:val="36"/>
          <w:szCs w:val="36"/>
          <w:highlight w:val="none"/>
        </w:rPr>
        <w:t>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863.49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减少261.11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下降23.22</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863.49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820.9</w:t>
      </w:r>
      <w:r>
        <w:rPr>
          <w:rFonts w:hint="eastAsia" w:ascii="仿宋" w:hAnsi="仿宋" w:eastAsia="仿宋" w:cs="仿宋"/>
          <w:kern w:val="2"/>
          <w:sz w:val="32"/>
          <w:szCs w:val="32"/>
          <w:highlight w:val="none"/>
          <w:lang w:val="en-US" w:eastAsia="zh-CN" w:bidi="ar"/>
        </w:rPr>
        <w:t>万元，为自治县本级财政当年拨付的资金。较2022年度决算数</w:t>
      </w:r>
      <w:r>
        <w:rPr>
          <w:rFonts w:hint="eastAsia" w:ascii="仿宋" w:hAnsi="仿宋" w:eastAsia="仿宋" w:cs="仿宋"/>
          <w:sz w:val="32"/>
          <w:u w:color="auto"/>
          <w:lang w:val="en-US" w:eastAsia="zh-CN"/>
        </w:rPr>
        <w:t>减少300.7</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val="en-US" w:eastAsia="zh-CN"/>
        </w:rPr>
        <w:t>下降26.81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主要原因为：县级财力下降，年初预算项目按照要求在上一年度的基础上，经费支出压减20%以上。</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hint="eastAsia" w:ascii="仿宋" w:hAnsi="仿宋" w:eastAsia="仿宋" w:cs="仿宋"/>
          <w:sz w:val="32"/>
          <w:u w:color="auto"/>
          <w:lang w:val="en-US" w:eastAsia="zh-CN"/>
        </w:rPr>
        <w:t>42.59</w:t>
      </w:r>
      <w:r>
        <w:rPr>
          <w:rFonts w:hint="eastAsia" w:ascii="仿宋" w:hAnsi="仿宋" w:eastAsia="仿宋" w:cs="仿宋"/>
          <w:kern w:val="2"/>
          <w:sz w:val="32"/>
          <w:szCs w:val="32"/>
          <w:highlight w:val="none"/>
          <w:lang w:val="en-US" w:eastAsia="zh-CN" w:bidi="ar"/>
        </w:rPr>
        <w:t>万元，其中包含中央、自治区安排的国家支持地方</w:t>
      </w:r>
      <w:r>
        <w:rPr>
          <w:rFonts w:hint="eastAsia" w:ascii="仿宋" w:hAnsi="仿宋" w:eastAsia="仿宋" w:cs="仿宋"/>
          <w:sz w:val="32"/>
          <w:szCs w:val="32"/>
          <w:highlight w:val="none"/>
        </w:rPr>
        <w:t>电影事业发展专项资</w:t>
      </w:r>
      <w:r>
        <w:rPr>
          <w:rFonts w:hint="eastAsia" w:ascii="仿宋" w:hAnsi="仿宋" w:eastAsia="仿宋" w:cs="仿宋"/>
          <w:sz w:val="32"/>
          <w:szCs w:val="32"/>
          <w:highlight w:val="none"/>
          <w:lang w:val="en-US" w:eastAsia="zh-CN"/>
        </w:rPr>
        <w:t>金和自治区安排的地方债务专项资金</w:t>
      </w:r>
      <w:r>
        <w:rPr>
          <w:rFonts w:hint="eastAsia" w:ascii="仿宋" w:hAnsi="仿宋" w:eastAsia="仿宋" w:cs="仿宋"/>
          <w:kern w:val="2"/>
          <w:sz w:val="32"/>
          <w:szCs w:val="32"/>
          <w:highlight w:val="none"/>
          <w:lang w:val="en-US" w:eastAsia="zh-CN" w:bidi="ar"/>
        </w:rPr>
        <w:t>，较2022年度决算数增加39.59万元，增长1319.67%。</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主要原因为：中央和自治区对地方电影事业发展专项资金补助增加，以及对偿还地方债务资金的投入。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万元。此项为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万元，此项为上级部门当年拨付的资金。较2022年度决算数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万元，此项为事业单位开展业务活动取得的收入。较2022年度决算数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0.00万,此项为事业单位在业务活动之外开展非独立核算经营活动取得的收入。较2022年度决算数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万元,此项为预算单位在“财政拨款收入”“事业收入”“经营收入”之外取得的收入。较2021年度决算数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万元,此项为所属事业单位在当年的“财政拨款收入”“事业收入”“经营收入”及“其他收入”不能保证其支出的情况下，使用以前年度积累的非财政拨款结余弥补本年度收支缺口的资金。较2022年度决算数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主要原因：按照财政部门要求，未使用完的指标在年底全部进行回收，不再进行年底结转，导致本单位无结转资金收入。</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863.49</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863.49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减少261.11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下降23.22</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一般公共服务</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654.45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单位履行职责所需人员经费、办公经费，以及开展宣传业务工作项目经费支出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减少225.56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下降25.63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主要原因是：按照财政部门要求压减本部门支出，落实中央过紧日子要求。</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72.47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实施中央支持地方公共文化服务体系新时代文明实践中心建设试点项目、中央补助地方公共文化服务体系建设资金农村公益电影放映补贴、农家书屋图书补充更新经费以及自治区补助市县宣传文化和电影资金支出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下降59.85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减少45.23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主要原因是：电影公司安置补偿款的减少。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u w:color="auto"/>
          <w:lang w:val="en-US" w:eastAsia="zh-CN"/>
        </w:rPr>
        <w:t>社会保障和就业</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27.36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单位职工社保缴费支出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减少2.9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减少9.58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主要原因是：人员调出，缴费人数减少。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u w:color="auto"/>
          <w:lang w:val="en-US" w:eastAsia="zh-CN"/>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u w:color="auto"/>
          <w:lang w:val="en-US" w:eastAsia="zh-CN"/>
        </w:rPr>
        <w:t>卫生健康支出（210类）13.69万元，主要用于疫情防控工作相关支出。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增加13.69万元，增长100%。主要原因是：根据疫情防控工作安排，相关支出增加。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5.城乡社区支出（212类）29.99万元，主要用于偿还地方债务支出。较2022年决算数增加29.99万元，</w:t>
      </w:r>
      <w:r>
        <w:rPr>
          <w:rFonts w:hint="eastAsia" w:ascii="仿宋" w:hAnsi="仿宋" w:eastAsia="仿宋" w:cs="仿宋"/>
          <w:sz w:val="32"/>
          <w:szCs w:val="32"/>
          <w:highlight w:val="none"/>
          <w:lang w:val="en-US" w:eastAsia="zh-CN"/>
        </w:rPr>
        <w:t>增长100%。主要原因是：根据地方债务偿还工作安排，相关支出增加。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lang w:val="en-US" w:eastAsia="zh-CN" w:bidi="ar"/>
        </w:rPr>
        <w:t>6.</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20.52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在职在编干部职工住房公积金缴费支出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减少2.29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下降10.04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主要原因是：人员调出，缴费人数减少。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45.02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单位干部职工奖励性补贴发放</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14.19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23.96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主要原因是：人员调出，奖励性补贴发放金额较上一年度有所降低,。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eastAsia" w:ascii="仿宋_GB2312" w:hAnsi="微软雅黑" w:eastAsia="仿宋_GB2312" w:cs="仿宋_GB2312"/>
          <w:i w:val="0"/>
          <w:iCs w:val="0"/>
          <w:caps w:val="0"/>
          <w:color w:val="000000"/>
          <w:spacing w:val="0"/>
          <w:sz w:val="32"/>
          <w:szCs w:val="32"/>
          <w:highlight w:val="none"/>
          <w:shd w:val="clear" w:color="auto" w:fill="FFFFFF"/>
          <w:lang w:val="en-US" w:eastAsia="zh-CN"/>
        </w:rPr>
        <w:t>6.</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：本单位无相关方面资金。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主要原因是：按照财政部门要求，未使用完的指标在年底全部进行回收，不再进行年底结转。</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820.9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减少261.11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下降23.22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291</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529.9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u w:color="auto"/>
          <w:lang w:val="en-US" w:eastAsia="zh-CN"/>
        </w:rPr>
        <w:t>837.38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820.9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98.03</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（一）一般公共服务</w:t>
      </w:r>
      <w:r>
        <w:rPr>
          <w:rFonts w:hint="eastAsia" w:ascii="仿宋_GB2312" w:hAnsi="仿宋_GB2312" w:eastAsia="仿宋_GB2312" w:cs="仿宋_GB2312"/>
          <w:sz w:val="32"/>
          <w:szCs w:val="32"/>
        </w:rPr>
        <w:t>支出（20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类）年初预算为</w:t>
      </w:r>
      <w:r>
        <w:rPr>
          <w:rFonts w:hint="eastAsia" w:ascii="仿宋_GB2312" w:hAnsi="仿宋_GB2312" w:eastAsia="仿宋_GB2312" w:cs="仿宋_GB2312"/>
          <w:sz w:val="32"/>
          <w:szCs w:val="32"/>
          <w:lang w:val="en-US" w:eastAsia="zh-CN"/>
        </w:rPr>
        <w:t>709.35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654.45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92.26</w:t>
      </w:r>
      <w:r>
        <w:rPr>
          <w:rFonts w:hint="eastAsia" w:ascii="仿宋_GB2312" w:hAnsi="仿宋_GB2312" w:eastAsia="仿宋_GB2312" w:cs="仿宋_GB2312"/>
          <w:sz w:val="32"/>
          <w:szCs w:val="32"/>
        </w:rPr>
        <w:t>%。预决算</w:t>
      </w:r>
      <w:r>
        <w:rPr>
          <w:rFonts w:hint="eastAsia" w:ascii="仿宋_GB2312" w:hAnsi="仿宋_GB2312" w:eastAsia="仿宋_GB2312" w:cs="仿宋_GB2312"/>
          <w:sz w:val="32"/>
          <w:szCs w:val="32"/>
          <w:lang w:val="en-US" w:eastAsia="zh-CN"/>
        </w:rPr>
        <w:t>存在</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val="en-US" w:eastAsia="zh-CN"/>
        </w:rPr>
        <w:t>原因是：媒体合作费未能在年内足额支出。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192.97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201.69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单位行政运行人员经费支出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年内办公业务费用增加。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color w:val="000000"/>
                <w:kern w:val="0"/>
                <w:sz w:val="18"/>
                <w:szCs w:val="18"/>
                <w:lang w:bidi="ar"/>
              </w:rPr>
              <w:t>其他宣传事务支出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512.74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448.67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开展宣传业务工作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部分项目已实施，未达到支付条件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color w:val="000000"/>
                <w:kern w:val="0"/>
                <w:sz w:val="18"/>
                <w:szCs w:val="18"/>
                <w:lang w:bidi="ar"/>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3.64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财政补助干部职工工会缴费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此项经费支出与年初预算相符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2013350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事业单位人员年度考核奖励</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年初预算未安排，此项为年中追加项目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709.35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654.45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文化旅游体育与传媒支出（2</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类）年初预算为</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59.87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85.53</w:t>
      </w:r>
      <w:r>
        <w:rPr>
          <w:rFonts w:hint="eastAsia" w:ascii="仿宋_GB2312" w:hAnsi="仿宋_GB2312" w:eastAsia="仿宋_GB2312" w:cs="仿宋_GB2312"/>
          <w:sz w:val="32"/>
          <w:szCs w:val="32"/>
        </w:rPr>
        <w:t>%。预决算</w:t>
      </w:r>
      <w:r>
        <w:rPr>
          <w:rFonts w:hint="eastAsia" w:ascii="仿宋_GB2312" w:hAnsi="仿宋_GB2312" w:eastAsia="仿宋_GB2312" w:cs="仿宋_GB2312"/>
          <w:sz w:val="32"/>
          <w:szCs w:val="32"/>
          <w:lang w:val="en-US" w:eastAsia="zh-CN"/>
        </w:rPr>
        <w:t>存有</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val="en-US" w:eastAsia="zh-CN"/>
        </w:rPr>
        <w:t>原因是：1.此类支出有中央支持地方公共文化服务体系建设补助资金包含新时代文明实践中心建设试点项目年内项目未完工，资金暂缓拨付。2.电影公司安置补偿款减少。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农家书屋图书更新经费、农村公益电影放映补贴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农家书屋图书更新经费年初无预算，为年中追加项目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35.19%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中央补助新时代文明实践工作经费、电影公司安置补偿款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项目尚未完全拨付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59.87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85.53%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pPr>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center"/>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社会保障和就业支出（208类）年初预算为</w:t>
      </w:r>
      <w:r>
        <w:rPr>
          <w:rFonts w:hint="eastAsia" w:ascii="仿宋_GB2312" w:hAnsi="仿宋_GB2312" w:eastAsia="仿宋_GB2312" w:cs="仿宋_GB2312"/>
          <w:sz w:val="32"/>
          <w:szCs w:val="32"/>
          <w:lang w:val="en-US" w:eastAsia="zh-CN"/>
        </w:rPr>
        <w:t>29.16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27.36</w:t>
      </w:r>
      <w:r>
        <w:rPr>
          <w:rFonts w:hint="eastAsia" w:ascii="仿宋_GB2312" w:hAnsi="仿宋_GB2312" w:eastAsia="仿宋_GB2312" w:cs="仿宋_GB2312"/>
          <w:sz w:val="32"/>
          <w:szCs w:val="32"/>
        </w:rPr>
        <w:t>万元，完成年初预算的9</w:t>
      </w:r>
      <w:r>
        <w:rPr>
          <w:rFonts w:hint="eastAsia" w:ascii="仿宋_GB2312" w:hAnsi="仿宋_GB2312" w:eastAsia="仿宋_GB2312" w:cs="仿宋_GB2312"/>
          <w:sz w:val="32"/>
          <w:szCs w:val="32"/>
          <w:lang w:val="en-US" w:eastAsia="zh-CN"/>
        </w:rPr>
        <w:t>3.83</w:t>
      </w:r>
      <w:r>
        <w:rPr>
          <w:rFonts w:hint="eastAsia" w:ascii="仿宋_GB2312" w:hAnsi="仿宋_GB2312" w:eastAsia="仿宋_GB2312" w:cs="仿宋_GB2312"/>
          <w:sz w:val="32"/>
          <w:szCs w:val="32"/>
        </w:rPr>
        <w:t>%。预决算</w:t>
      </w:r>
      <w:r>
        <w:rPr>
          <w:rFonts w:hint="eastAsia" w:ascii="仿宋_GB2312" w:hAnsi="仿宋_GB2312" w:eastAsia="仿宋_GB2312" w:cs="仿宋_GB2312"/>
          <w:sz w:val="32"/>
          <w:szCs w:val="32"/>
          <w:lang w:val="en-US" w:eastAsia="zh-CN"/>
        </w:rPr>
        <w:t>存在</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val="en-US" w:eastAsia="zh-CN"/>
        </w:rPr>
        <w:t>原因是：有人员退休及调动，相关支出减少。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color w:val="000000"/>
                <w:kern w:val="0"/>
                <w:sz w:val="20"/>
                <w:szCs w:val="20"/>
                <w:lang w:bidi="ar"/>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color w:val="000000"/>
                <w:kern w:val="0"/>
                <w:sz w:val="18"/>
                <w:szCs w:val="18"/>
                <w:lang w:bidi="ar"/>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单位干部职基本养老保险支出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有人员退休，相关支出减少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（四）卫生健康支出（210类）</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13.69万元，完成年初预算的100%。</w:t>
      </w:r>
      <w:r>
        <w:rPr>
          <w:rFonts w:hint="eastAsia" w:ascii="仿宋_GB2312" w:hAnsi="仿宋_GB2312" w:eastAsia="仿宋_GB2312" w:cs="仿宋_GB2312"/>
          <w:sz w:val="32"/>
          <w:szCs w:val="32"/>
        </w:rPr>
        <w:t>预决算</w:t>
      </w:r>
      <w:r>
        <w:rPr>
          <w:rFonts w:hint="eastAsia" w:ascii="仿宋_GB2312" w:hAnsi="仿宋_GB2312" w:eastAsia="仿宋_GB2312" w:cs="仿宋_GB2312"/>
          <w:sz w:val="32"/>
          <w:szCs w:val="32"/>
          <w:lang w:val="en-US" w:eastAsia="zh-CN"/>
        </w:rPr>
        <w:t>存有</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val="en-US" w:eastAsia="zh-CN"/>
        </w:rPr>
        <w:t>原因是：此项支出为疫情防控工作相关支出，未在年初预算中安排，年中根据工作安排进行追加。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color w:val="000000"/>
                <w:kern w:val="0"/>
                <w:sz w:val="20"/>
                <w:szCs w:val="20"/>
                <w:lang w:val="en-US" w:eastAsia="zh-CN" w:bidi="ar"/>
              </w:rPr>
              <w:t>2100410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color w:val="000000"/>
                <w:kern w:val="0"/>
                <w:sz w:val="18"/>
                <w:szCs w:val="18"/>
                <w:lang w:bidi="ar"/>
              </w:rPr>
              <w:t>突发公共卫生事件应急处理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lang w:val="en-US" w:eastAsia="zh-CN"/>
              </w:rPr>
              <w:t>疫情防控工作相关支出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lang w:val="en-US" w:eastAsia="zh-CN"/>
              </w:rPr>
              <w:t>未在年初预算中安排，年中根据工作进行追加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rPr>
          <w:rFonts w:hint="default"/>
          <w:lang w:val="en-US" w:eastAsia="zh-CN"/>
        </w:rPr>
      </w:pPr>
      <w:r>
        <w:rPr>
          <w:rFonts w:hint="eastAsia" w:ascii="仿宋" w:hAnsi="仿宋" w:eastAsia="仿宋"/>
          <w:sz w:val="32"/>
          <w:szCs w:val="32"/>
          <w:highlight w:val="none"/>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default"/>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（五）住房公积金</w:t>
      </w:r>
      <w:r>
        <w:rPr>
          <w:rFonts w:hint="eastAsia" w:ascii="仿宋_GB2312" w:hAnsi="仿宋_GB2312" w:eastAsia="仿宋_GB2312" w:cs="仿宋_GB2312"/>
          <w:sz w:val="32"/>
          <w:szCs w:val="32"/>
        </w:rPr>
        <w:t>支出（2</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类）年初预算为</w:t>
      </w:r>
      <w:r>
        <w:rPr>
          <w:rFonts w:hint="eastAsia" w:ascii="仿宋_GB2312" w:hAnsi="仿宋_GB2312" w:eastAsia="仿宋_GB2312" w:cs="仿宋_GB2312"/>
          <w:sz w:val="32"/>
          <w:szCs w:val="32"/>
          <w:lang w:val="en-US" w:eastAsia="zh-CN"/>
        </w:rPr>
        <w:t>21.87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20.52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93.83</w:t>
      </w:r>
      <w:r>
        <w:rPr>
          <w:rFonts w:hint="eastAsia" w:ascii="仿宋_GB2312" w:hAnsi="仿宋_GB2312" w:eastAsia="仿宋_GB2312" w:cs="仿宋_GB2312"/>
          <w:sz w:val="32"/>
          <w:szCs w:val="32"/>
        </w:rPr>
        <w:t>%。预决算</w:t>
      </w:r>
      <w:r>
        <w:rPr>
          <w:rFonts w:hint="eastAsia" w:ascii="仿宋_GB2312" w:hAnsi="仿宋_GB2312" w:eastAsia="仿宋_GB2312" w:cs="仿宋_GB2312"/>
          <w:sz w:val="32"/>
          <w:szCs w:val="32"/>
          <w:lang w:val="en-US" w:eastAsia="zh-CN"/>
        </w:rPr>
        <w:t>存有</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val="en-US" w:eastAsia="zh-CN"/>
        </w:rPr>
        <w:t>原因是：有人员退休及调出，相关支出减少。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单位在职在编干部住房公积金缴费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有人员退休及调出，相关支出减少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sz w:val="32"/>
          <w:szCs w:val="32"/>
          <w:highlight w:val="none"/>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hint="eastAsia"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w:t>
      </w:r>
      <w:r>
        <w:rPr>
          <w:rFonts w:hint="eastAsia" w:ascii="仿宋_GB2312" w:hAnsi="仿宋_GB2312" w:eastAsia="仿宋_GB2312" w:cs="仿宋_GB2312"/>
          <w:sz w:val="32"/>
          <w:szCs w:val="32"/>
        </w:rPr>
        <w:t>支出（22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类）年初预算为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45.02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%。预决算</w:t>
      </w:r>
      <w:r>
        <w:rPr>
          <w:rFonts w:hint="eastAsia" w:ascii="仿宋_GB2312" w:hAnsi="仿宋_GB2312" w:eastAsia="仿宋_GB2312" w:cs="仿宋_GB2312"/>
          <w:sz w:val="32"/>
          <w:szCs w:val="32"/>
          <w:lang w:val="en-US" w:eastAsia="zh-CN"/>
        </w:rPr>
        <w:t>存有</w:t>
      </w:r>
      <w:r>
        <w:rPr>
          <w:rFonts w:hint="eastAsia" w:ascii="仿宋_GB2312" w:hAnsi="仿宋_GB2312" w:eastAsia="仿宋_GB2312" w:cs="仿宋_GB2312"/>
          <w:sz w:val="32"/>
          <w:szCs w:val="32"/>
        </w:rPr>
        <w:t>差异</w:t>
      </w:r>
      <w:r>
        <w:rPr>
          <w:rFonts w:hint="eastAsia" w:ascii="仿宋_GB2312" w:hAnsi="仿宋_GB2312" w:eastAsia="仿宋_GB2312" w:cs="仿宋_GB2312"/>
          <w:sz w:val="32"/>
          <w:szCs w:val="32"/>
          <w:lang w:val="en-US" w:eastAsia="zh-CN"/>
        </w:rPr>
        <w:t>原因是：此项目为年中追加项目，未纳入年初预算。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干部职工奖励性补贴发放放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此项经费年初无预算，为年中追加项目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sz w:val="32"/>
          <w:szCs w:val="32"/>
          <w:highlight w:val="none"/>
          <w:lang w:eastAsia="zh-CN"/>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291.02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270.16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20.85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258.48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11.14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比年初预算金额增加。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主要原因是：奖励性补贴的发放未在年初预算中安排，年中追加导致预决算出现偏差。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69.46万元，30102津贴补贴26.36万元，30103奖金87.44万元，30107绩效工资15.71万元，30108机关事业单位基本养老保险缴费27.36万元，30110职工基本医疗保险缴费11万元，30112其他社会保障缴费0.62万元，30113住房公积金20.52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对个人和家庭补助支出11.69万元。完成年初预算的185.56%，比年初预算金额增加。主要原因是：年中对退休人员的补贴调整增加。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支出具体情况如下：30305生活补助11.38万元，30399其他对个人和家庭的补助0.31万元。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20.85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106.61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比年初预算金额增加。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主要原因是：年中增加临时活动等工作任务，导致相关商品服务支出经费增加。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30201办公费0.26万元，，30206电费0.93万元，30205水费0.06万元，30207邮电费2.8万元，30211差旅费5.02万元，30217公务接待费0.06万元，30228工会经费3.64万元，30239其他交通费用8.07万元。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主要原因是：本单位无债务利息及费用支出。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主要原因是：本单位无资本性支出。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hint="eastAsia" w:ascii="仿宋" w:hAnsi="仿宋" w:eastAsia="仿宋" w:cs="仿宋"/>
          <w:sz w:val="32"/>
          <w:szCs w:val="32"/>
          <w:highlight w:val="none"/>
          <w:lang w:val="en-US" w:eastAsia="zh-CN"/>
        </w:rPr>
        <w:t>42.59</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39.59</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1319.67</w:t>
      </w:r>
      <w:r>
        <w:rPr>
          <w:rFonts w:ascii="仿宋" w:hAnsi="仿宋" w:eastAsia="仿宋" w:cs="仿宋"/>
          <w:sz w:val="32"/>
          <w:szCs w:val="32"/>
          <w:highlight w:val="none"/>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42.59</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42.59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此项支出为上级安排的</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国家电影事业发展专项资金对地方影院在疫情期间放映公益宣传片以及影院运营方面的补贴和地方债务化解支出。</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_GB2312" w:hAnsi="Times New Roman" w:eastAsia="仿宋_GB2312" w:cs="Times New Roman"/>
          <w:color w:val="000000" w:themeColor="text1"/>
          <w:sz w:val="32"/>
          <w:szCs w:val="32"/>
          <w14:textFill>
            <w14:solidFill>
              <w14:schemeClr w14:val="tx1"/>
            </w14:solidFill>
          </w14:textFill>
        </w:rPr>
      </w:pPr>
      <w:bookmarkStart w:id="2" w:name="PO_part3A5B1C1DiffReason1"/>
      <w:r>
        <w:rPr>
          <w:rFonts w:hint="eastAsia" w:ascii="仿宋" w:hAnsi="仿宋" w:eastAsia="仿宋" w:cs="仿宋"/>
          <w:sz w:val="32"/>
          <w:szCs w:val="32"/>
          <w:highlight w:val="none"/>
          <w:lang w:val="en-US" w:eastAsia="zh-CN"/>
        </w:rPr>
        <w:t>中共环江毛南族自治县委员会宣传部</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w:t>
      </w:r>
      <w:r>
        <w:rPr>
          <w:rFonts w:hint="eastAsia" w:ascii="仿宋_GB2312" w:hAnsi="Times New Roman" w:eastAsia="仿宋_GB2312" w:cs="Times New Roman"/>
          <w:color w:val="000000" w:themeColor="text1"/>
          <w:sz w:val="32"/>
          <w:szCs w:val="32"/>
          <w14:textFill>
            <w14:solidFill>
              <w14:schemeClr w14:val="tx1"/>
            </w14:solidFill>
          </w14:textFill>
        </w:rPr>
        <w:t>安排的支出，故本段落无表述。</w:t>
      </w:r>
      <w:bookmarkEnd w:id="2"/>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autoSpaceDE w:val="0"/>
        <w:autoSpaceDN w:val="0"/>
        <w:adjustRightIn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lang w:val="en-US" w:eastAsia="zh-CN"/>
        </w:rPr>
        <w:t>中共环江毛南族自治县委员会宣传部</w:t>
      </w:r>
      <w:r>
        <w:rPr>
          <w:rFonts w:hint="eastAsia" w:ascii="仿宋_GB2312" w:hAnsi="仿宋_GB2312" w:eastAsia="仿宋_GB2312" w:cs="仿宋_GB2312"/>
          <w:sz w:val="32"/>
          <w:szCs w:val="32"/>
          <w:highlight w:val="none"/>
          <w:lang w:eastAsia="zh-CN"/>
        </w:rPr>
        <w:t>2023</w:t>
      </w:r>
      <w:r>
        <w:rPr>
          <w:rFonts w:hint="eastAsia" w:ascii="仿宋_GB2312" w:hAnsi="仿宋_GB2312" w:eastAsia="仿宋_GB2312" w:cs="仿宋_GB2312"/>
          <w:sz w:val="32"/>
          <w:szCs w:val="32"/>
          <w:highlight w:val="none"/>
        </w:rPr>
        <w:t>年度一般公共预算财政拨款安排的“三公”经费支出</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41.43</w:t>
      </w:r>
      <w:r>
        <w:rPr>
          <w:rFonts w:hint="eastAsia" w:ascii="仿宋_GB2312" w:hAnsi="仿宋_GB2312" w:eastAsia="仿宋_GB2312" w:cs="仿宋_GB2312"/>
          <w:sz w:val="32"/>
          <w:szCs w:val="32"/>
          <w:highlight w:val="none"/>
        </w:rPr>
        <w:t>%，比上年</w:t>
      </w:r>
      <w:r>
        <w:rPr>
          <w:rFonts w:hint="eastAsia" w:ascii="仿宋_GB2312" w:hAnsi="仿宋_GB2312" w:eastAsia="仿宋_GB2312" w:cs="仿宋_GB2312"/>
          <w:sz w:val="32"/>
          <w:szCs w:val="32"/>
          <w:highlight w:val="none"/>
          <w:lang w:val="en-US" w:eastAsia="zh-CN"/>
        </w:rPr>
        <w:t>增加2.15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lang w:val="en-US" w:eastAsia="zh-CN"/>
        </w:rPr>
        <w:t>年内高铁开通以及“三月三”、分龙节等大型活动举办，来采访的媒体增多，公务接待数量增加</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其中：因公出国（境）费支出决算0.00</w:t>
      </w:r>
      <w:r>
        <w:rPr>
          <w:rFonts w:hint="eastAsia" w:ascii="仿宋_GB2312" w:hAnsi="仿宋_GB2312" w:eastAsia="仿宋_GB2312" w:cs="仿宋_GB2312"/>
          <w:sz w:val="32"/>
          <w:szCs w:val="32"/>
          <w:highlight w:val="none"/>
        </w:rPr>
        <w:t>万元，公务用车购置及运行费支出决算0.00万元，公务接待费支出决算</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原因是：本单位无因公出国（境）相关工作安排。</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无。</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3"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3"/>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本部门无公务用车购置。</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中共环江毛南族自治县委员会宣传部</w:t>
      </w:r>
      <w:r>
        <w:rPr>
          <w:rFonts w:hint="eastAsia" w:ascii="仿宋" w:hAnsi="仿宋" w:eastAsia="仿宋" w:cs="仿宋"/>
          <w:sz w:val="32"/>
          <w:szCs w:val="32"/>
          <w:highlight w:val="none"/>
        </w:rPr>
        <w:t>及所属单位开支财政拨款的公务用车保有量为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41.43</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增加2.15</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lang w:val="en-US" w:eastAsia="zh-CN"/>
        </w:rPr>
        <w:t>年内高铁开通以及“三月三”、分龙节等大型活动举办，来采访的媒体增多，公务接待数量增加</w:t>
      </w:r>
      <w:r>
        <w:rPr>
          <w:rFonts w:hint="eastAsia" w:ascii="仿宋_GB2312" w:hAnsi="仿宋_GB2312" w:eastAsia="仿宋_GB2312" w:cs="仿宋_GB2312"/>
          <w:bCs/>
          <w:kern w:val="0"/>
          <w:sz w:val="32"/>
          <w:szCs w:val="32"/>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40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176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20.85</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增加1.34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增长6.86</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val="en-US" w:eastAsia="zh-CN"/>
        </w:rPr>
        <w:t>减少11.11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下降34.76</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认真贯彻</w:t>
      </w:r>
      <w:r>
        <w:rPr>
          <w:rFonts w:hint="eastAsia" w:ascii="仿宋" w:hAnsi="仿宋" w:eastAsia="仿宋" w:cs="仿宋"/>
          <w:color w:val="000000" w:themeColor="text1"/>
          <w:sz w:val="32"/>
          <w:szCs w:val="32"/>
          <w:highlight w:val="none"/>
          <w14:textFill>
            <w14:solidFill>
              <w14:schemeClr w14:val="tx1"/>
            </w14:solidFill>
          </w14:textFill>
        </w:rPr>
        <w:t>落实</w:t>
      </w:r>
      <w:r>
        <w:rPr>
          <w:rFonts w:hint="eastAsia" w:ascii="仿宋" w:hAnsi="仿宋" w:eastAsia="仿宋" w:cs="仿宋"/>
          <w:color w:val="000000" w:themeColor="text1"/>
          <w:sz w:val="32"/>
          <w:szCs w:val="32"/>
          <w:highlight w:val="none"/>
          <w:lang w:val="en-US" w:eastAsia="zh-CN"/>
          <w14:textFill>
            <w14:solidFill>
              <w14:schemeClr w14:val="tx1"/>
            </w14:solidFill>
          </w14:textFill>
        </w:rPr>
        <w:t>中央</w:t>
      </w:r>
      <w:r>
        <w:rPr>
          <w:rFonts w:hint="eastAsia" w:ascii="仿宋" w:hAnsi="仿宋" w:eastAsia="仿宋" w:cs="仿宋"/>
          <w:color w:val="000000" w:themeColor="text1"/>
          <w:sz w:val="32"/>
          <w:szCs w:val="32"/>
          <w:highlight w:val="none"/>
          <w14:textFill>
            <w14:solidFill>
              <w14:schemeClr w14:val="tx1"/>
            </w14:solidFill>
          </w14:textFill>
        </w:rPr>
        <w:t>过紧日子要求</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压减</w:t>
      </w:r>
      <w:r>
        <w:rPr>
          <w:rFonts w:hint="eastAsia" w:ascii="仿宋" w:hAnsi="仿宋" w:eastAsia="仿宋" w:cs="仿宋"/>
          <w:color w:val="000000" w:themeColor="text1"/>
          <w:sz w:val="32"/>
          <w:szCs w:val="32"/>
          <w:highlight w:val="none"/>
          <w:lang w:val="en-US" w:eastAsia="zh-CN"/>
          <w14:textFill>
            <w14:solidFill>
              <w14:schemeClr w14:val="tx1"/>
            </w14:solidFill>
          </w14:textFill>
        </w:rPr>
        <w:t>基本办公经费</w:t>
      </w:r>
      <w:r>
        <w:rPr>
          <w:rFonts w:hint="eastAsia" w:ascii="仿宋" w:hAnsi="仿宋" w:eastAsia="仿宋" w:cs="仿宋"/>
          <w:color w:val="000000" w:themeColor="text1"/>
          <w:sz w:val="32"/>
          <w:szCs w:val="32"/>
          <w:highlight w:val="none"/>
          <w14:textFill>
            <w14:solidFill>
              <w14:schemeClr w14:val="tx1"/>
            </w14:solidFill>
          </w14:textFill>
        </w:rPr>
        <w:t>支出。</w:t>
      </w:r>
    </w:p>
    <w:p>
      <w:pPr>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2.55</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2.55</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2.55</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2.55</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529.88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92.14</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国家电影事业发展专项资金项目等</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中央转移支付</w:t>
      </w:r>
      <w:r>
        <w:rPr>
          <w:rFonts w:hint="eastAsia" w:ascii="仿宋" w:hAnsi="仿宋" w:eastAsia="仿宋" w:cs="仿宋"/>
          <w:color w:val="000000" w:themeColor="text1"/>
          <w:sz w:val="32"/>
          <w:szCs w:val="32"/>
          <w14:textFill>
            <w14:solidFill>
              <w14:schemeClr w14:val="tx1"/>
            </w14:solidFill>
          </w14:textFill>
        </w:rPr>
        <w:t>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56.44</w:t>
      </w:r>
      <w:r>
        <w:rPr>
          <w:rFonts w:hint="eastAsia" w:ascii="仿宋" w:hAnsi="仿宋" w:eastAsia="仿宋" w:cs="仿宋"/>
          <w:color w:val="000000" w:themeColor="text1"/>
          <w:sz w:val="32"/>
          <w:szCs w:val="32"/>
          <w14:textFill>
            <w14:solidFill>
              <w14:schemeClr w14:val="tx1"/>
            </w14:solidFill>
          </w14:textFill>
        </w:rPr>
        <w:t>万元，占</w:t>
      </w:r>
      <w:r>
        <w:rPr>
          <w:rFonts w:hint="eastAsia" w:ascii="仿宋" w:hAnsi="仿宋" w:eastAsia="仿宋" w:cs="仿宋"/>
          <w:color w:val="000000" w:themeColor="text1"/>
          <w:sz w:val="32"/>
          <w:szCs w:val="32"/>
          <w:lang w:val="en-US" w:eastAsia="zh-CN"/>
          <w14:textFill>
            <w14:solidFill>
              <w14:schemeClr w14:val="tx1"/>
            </w14:solidFill>
          </w14:textFill>
        </w:rPr>
        <w:t>中央转移支付</w:t>
      </w:r>
      <w:r>
        <w:rPr>
          <w:rFonts w:hint="eastAsia" w:ascii="仿宋" w:hAnsi="仿宋" w:eastAsia="仿宋" w:cs="仿宋"/>
          <w:color w:val="000000" w:themeColor="text1"/>
          <w:sz w:val="32"/>
          <w:szCs w:val="32"/>
          <w14:textFill>
            <w14:solidFill>
              <w14:schemeClr w14:val="tx1"/>
            </w14:solidFill>
          </w14:textFill>
        </w:rPr>
        <w:t>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经</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媒体合作经费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330.91</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所实施的项目支出金额大，涉及面广，保障中心工作全面落实等情况。其中媒体合作费项目因财力不足等原因，预算执行率为19.23%，</w:t>
      </w:r>
      <w:r>
        <w:rPr>
          <w:rFonts w:hint="eastAsia" w:ascii="仿宋_GB2312" w:hAnsi="仿宋_GB2312" w:eastAsia="仿宋_GB2312" w:cs="仿宋_GB2312"/>
          <w:color w:val="000000" w:themeColor="text1"/>
          <w:sz w:val="32"/>
          <w:szCs w:val="32"/>
          <w14:textFill>
            <w14:solidFill>
              <w14:schemeClr w14:val="tx1"/>
            </w14:solidFill>
          </w14:textFill>
        </w:rPr>
        <w:t>村综合文化服务中心覆盖工程建设经费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，因项目工期等原因，预算执行率为2.27%，全县党报党刊征订费用项目执行率为99.98%。对全年的工作起到很好的促进作用，推动各项任务目标在年内能够圆满完成</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经</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820.9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42.59</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本年各项工作经费都在年初实现了经费预算保障，支出金额已达到年初预算要求，年中临时增加的工作任务，均能够按照财政部门要求进行预算调整以及年中项目预算绩效追加，通过实施单位整体支出绩效评价，对单位履职尽责以及相关项目资金的使用，起到很好的监督和保障作用</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党报党刊征订经费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项目实施过程中未出现目标任务偏离或经费无保障等问题</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村综合文化服务中心覆盖工程建设经费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80.46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发行的主要问题及原因：一是项目进度未达标，无法在年内验收为确保资金安全，暂缓拨付资金；二是项目涉及面广，影响项目实施进度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媒体合作经费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83.81</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项目安排预算之后，前期准备工作不足，影响合同签订和履约</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项目验收条件较多，进度缓慢，影响资金拨付进度</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做好年初规划和前期筹备工作，在年初即启动合作计划并确定合作内容，完成签约，实施合作加快项目实施推进</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加强业务人员培训，做好材料验收与检查工作，提高验收效率，加强资金管理，尽快完成资金拨付，达到年初既定目标</w:t>
      </w:r>
      <w:r>
        <w:rPr>
          <w:rFonts w:hint="eastAsia" w:ascii="仿宋" w:hAnsi="仿宋" w:eastAsia="仿宋" w:cs="仿宋"/>
          <w:color w:val="000000" w:themeColor="text1"/>
          <w:sz w:val="32"/>
          <w:szCs w:val="32"/>
          <w14:textFill>
            <w14:solidFill>
              <w14:schemeClr w14:val="tx1"/>
            </w14:solidFill>
          </w14:textFill>
        </w:rPr>
        <w:t>。</w:t>
      </w:r>
    </w:p>
    <w:p>
      <w:pPr>
        <w:jc w:val="left"/>
        <w:rPr>
          <w:rFonts w:hint="eastAsia" w:ascii="仿宋" w:hAnsi="仿宋" w:eastAsia="仿宋" w:cs="仿宋"/>
          <w:color w:val="000000" w:themeColor="text1"/>
          <w:sz w:val="32"/>
          <w:szCs w:val="32"/>
          <w:highlight w:val="none"/>
          <w14:textFill>
            <w14:solidFill>
              <w14:schemeClr w14:val="tx1"/>
            </w14:solidFill>
          </w14:textFill>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984" w:right="1531" w:bottom="1417" w:left="1531"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BBC4331"/>
    <w:rsid w:val="0D100297"/>
    <w:rsid w:val="0D202B45"/>
    <w:rsid w:val="0F8D4C87"/>
    <w:rsid w:val="10505FAA"/>
    <w:rsid w:val="105F7E7E"/>
    <w:rsid w:val="11E56B5B"/>
    <w:rsid w:val="125C77AB"/>
    <w:rsid w:val="134C1F93"/>
    <w:rsid w:val="14CB726E"/>
    <w:rsid w:val="17E92249"/>
    <w:rsid w:val="18D304F1"/>
    <w:rsid w:val="19F32577"/>
    <w:rsid w:val="19F45B80"/>
    <w:rsid w:val="1B0C078D"/>
    <w:rsid w:val="1B2B31E2"/>
    <w:rsid w:val="1B4C295A"/>
    <w:rsid w:val="1B973C63"/>
    <w:rsid w:val="1BA1001E"/>
    <w:rsid w:val="1D317259"/>
    <w:rsid w:val="1D466E43"/>
    <w:rsid w:val="1E664F5B"/>
    <w:rsid w:val="1EB34BE1"/>
    <w:rsid w:val="215E639F"/>
    <w:rsid w:val="21EC3183"/>
    <w:rsid w:val="225E72CD"/>
    <w:rsid w:val="246E2F77"/>
    <w:rsid w:val="254B4E2B"/>
    <w:rsid w:val="27FA2D39"/>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565323C"/>
    <w:rsid w:val="36777241"/>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C8553A"/>
    <w:rsid w:val="508F4E24"/>
    <w:rsid w:val="51461E90"/>
    <w:rsid w:val="51463753"/>
    <w:rsid w:val="52553A93"/>
    <w:rsid w:val="53521F8B"/>
    <w:rsid w:val="53E22F47"/>
    <w:rsid w:val="54522FF8"/>
    <w:rsid w:val="55450629"/>
    <w:rsid w:val="56692963"/>
    <w:rsid w:val="568B0F48"/>
    <w:rsid w:val="5786217B"/>
    <w:rsid w:val="59337A15"/>
    <w:rsid w:val="59810274"/>
    <w:rsid w:val="5C5B0253"/>
    <w:rsid w:val="5CA96A00"/>
    <w:rsid w:val="5CF730BC"/>
    <w:rsid w:val="5E5F0DCE"/>
    <w:rsid w:val="5E6B5871"/>
    <w:rsid w:val="5FA40A7B"/>
    <w:rsid w:val="5FD56D29"/>
    <w:rsid w:val="5FEC7F3F"/>
    <w:rsid w:val="60F74BC3"/>
    <w:rsid w:val="617D3BF8"/>
    <w:rsid w:val="61841F6A"/>
    <w:rsid w:val="623007A9"/>
    <w:rsid w:val="637D7558"/>
    <w:rsid w:val="644F19AC"/>
    <w:rsid w:val="65AA4920"/>
    <w:rsid w:val="67694F1E"/>
    <w:rsid w:val="69597934"/>
    <w:rsid w:val="6B627EBE"/>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14.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820.9</c:v>
                </c:pt>
                <c:pt idx="1">
                  <c:v>42.59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对个人和家庭补助</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Sheet1!$A$2:$A$11</c:f>
              <c:numCache>
                <c:formatCode>General</c:formatCode>
                <c:ptCount val="10"/>
                <c:pt idx="0">
                  <c:v>30305</c:v>
                </c:pt>
                <c:pt idx="1">
                  <c:v>30399</c:v>
                </c:pt>
              </c:numCache>
            </c:numRef>
          </c:cat>
          <c:val>
            <c:numRef>
              <c:f>Sheet1!$B$2:$B$11</c:f>
              <c:numCache>
                <c:formatCode>General</c:formatCode>
                <c:ptCount val="10"/>
                <c:pt idx="0">
                  <c:v>11.38</c:v>
                </c:pt>
                <c:pt idx="1">
                  <c:v>0.31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0.26</c:v>
                </c:pt>
                <c:pt idx="1">
                  <c:v>0</c:v>
                </c:pt>
                <c:pt idx="2">
                  <c:v>0</c:v>
                </c:pt>
                <c:pt idx="3">
                  <c:v>0</c:v>
                </c:pt>
                <c:pt idx="4">
                  <c:v>0.06</c:v>
                </c:pt>
                <c:pt idx="5">
                  <c:v>0.93</c:v>
                </c:pt>
                <c:pt idx="6">
                  <c:v>2.8</c:v>
                </c:pt>
                <c:pt idx="7">
                  <c:v>0</c:v>
                </c:pt>
                <c:pt idx="8">
                  <c:v>0</c:v>
                </c:pt>
                <c:pt idx="9">
                  <c:v>5.02</c:v>
                </c:pt>
                <c:pt idx="10">
                  <c:v>0</c:v>
                </c:pt>
                <c:pt idx="12">
                  <c:v>0</c:v>
                </c:pt>
                <c:pt idx="15">
                  <c:v>0.06</c:v>
                </c:pt>
                <c:pt idx="16">
                  <c:v>0</c:v>
                </c:pt>
                <c:pt idx="17">
                  <c:v>0</c:v>
                </c:pt>
                <c:pt idx="18">
                  <c:v>0</c:v>
                </c:pt>
                <c:pt idx="20">
                  <c:v>0</c:v>
                </c:pt>
                <c:pt idx="21">
                  <c:v>3.64</c:v>
                </c:pt>
                <c:pt idx="22">
                  <c:v>0</c:v>
                </c:pt>
                <c:pt idx="23">
                  <c:v>0</c:v>
                </c:pt>
                <c:pt idx="24">
                  <c:v>8.07</c:v>
                </c:pt>
                <c:pt idx="2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支出决算图表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Sheet1!$A$2:$A$8</c:f>
              <c:strCache>
                <c:ptCount val="7"/>
                <c:pt idx="0">
                  <c:v>一般公共服务支出</c:v>
                </c:pt>
                <c:pt idx="1">
                  <c:v>文化旅游体育与传媒支出</c:v>
                </c:pt>
                <c:pt idx="2">
                  <c:v>社会保障和就业支出</c:v>
                </c:pt>
                <c:pt idx="3">
                  <c:v>住房保障支出</c:v>
                </c:pt>
                <c:pt idx="4">
                  <c:v>其他支出</c:v>
                </c:pt>
                <c:pt idx="5">
                  <c:v>城乡社区支出</c:v>
                </c:pt>
                <c:pt idx="6">
                  <c:v>卫生健康支出</c:v>
                </c:pt>
              </c:strCache>
            </c:strRef>
          </c:cat>
          <c:val>
            <c:numRef>
              <c:f>Sheet1!$B$2:$B$8</c:f>
              <c:numCache>
                <c:formatCode>General</c:formatCode>
                <c:ptCount val="7"/>
                <c:pt idx="0">
                  <c:v>880.01</c:v>
                </c:pt>
                <c:pt idx="1">
                  <c:v>132.32</c:v>
                </c:pt>
                <c:pt idx="2">
                  <c:v>30.26</c:v>
                </c:pt>
                <c:pt idx="3">
                  <c:v>22.81</c:v>
                </c:pt>
                <c:pt idx="4">
                  <c:v>59.21</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Sheet1!$A$2:$A$8</c:f>
              <c:strCache>
                <c:ptCount val="7"/>
                <c:pt idx="0">
                  <c:v>一般公共服务支出</c:v>
                </c:pt>
                <c:pt idx="1">
                  <c:v>文化旅游体育与传媒支出</c:v>
                </c:pt>
                <c:pt idx="2">
                  <c:v>社会保障和就业支出</c:v>
                </c:pt>
                <c:pt idx="3">
                  <c:v>住房保障支出</c:v>
                </c:pt>
                <c:pt idx="4">
                  <c:v>其他支出</c:v>
                </c:pt>
                <c:pt idx="5">
                  <c:v>城乡社区支出</c:v>
                </c:pt>
                <c:pt idx="6">
                  <c:v>卫生健康支出</c:v>
                </c:pt>
              </c:strCache>
            </c:strRef>
          </c:cat>
          <c:val>
            <c:numRef>
              <c:f>Sheet1!$C$2:$C$8</c:f>
              <c:numCache>
                <c:formatCode>General</c:formatCode>
                <c:ptCount val="7"/>
                <c:pt idx="0">
                  <c:v>654.45</c:v>
                </c:pt>
                <c:pt idx="1">
                  <c:v>72.47</c:v>
                </c:pt>
                <c:pt idx="2">
                  <c:v>27.36</c:v>
                </c:pt>
                <c:pt idx="3">
                  <c:v>20.51</c:v>
                </c:pt>
                <c:pt idx="4">
                  <c:v>45.02</c:v>
                </c:pt>
                <c:pt idx="5">
                  <c:v>29.99</c:v>
                </c:pt>
                <c:pt idx="6">
                  <c:v>13.69</c:v>
                </c:pt>
              </c:numCache>
            </c:numRef>
          </c:val>
        </c:ser>
        <c:dLbls>
          <c:showLegendKey val="0"/>
          <c:showVal val="1"/>
          <c:showCatName val="0"/>
          <c:showSerName val="0"/>
          <c:showPercent val="0"/>
          <c:showBubbleSize val="0"/>
        </c:dLbls>
        <c:gapWidth val="444"/>
        <c:overlap val="-90"/>
        <c:axId val="-172443552"/>
        <c:axId val="-172442464"/>
      </c:barChart>
      <c:catAx>
        <c:axId val="-172443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altLang="en-US" b="1"/>
              <a:t>一般公共服务支出</a:t>
            </a:r>
            <a:endParaRPr lang="en-US" altLang="zh-CN"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delete val="1"/>
          </c:dLbls>
          <c:cat>
            <c:numRef>
              <c:f>Sheet1!$A$2:$A$5</c:f>
              <c:numCache>
                <c:formatCode>General</c:formatCode>
                <c:ptCount val="4"/>
                <c:pt idx="0">
                  <c:v>2013301</c:v>
                </c:pt>
                <c:pt idx="1">
                  <c:v>2013399</c:v>
                </c:pt>
                <c:pt idx="2">
                  <c:v>2013350</c:v>
                </c:pt>
                <c:pt idx="3">
                  <c:v>2012999</c:v>
                </c:pt>
              </c:numCache>
            </c:numRef>
          </c:cat>
          <c:val>
            <c:numRef>
              <c:f>Sheet1!$B$2:$B$5</c:f>
              <c:numCache>
                <c:formatCode>General</c:formatCode>
                <c:ptCount val="4"/>
                <c:pt idx="0">
                  <c:v>192.97</c:v>
                </c:pt>
                <c:pt idx="1">
                  <c:v>512.74</c:v>
                </c:pt>
                <c:pt idx="2">
                  <c:v>0</c:v>
                </c:pt>
                <c:pt idx="3">
                  <c:v>3.64</c:v>
                </c:pt>
              </c:numCache>
            </c:numRef>
          </c:val>
        </c:ser>
        <c:ser>
          <c:idx val="1"/>
          <c:order val="1"/>
          <c:tx>
            <c:strRef>
              <c:f>Sheet1!$C$1</c:f>
              <c:strCache>
                <c:ptCount val="1"/>
                <c:pt idx="0">
                  <c:v>年底决算数</c:v>
                </c:pt>
              </c:strCache>
            </c:strRef>
          </c:tx>
          <c:spPr>
            <a:solidFill>
              <a:schemeClr val="accent2"/>
            </a:solidFill>
            <a:ln>
              <a:noFill/>
            </a:ln>
            <a:effectLst/>
          </c:spPr>
          <c:invertIfNegative val="0"/>
          <c:dLbls>
            <c:delete val="1"/>
          </c:dLbls>
          <c:cat>
            <c:numRef>
              <c:f>Sheet1!$A$2:$A$5</c:f>
              <c:numCache>
                <c:formatCode>General</c:formatCode>
                <c:ptCount val="4"/>
                <c:pt idx="0">
                  <c:v>2013301</c:v>
                </c:pt>
                <c:pt idx="1">
                  <c:v>2013399</c:v>
                </c:pt>
                <c:pt idx="2">
                  <c:v>2013350</c:v>
                </c:pt>
                <c:pt idx="3">
                  <c:v>2012999</c:v>
                </c:pt>
              </c:numCache>
            </c:numRef>
          </c:cat>
          <c:val>
            <c:numRef>
              <c:f>Sheet1!$C$2:$C$5</c:f>
              <c:numCache>
                <c:formatCode>General</c:formatCode>
                <c:ptCount val="4"/>
                <c:pt idx="0">
                  <c:v>201.69</c:v>
                </c:pt>
                <c:pt idx="1">
                  <c:v>448.67</c:v>
                </c:pt>
                <c:pt idx="2">
                  <c:v>0.45</c:v>
                </c:pt>
                <c:pt idx="3">
                  <c:v>3.64</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2013301</c:v>
                </c:pt>
                <c:pt idx="1">
                  <c:v>2013399</c:v>
                </c:pt>
                <c:pt idx="2">
                  <c:v>2013350</c:v>
                </c:pt>
                <c:pt idx="3">
                  <c:v>2012999</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88281113"/>
        <c:axId val="991991579"/>
      </c:barChart>
      <c:catAx>
        <c:axId val="788281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991991579"/>
        <c:crosses val="autoZero"/>
        <c:auto val="1"/>
        <c:lblAlgn val="ctr"/>
        <c:lblOffset val="100"/>
        <c:noMultiLvlLbl val="0"/>
      </c:catAx>
      <c:valAx>
        <c:axId val="9919915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8828111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altLang="en-US" b="1"/>
              <a:t>文化旅游体育与传媒支出</a:t>
            </a:r>
            <a:endParaRPr lang="en-US" altLang="zh-CN"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delete val="1"/>
          </c:dLbls>
          <c:cat>
            <c:numRef>
              <c:f>Sheet1!$A$2:$A$5</c:f>
              <c:numCache>
                <c:formatCode>General</c:formatCode>
                <c:ptCount val="4"/>
                <c:pt idx="0">
                  <c:v>2070199</c:v>
                </c:pt>
                <c:pt idx="1">
                  <c:v>2079999</c:v>
                </c:pt>
              </c:numCache>
            </c:numRef>
          </c:cat>
          <c:val>
            <c:numRef>
              <c:f>Sheet1!$B$2:$B$5</c:f>
              <c:numCache>
                <c:formatCode>General</c:formatCode>
                <c:ptCount val="4"/>
                <c:pt idx="0">
                  <c:v>0</c:v>
                </c:pt>
                <c:pt idx="1">
                  <c:v>70</c:v>
                </c:pt>
              </c:numCache>
            </c:numRef>
          </c:val>
        </c:ser>
        <c:ser>
          <c:idx val="1"/>
          <c:order val="1"/>
          <c:tx>
            <c:strRef>
              <c:f>Sheet1!$C$1</c:f>
              <c:strCache>
                <c:ptCount val="1"/>
                <c:pt idx="0">
                  <c:v>年底决算数</c:v>
                </c:pt>
              </c:strCache>
            </c:strRef>
          </c:tx>
          <c:spPr>
            <a:solidFill>
              <a:schemeClr val="accent2"/>
            </a:solidFill>
            <a:ln>
              <a:noFill/>
            </a:ln>
            <a:effectLst/>
          </c:spPr>
          <c:invertIfNegative val="0"/>
          <c:dLbls>
            <c:delete val="1"/>
          </c:dLbls>
          <c:cat>
            <c:numRef>
              <c:f>Sheet1!$A$2:$A$5</c:f>
              <c:numCache>
                <c:formatCode>General</c:formatCode>
                <c:ptCount val="4"/>
                <c:pt idx="0">
                  <c:v>2070199</c:v>
                </c:pt>
                <c:pt idx="1">
                  <c:v>2079999</c:v>
                </c:pt>
              </c:numCache>
            </c:numRef>
          </c:cat>
          <c:val>
            <c:numRef>
              <c:f>Sheet1!$C$2:$C$5</c:f>
              <c:numCache>
                <c:formatCode>General</c:formatCode>
                <c:ptCount val="4"/>
                <c:pt idx="0">
                  <c:v>35.24</c:v>
                </c:pt>
                <c:pt idx="1">
                  <c:v>24.63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2070199</c:v>
                </c:pt>
                <c:pt idx="1">
                  <c:v>2079999</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788281113"/>
        <c:axId val="991991579"/>
      </c:barChart>
      <c:catAx>
        <c:axId val="7882811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991991579"/>
        <c:crosses val="autoZero"/>
        <c:auto val="1"/>
        <c:lblAlgn val="ctr"/>
        <c:lblOffset val="100"/>
        <c:noMultiLvlLbl val="0"/>
      </c:catAx>
      <c:valAx>
        <c:axId val="9919915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788281113"/>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社会保障和就业支出</a:t>
            </a:r>
            <a:endParaRPr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delete val="1"/>
          </c:dLbls>
          <c:cat>
            <c:numRef>
              <c:f>Sheet1!$A$2:$A$5</c:f>
              <c:numCache>
                <c:formatCode>General</c:formatCode>
                <c:ptCount val="4"/>
                <c:pt idx="0">
                  <c:v>2080505</c:v>
                </c:pt>
              </c:numCache>
            </c:numRef>
          </c:cat>
          <c:val>
            <c:numRef>
              <c:f>Sheet1!$B$2:$B$5</c:f>
              <c:numCache>
                <c:formatCode>General</c:formatCode>
                <c:ptCount val="4"/>
                <c:pt idx="0">
                  <c:v>29.16</c:v>
                </c:pt>
              </c:numCache>
            </c:numRef>
          </c:val>
        </c:ser>
        <c:ser>
          <c:idx val="1"/>
          <c:order val="1"/>
          <c:tx>
            <c:strRef>
              <c:f>Sheet1!$C$1</c:f>
              <c:strCache>
                <c:ptCount val="1"/>
                <c:pt idx="0">
                  <c:v>年底决算</c:v>
                </c:pt>
              </c:strCache>
            </c:strRef>
          </c:tx>
          <c:spPr>
            <a:solidFill>
              <a:schemeClr val="accent2"/>
            </a:solidFill>
            <a:ln>
              <a:noFill/>
            </a:ln>
            <a:effectLst/>
          </c:spPr>
          <c:invertIfNegative val="0"/>
          <c:dLbls>
            <c:delete val="1"/>
          </c:dLbls>
          <c:cat>
            <c:numRef>
              <c:f>Sheet1!$A$2:$A$5</c:f>
              <c:numCache>
                <c:formatCode>General</c:formatCode>
                <c:ptCount val="4"/>
                <c:pt idx="0">
                  <c:v>2080505</c:v>
                </c:pt>
              </c:numCache>
            </c:numRef>
          </c:cat>
          <c:val>
            <c:numRef>
              <c:f>Sheet1!$C$2:$C$5</c:f>
              <c:numCache>
                <c:formatCode>General</c:formatCode>
                <c:ptCount val="4"/>
                <c:pt idx="0">
                  <c:v>27.36</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2080505</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10833846"/>
        <c:axId val="437194187"/>
      </c:barChart>
      <c:catAx>
        <c:axId val="310833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37194187"/>
        <c:crosses val="autoZero"/>
        <c:auto val="1"/>
        <c:lblAlgn val="ctr"/>
        <c:lblOffset val="100"/>
        <c:noMultiLvlLbl val="0"/>
      </c:catAx>
      <c:valAx>
        <c:axId val="437194187"/>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31083384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卫生健康支出</a:t>
            </a:r>
            <a:endParaRPr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delete val="1"/>
          </c:dLbls>
          <c:cat>
            <c:numRef>
              <c:f>Sheet1!$A$2:$A$5</c:f>
              <c:numCache>
                <c:formatCode>General</c:formatCode>
                <c:ptCount val="4"/>
                <c:pt idx="0">
                  <c:v>2100410</c:v>
                </c:pt>
              </c:numCache>
            </c:numRef>
          </c:cat>
          <c:val>
            <c:numRef>
              <c:f>Sheet1!$B$2:$B$5</c:f>
              <c:numCache>
                <c:formatCode>General</c:formatCode>
                <c:ptCount val="4"/>
                <c:pt idx="0">
                  <c:v>0</c:v>
                </c:pt>
              </c:numCache>
            </c:numRef>
          </c:val>
        </c:ser>
        <c:ser>
          <c:idx val="1"/>
          <c:order val="1"/>
          <c:tx>
            <c:strRef>
              <c:f>Sheet1!$C$1</c:f>
              <c:strCache>
                <c:ptCount val="1"/>
                <c:pt idx="0">
                  <c:v>年底决算</c:v>
                </c:pt>
              </c:strCache>
            </c:strRef>
          </c:tx>
          <c:spPr>
            <a:solidFill>
              <a:schemeClr val="accent2"/>
            </a:solidFill>
            <a:ln>
              <a:noFill/>
            </a:ln>
            <a:effectLst/>
          </c:spPr>
          <c:invertIfNegative val="0"/>
          <c:dLbls>
            <c:delete val="1"/>
          </c:dLbls>
          <c:cat>
            <c:numRef>
              <c:f>Sheet1!$A$2:$A$5</c:f>
              <c:numCache>
                <c:formatCode>General</c:formatCode>
                <c:ptCount val="4"/>
                <c:pt idx="0">
                  <c:v>2100410</c:v>
                </c:pt>
              </c:numCache>
            </c:numRef>
          </c:cat>
          <c:val>
            <c:numRef>
              <c:f>Sheet1!$C$2:$C$5</c:f>
              <c:numCache>
                <c:formatCode>General</c:formatCode>
                <c:ptCount val="4"/>
                <c:pt idx="0">
                  <c:v>13.69</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2100410</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10833846"/>
        <c:axId val="437194187"/>
      </c:barChart>
      <c:catAx>
        <c:axId val="310833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37194187"/>
        <c:crosses val="autoZero"/>
        <c:auto val="1"/>
        <c:lblAlgn val="ctr"/>
        <c:lblOffset val="100"/>
        <c:noMultiLvlLbl val="0"/>
      </c:catAx>
      <c:valAx>
        <c:axId val="437194187"/>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31083384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住房公积金支出</a:t>
            </a:r>
            <a:endParaRPr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delete val="1"/>
          </c:dLbls>
          <c:cat>
            <c:numRef>
              <c:f>Sheet1!$A$2:$A$5</c:f>
              <c:numCache>
                <c:formatCode>General</c:formatCode>
                <c:ptCount val="4"/>
                <c:pt idx="0">
                  <c:v>2210201</c:v>
                </c:pt>
              </c:numCache>
            </c:numRef>
          </c:cat>
          <c:val>
            <c:numRef>
              <c:f>Sheet1!$B$2:$B$5</c:f>
              <c:numCache>
                <c:formatCode>General</c:formatCode>
                <c:ptCount val="4"/>
                <c:pt idx="0">
                  <c:v>21.87</c:v>
                </c:pt>
              </c:numCache>
            </c:numRef>
          </c:val>
        </c:ser>
        <c:ser>
          <c:idx val="1"/>
          <c:order val="1"/>
          <c:tx>
            <c:strRef>
              <c:f>Sheet1!$C$1</c:f>
              <c:strCache>
                <c:ptCount val="1"/>
                <c:pt idx="0">
                  <c:v>年底决算</c:v>
                </c:pt>
              </c:strCache>
            </c:strRef>
          </c:tx>
          <c:spPr>
            <a:solidFill>
              <a:schemeClr val="accent2"/>
            </a:solidFill>
            <a:ln>
              <a:noFill/>
            </a:ln>
            <a:effectLst/>
          </c:spPr>
          <c:invertIfNegative val="0"/>
          <c:dLbls>
            <c:delete val="1"/>
          </c:dLbls>
          <c:cat>
            <c:numRef>
              <c:f>Sheet1!$A$2:$A$5</c:f>
              <c:numCache>
                <c:formatCode>General</c:formatCode>
                <c:ptCount val="4"/>
                <c:pt idx="0">
                  <c:v>2210201</c:v>
                </c:pt>
              </c:numCache>
            </c:numRef>
          </c:cat>
          <c:val>
            <c:numRef>
              <c:f>Sheet1!$C$2:$C$5</c:f>
              <c:numCache>
                <c:formatCode>General</c:formatCode>
                <c:ptCount val="4"/>
                <c:pt idx="0">
                  <c:v>20.52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2210201</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10833846"/>
        <c:axId val="437194187"/>
      </c:barChart>
      <c:catAx>
        <c:axId val="310833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37194187"/>
        <c:crosses val="autoZero"/>
        <c:auto val="1"/>
        <c:lblAlgn val="ctr"/>
        <c:lblOffset val="100"/>
        <c:noMultiLvlLbl val="0"/>
      </c:catAx>
      <c:valAx>
        <c:axId val="437194187"/>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31083384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manualLayout>
          <c:xMode val="edge"/>
          <c:yMode val="edge"/>
          <c:x val="0.3764375"/>
          <c:y val="0.921666666666667"/>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1"/>
              <a:t>其他支出</a:t>
            </a:r>
            <a:endParaRPr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delete val="1"/>
          </c:dLbls>
          <c:cat>
            <c:numRef>
              <c:f>Sheet1!$A$2:$A$5</c:f>
              <c:numCache>
                <c:formatCode>General</c:formatCode>
                <c:ptCount val="4"/>
                <c:pt idx="0">
                  <c:v>2299999</c:v>
                </c:pt>
              </c:numCache>
            </c:numRef>
          </c:cat>
          <c:val>
            <c:numRef>
              <c:f>Sheet1!$B$2:$B$5</c:f>
              <c:numCache>
                <c:formatCode>General</c:formatCode>
                <c:ptCount val="4"/>
                <c:pt idx="0">
                  <c:v>0</c:v>
                </c:pt>
              </c:numCache>
            </c:numRef>
          </c:val>
        </c:ser>
        <c:ser>
          <c:idx val="1"/>
          <c:order val="1"/>
          <c:tx>
            <c:strRef>
              <c:f>Sheet1!$C$1</c:f>
              <c:strCache>
                <c:ptCount val="1"/>
                <c:pt idx="0">
                  <c:v>年底决算</c:v>
                </c:pt>
              </c:strCache>
            </c:strRef>
          </c:tx>
          <c:spPr>
            <a:solidFill>
              <a:schemeClr val="accent2"/>
            </a:solidFill>
            <a:ln>
              <a:noFill/>
            </a:ln>
            <a:effectLst/>
          </c:spPr>
          <c:invertIfNegative val="0"/>
          <c:dLbls>
            <c:delete val="1"/>
          </c:dLbls>
          <c:cat>
            <c:numRef>
              <c:f>Sheet1!$A$2:$A$5</c:f>
              <c:numCache>
                <c:formatCode>General</c:formatCode>
                <c:ptCount val="4"/>
                <c:pt idx="0">
                  <c:v>2299999</c:v>
                </c:pt>
              </c:numCache>
            </c:numRef>
          </c:cat>
          <c:val>
            <c:numRef>
              <c:f>Sheet1!$C$2:$C$5</c:f>
              <c:numCache>
                <c:formatCode>General</c:formatCode>
                <c:ptCount val="4"/>
                <c:pt idx="0">
                  <c:v>45.02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2299999</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10833846"/>
        <c:axId val="437194187"/>
      </c:barChart>
      <c:catAx>
        <c:axId val="3108338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437194187"/>
        <c:crosses val="autoZero"/>
        <c:auto val="1"/>
        <c:lblAlgn val="ctr"/>
        <c:lblOffset val="100"/>
        <c:noMultiLvlLbl val="0"/>
      </c:catAx>
      <c:valAx>
        <c:axId val="437194187"/>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31083384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manualLayout>
          <c:xMode val="edge"/>
          <c:yMode val="edge"/>
          <c:x val="0.3764375"/>
          <c:y val="0.921666666666667"/>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Sheet1!$A$2:$A$11</c:f>
              <c:numCache>
                <c:formatCode>General</c:formatCode>
                <c:ptCount val="10"/>
                <c:pt idx="0">
                  <c:v>30101</c:v>
                </c:pt>
                <c:pt idx="1">
                  <c:v>30102</c:v>
                </c:pt>
                <c:pt idx="2">
                  <c:v>30103</c:v>
                </c:pt>
                <c:pt idx="3">
                  <c:v>30107</c:v>
                </c:pt>
                <c:pt idx="4">
                  <c:v>30108</c:v>
                </c:pt>
                <c:pt idx="5">
                  <c:v>30110</c:v>
                </c:pt>
                <c:pt idx="6">
                  <c:v>30112</c:v>
                </c:pt>
                <c:pt idx="7">
                  <c:v>30113</c:v>
                </c:pt>
              </c:numCache>
            </c:numRef>
          </c:cat>
          <c:val>
            <c:numRef>
              <c:f>Sheet1!$B$2:$B$11</c:f>
              <c:numCache>
                <c:formatCode>General</c:formatCode>
                <c:ptCount val="10"/>
                <c:pt idx="0">
                  <c:v>69.46</c:v>
                </c:pt>
                <c:pt idx="1">
                  <c:v>26.36</c:v>
                </c:pt>
                <c:pt idx="2">
                  <c:v>87.44</c:v>
                </c:pt>
                <c:pt idx="3">
                  <c:v>15.71</c:v>
                </c:pt>
                <c:pt idx="4">
                  <c:v>27.36</c:v>
                </c:pt>
                <c:pt idx="5">
                  <c:v>11</c:v>
                </c:pt>
                <c:pt idx="6">
                  <c:v>0.62</c:v>
                </c:pt>
                <c:pt idx="7">
                  <c:v>20.52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2023-11-15T10:21:00Z</cp:lastPrinted>
  <dcterms:modified xsi:type="dcterms:W3CDTF">2024-12-30T03:53:13Z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