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环江毛南族自治县爱山林业试验场</w:t>
      </w: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黑体" w:eastAsia="黑体" w:cs="黑体"/>
          <w:kern w:val="0"/>
          <w:sz w:val="44"/>
          <w:szCs w:val="44"/>
        </w:rPr>
      </w:pPr>
      <w:r>
        <w:rPr>
          <w:rFonts w:hint="eastAsia" w:ascii="黑体" w:eastAsia="黑体" w:cs="黑体"/>
          <w:kern w:val="0"/>
          <w:sz w:val="44"/>
          <w:szCs w:val="44"/>
        </w:rPr>
        <w:br w:type="page"/>
      </w: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第一部分：环江毛南族自治县爱山林业试验场概况</w:t>
      </w:r>
    </w:p>
    <w:p>
      <w:pPr>
        <w:spacing w:line="560" w:lineRule="exact"/>
        <w:ind w:left="645"/>
        <w:rPr>
          <w:rFonts w:hint="eastAsia" w:ascii="仿宋_GB2312" w:eastAsia="仿宋_GB2312"/>
          <w:sz w:val="32"/>
          <w:szCs w:val="32"/>
        </w:rPr>
      </w:pPr>
      <w:r>
        <w:rPr>
          <w:rFonts w:hint="eastAsia" w:ascii="仿宋_GB2312" w:eastAsia="仿宋_GB2312"/>
          <w:sz w:val="32"/>
          <w:szCs w:val="32"/>
        </w:rPr>
        <w:t>一、主要职能</w:t>
      </w:r>
    </w:p>
    <w:p>
      <w:pPr>
        <w:spacing w:line="560" w:lineRule="exact"/>
        <w:ind w:left="645"/>
        <w:rPr>
          <w:rFonts w:hint="eastAsia" w:ascii="仿宋_GB2312" w:eastAsia="仿宋_GB2312"/>
          <w:sz w:val="32"/>
          <w:szCs w:val="32"/>
        </w:rPr>
      </w:pPr>
      <w:r>
        <w:rPr>
          <w:rFonts w:hint="eastAsia" w:ascii="仿宋_GB2312" w:eastAsia="仿宋_GB2312"/>
          <w:sz w:val="32"/>
          <w:szCs w:val="32"/>
        </w:rPr>
        <w:t>二、部门决算单位构成</w:t>
      </w:r>
    </w:p>
    <w:p>
      <w:pPr>
        <w:spacing w:line="560" w:lineRule="exact"/>
        <w:ind w:left="645"/>
        <w:rPr>
          <w:rFonts w:hint="eastAsia" w:ascii="黑体" w:hAnsi="黑体" w:eastAsia="黑体"/>
          <w:sz w:val="32"/>
          <w:szCs w:val="32"/>
        </w:rPr>
      </w:pPr>
      <w:r>
        <w:rPr>
          <w:rFonts w:hint="eastAsia" w:ascii="黑体" w:hAnsi="黑体" w:eastAsia="黑体"/>
          <w:sz w:val="32"/>
          <w:szCs w:val="32"/>
        </w:rPr>
        <w:t>第二部分：环江毛南族自治县爱山林业试验场202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第三部分：环江毛南族自治县爱山林业试验场202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第一部分：环江毛南族自治县爱山林业试验场概况</w:t>
      </w: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spacing w:line="560" w:lineRule="exact"/>
        <w:ind w:firstLine="646"/>
        <w:rPr>
          <w:rFonts w:hint="eastAsia" w:ascii="仿宋_GB2312" w:eastAsia="仿宋_GB2312"/>
          <w:sz w:val="32"/>
          <w:szCs w:val="32"/>
        </w:rPr>
      </w:pPr>
      <w:r>
        <w:rPr>
          <w:rFonts w:hint="eastAsia" w:ascii="仿宋_GB2312" w:eastAsia="仿宋_GB2312"/>
          <w:sz w:val="32"/>
          <w:szCs w:val="32"/>
        </w:rPr>
        <w:t>(一)负责贯彻执行国家有关林业的方针政策和法律法规，保护培育森林资源，维护国家生态安全。</w:t>
      </w:r>
    </w:p>
    <w:p>
      <w:pPr>
        <w:spacing w:line="560" w:lineRule="exact"/>
        <w:ind w:firstLine="646"/>
        <w:rPr>
          <w:rFonts w:hint="eastAsia" w:ascii="仿宋_GB2312" w:eastAsia="仿宋_GB2312"/>
          <w:sz w:val="32"/>
          <w:szCs w:val="32"/>
        </w:rPr>
      </w:pPr>
      <w:r>
        <w:rPr>
          <w:rFonts w:hint="eastAsia" w:ascii="仿宋_GB2312" w:eastAsia="仿宋_GB2312"/>
          <w:sz w:val="32"/>
          <w:szCs w:val="32"/>
        </w:rPr>
        <w:t>(二)负责制定国有林场中长期发展规划和年度计划并负责组织实施。开展资源调查、林业统计、林业资产核算和森林资源档案管理工作。</w:t>
      </w:r>
    </w:p>
    <w:p>
      <w:pPr>
        <w:spacing w:line="560" w:lineRule="exact"/>
        <w:ind w:firstLine="646"/>
        <w:rPr>
          <w:rFonts w:hint="eastAsia" w:ascii="仿宋_GB2312" w:eastAsia="仿宋_GB2312"/>
          <w:sz w:val="32"/>
          <w:szCs w:val="32"/>
        </w:rPr>
      </w:pPr>
      <w:r>
        <w:rPr>
          <w:rFonts w:hint="eastAsia" w:ascii="仿宋_GB2312" w:eastAsia="仿宋_GB2312"/>
          <w:sz w:val="32"/>
          <w:szCs w:val="32"/>
        </w:rPr>
        <w:t>(三)负责管护区域内的森林防火宣传及森林火灾扑救工作，确保国有森林资源不受损失。</w:t>
      </w:r>
    </w:p>
    <w:p>
      <w:pPr>
        <w:spacing w:line="560" w:lineRule="exact"/>
        <w:ind w:firstLine="646"/>
        <w:rPr>
          <w:rFonts w:hint="eastAsia" w:ascii="仿宋_GB2312" w:eastAsia="仿宋_GB2312"/>
          <w:sz w:val="32"/>
          <w:szCs w:val="32"/>
        </w:rPr>
      </w:pPr>
      <w:r>
        <w:rPr>
          <w:rFonts w:hint="eastAsia" w:ascii="仿宋_GB2312" w:eastAsia="仿宋_GB2312"/>
          <w:sz w:val="32"/>
          <w:szCs w:val="32"/>
        </w:rPr>
        <w:t>(四)负责管护区域内森林资源培育保护、野生动植物资源保护、林业有害生物防治工作。</w:t>
      </w:r>
    </w:p>
    <w:p>
      <w:pPr>
        <w:spacing w:line="560" w:lineRule="exact"/>
        <w:ind w:firstLine="646"/>
        <w:rPr>
          <w:rFonts w:hint="eastAsia" w:ascii="仿宋_GB2312" w:eastAsia="仿宋_GB2312"/>
          <w:sz w:val="32"/>
          <w:szCs w:val="32"/>
        </w:rPr>
      </w:pPr>
      <w:r>
        <w:rPr>
          <w:rFonts w:hint="eastAsia" w:ascii="仿宋_GB2312" w:eastAsia="仿宋_GB2312"/>
          <w:sz w:val="32"/>
          <w:szCs w:val="32"/>
        </w:rPr>
        <w:t>(五)依据国家和自治区相关的管理规定，做好辖区内重点公益林管理工作。负责林场森林资源保护管理情况的考核。</w:t>
      </w:r>
    </w:p>
    <w:p>
      <w:pPr>
        <w:spacing w:line="560" w:lineRule="exact"/>
        <w:ind w:firstLine="646"/>
        <w:rPr>
          <w:rFonts w:hint="eastAsia" w:ascii="仿宋_GB2312" w:eastAsia="仿宋_GB2312"/>
          <w:sz w:val="32"/>
          <w:szCs w:val="32"/>
        </w:rPr>
      </w:pPr>
      <w:r>
        <w:rPr>
          <w:rFonts w:hint="eastAsia" w:ascii="仿宋_GB2312" w:eastAsia="仿宋_GB2312"/>
          <w:sz w:val="32"/>
          <w:szCs w:val="32"/>
        </w:rPr>
        <w:t>(六)负责林场林木、林产品和其他产品管理。</w:t>
      </w:r>
    </w:p>
    <w:p>
      <w:pPr>
        <w:spacing w:line="560" w:lineRule="exact"/>
        <w:ind w:firstLine="646"/>
        <w:rPr>
          <w:rFonts w:hint="eastAsia" w:ascii="仿宋_GB2312" w:eastAsia="仿宋_GB2312"/>
          <w:sz w:val="32"/>
          <w:szCs w:val="32"/>
        </w:rPr>
      </w:pPr>
      <w:r>
        <w:rPr>
          <w:rFonts w:hint="eastAsia" w:ascii="仿宋_GB2312" w:eastAsia="仿宋_GB2312"/>
          <w:sz w:val="32"/>
          <w:szCs w:val="32"/>
        </w:rPr>
        <w:t>(七)负责林场社会事务管理工作，确保林区社会安全稳定。</w:t>
      </w:r>
    </w:p>
    <w:p>
      <w:pPr>
        <w:spacing w:line="560" w:lineRule="exact"/>
        <w:ind w:firstLine="646"/>
        <w:rPr>
          <w:rFonts w:hint="eastAsia" w:ascii="仿宋_GB2312" w:eastAsia="仿宋_GB2312"/>
          <w:sz w:val="32"/>
          <w:szCs w:val="32"/>
        </w:rPr>
      </w:pPr>
      <w:r>
        <w:rPr>
          <w:rFonts w:hint="eastAsia" w:ascii="仿宋_GB2312" w:eastAsia="仿宋_GB2312"/>
          <w:sz w:val="32"/>
          <w:szCs w:val="32"/>
        </w:rPr>
        <w:t>(八)承办县委、县政府及上级主管部门交办的其他事项。</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爱山林业试验场设3个内设机构：办公室、营林绿化股、护林防火股。核定财政全额拨款事业编制9名，退休人员24名。具体情况如下表：</w:t>
      </w:r>
    </w:p>
    <w:p>
      <w:pPr>
        <w:ind w:firstLine="640" w:firstLineChars="200"/>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单位：人</w:t>
      </w:r>
    </w:p>
    <w:tbl>
      <w:tblPr>
        <w:tblStyle w:val="4"/>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583"/>
        <w:gridCol w:w="857"/>
        <w:gridCol w:w="1646"/>
        <w:gridCol w:w="874"/>
        <w:gridCol w:w="1748"/>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vMerge w:val="restart"/>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项目</w:t>
            </w:r>
          </w:p>
        </w:tc>
        <w:tc>
          <w:tcPr>
            <w:tcW w:w="583" w:type="dxa"/>
            <w:vMerge w:val="restart"/>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合计</w:t>
            </w:r>
          </w:p>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857" w:type="dxa"/>
            <w:vMerge w:val="restart"/>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行政单位</w:t>
            </w:r>
          </w:p>
        </w:tc>
        <w:tc>
          <w:tcPr>
            <w:tcW w:w="2520" w:type="dxa"/>
            <w:gridSpan w:val="2"/>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财政拨款事业单位</w:t>
            </w:r>
          </w:p>
        </w:tc>
        <w:tc>
          <w:tcPr>
            <w:tcW w:w="1748" w:type="dxa"/>
            <w:vMerge w:val="restart"/>
            <w:vAlign w:val="top"/>
          </w:tcPr>
          <w:p>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sz w:val="32"/>
                <w:szCs w:val="32"/>
                <w:highlight w:val="none"/>
                <w:vertAlign w:val="baseline"/>
                <w:lang w:val="en-US" w:eastAsia="zh-CN"/>
              </w:rPr>
              <w:t>财政补助事业单位</w:t>
            </w:r>
          </w:p>
        </w:tc>
        <w:tc>
          <w:tcPr>
            <w:tcW w:w="1029" w:type="dxa"/>
            <w:vMerge w:val="restart"/>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sz w:val="32"/>
                <w:szCs w:val="32"/>
                <w:highlight w:val="none"/>
                <w:vertAlign w:val="baseline"/>
                <w:lang w:val="en-US" w:eastAsia="zh-CN"/>
              </w:rPr>
              <w:t>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vMerge w:val="continue"/>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583" w:type="dxa"/>
            <w:vMerge w:val="continue"/>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p>
        </w:tc>
        <w:tc>
          <w:tcPr>
            <w:tcW w:w="857"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参（依）照公管理</w:t>
            </w:r>
          </w:p>
        </w:tc>
        <w:tc>
          <w:tcPr>
            <w:tcW w:w="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其他</w:t>
            </w:r>
          </w:p>
        </w:tc>
        <w:tc>
          <w:tcPr>
            <w:tcW w:w="1748" w:type="dxa"/>
            <w:vMerge w:val="continue"/>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p>
        </w:tc>
        <w:tc>
          <w:tcPr>
            <w:tcW w:w="1029" w:type="dxa"/>
            <w:vMerge w:val="continue"/>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编制数</w:t>
            </w:r>
          </w:p>
        </w:tc>
        <w:tc>
          <w:tcPr>
            <w:tcW w:w="58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在职人数</w:t>
            </w:r>
          </w:p>
        </w:tc>
        <w:tc>
          <w:tcPr>
            <w:tcW w:w="58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其中：在岗人数</w:t>
            </w:r>
          </w:p>
        </w:tc>
        <w:tc>
          <w:tcPr>
            <w:tcW w:w="58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9</w:t>
            </w: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离退休人数</w:t>
            </w:r>
          </w:p>
        </w:tc>
        <w:tc>
          <w:tcPr>
            <w:tcW w:w="58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其中：离休人数</w:t>
            </w:r>
          </w:p>
        </w:tc>
        <w:tc>
          <w:tcPr>
            <w:tcW w:w="583"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退休人数</w:t>
            </w:r>
          </w:p>
        </w:tc>
        <w:tc>
          <w:tcPr>
            <w:tcW w:w="583"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857"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646"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874"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c>
          <w:tcPr>
            <w:tcW w:w="1748" w:type="dxa"/>
          </w:tcPr>
          <w:p>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25</w:t>
            </w:r>
          </w:p>
        </w:tc>
        <w:tc>
          <w:tcPr>
            <w:tcW w:w="102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p>
        </w:tc>
      </w:tr>
    </w:tbl>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ind w:firstLine="645"/>
        <w:rPr>
          <w:rFonts w:hint="eastAsia" w:ascii="仿宋_GB2312" w:eastAsia="仿宋_GB2312"/>
          <w:sz w:val="32"/>
          <w:szCs w:val="32"/>
        </w:rPr>
      </w:pPr>
    </w:p>
    <w:p>
      <w:pPr>
        <w:jc w:val="center"/>
        <w:rPr>
          <w:rFonts w:hint="eastAsia"/>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hint="eastAsia" w:ascii="仿宋_GB2312" w:eastAsia="仿宋_GB2312"/>
          <w:b/>
          <w:sz w:val="32"/>
          <w:szCs w:val="32"/>
        </w:rPr>
      </w:pPr>
      <w:r>
        <w:rPr>
          <w:rFonts w:hint="eastAsia" w:ascii="仿宋_GB2312" w:eastAsia="仿宋_GB2312"/>
          <w:b/>
          <w:sz w:val="32"/>
          <w:szCs w:val="32"/>
        </w:rPr>
        <w:br w:type="page"/>
      </w:r>
    </w:p>
    <w:p>
      <w:pPr>
        <w:jc w:val="both"/>
        <w:rPr>
          <w:rFonts w:hint="eastAsia" w:ascii="仿宋_GB2312" w:eastAsia="仿宋_GB2312"/>
          <w:b/>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第二部分：环江毛南族自治县爱山林业试验场概况</w:t>
      </w:r>
    </w:p>
    <w:p>
      <w:pPr>
        <w:spacing w:line="560" w:lineRule="exact"/>
        <w:jc w:val="center"/>
        <w:rPr>
          <w:rFonts w:hint="eastAsia"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jc w:val="center"/>
        <w:rPr>
          <w:rFonts w:hint="eastAsia" w:ascii="黑体" w:hAnsi="黑体" w:eastAsia="黑体"/>
          <w:sz w:val="32"/>
          <w:szCs w:val="32"/>
        </w:rPr>
      </w:pPr>
    </w:p>
    <w:p>
      <w:pPr>
        <w:spacing w:line="560" w:lineRule="exact"/>
        <w:jc w:val="center"/>
        <w:rPr>
          <w:rFonts w:hint="eastAsia" w:ascii="黑体" w:hAnsi="黑体" w:eastAsia="黑体"/>
          <w:sz w:val="32"/>
          <w:szCs w:val="32"/>
        </w:rPr>
      </w:pPr>
    </w:p>
    <w:p>
      <w:pPr>
        <w:spacing w:line="560" w:lineRule="exact"/>
        <w:jc w:val="center"/>
        <w:rPr>
          <w:rFonts w:hint="eastAsia" w:ascii="黑体" w:hAnsi="黑体" w:eastAsia="黑体"/>
          <w:sz w:val="32"/>
          <w:szCs w:val="32"/>
        </w:rPr>
      </w:pPr>
    </w:p>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收入支出决算总表</w:t>
      </w:r>
    </w:p>
    <w:tbl>
      <w:tblPr>
        <w:tblStyle w:val="3"/>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1"/>
        <w:gridCol w:w="558"/>
        <w:gridCol w:w="1569"/>
        <w:gridCol w:w="2761"/>
        <w:gridCol w:w="555"/>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41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88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1,280,879.23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2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276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9299"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9299"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spacing w:line="560" w:lineRule="exact"/>
        <w:jc w:val="center"/>
        <w:rPr>
          <w:rFonts w:hint="eastAsia"/>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sectPr>
          <w:footerReference r:id="rId3" w:type="default"/>
          <w:footerReference r:id="rId4" w:type="even"/>
          <w:pgSz w:w="11906" w:h="16838"/>
          <w:pgMar w:top="1701" w:right="1474" w:bottom="1247" w:left="1587" w:header="851" w:footer="992" w:gutter="0"/>
          <w:cols w:space="720" w:num="1"/>
          <w:docGrid w:type="lines" w:linePitch="312"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3857"/>
        <w:gridCol w:w="1727"/>
        <w:gridCol w:w="1727"/>
        <w:gridCol w:w="1154"/>
        <w:gridCol w:w="1154"/>
        <w:gridCol w:w="1154"/>
        <w:gridCol w:w="1154"/>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收入决算表 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6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72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2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1,748,277.23</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1,748,277.23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2130204</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事业机构</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1,279,379.23</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1,279,379.23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4057"/>
        <w:gridCol w:w="1814"/>
        <w:gridCol w:w="1814"/>
        <w:gridCol w:w="1696"/>
        <w:gridCol w:w="1210"/>
        <w:gridCol w:w="1210"/>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4"/>
                <w:szCs w:val="44"/>
                <w:u w:val="none"/>
                <w:lang w:val="en-US" w:eastAsia="zh-CN" w:bidi="ar"/>
              </w:rPr>
              <w:t>支出决算表 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3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1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1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1,748,277.23</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1,299,299.06</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448,978.17</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2130204</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事业机构</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1,279,379.23</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1,022,679.81</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256,699.42</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51,058.33</w:t>
            </w:r>
          </w:p>
        </w:tc>
        <w:tc>
          <w:tcPr>
            <w:tcW w:w="6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132,278.75</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91"/>
        <w:gridCol w:w="1579"/>
        <w:gridCol w:w="3516"/>
        <w:gridCol w:w="491"/>
        <w:gridCol w:w="1536"/>
        <w:gridCol w:w="1574"/>
        <w:gridCol w:w="1038"/>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财政拨款收入支出决算总表 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75"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1,280,879.23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1,280,879.23</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12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1,748,277.23</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1"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378" w:type="pct"/>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tbl>
      <w:tblPr>
        <w:tblStyle w:val="3"/>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4651"/>
        <w:gridCol w:w="2831"/>
        <w:gridCol w:w="2757"/>
        <w:gridCol w:w="3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47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一般公共预算财政拨款支出决算表 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1,748,277.23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1,299,299.06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448,978.17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1,279,379.23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1,022,679.81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256,699.42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183,337.08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51,058.33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959"/>
        <w:gridCol w:w="1312"/>
        <w:gridCol w:w="784"/>
        <w:gridCol w:w="1930"/>
        <w:gridCol w:w="1038"/>
        <w:gridCol w:w="671"/>
        <w:gridCol w:w="3696"/>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一般公共预算财政拨款基本支出决算明细表 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751"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48"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984,698.44</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38,316.02</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335,317.00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3,057.60</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34,880.00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170,620.33</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179,886.00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592.14</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118,079.84</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3,255.37</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4,108.83</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50,876.12</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6,474.15</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8,984.00</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88,565.00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276,284.60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272,884.60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17,416.08</w:t>
            </w: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1,260,983.04</w:t>
            </w:r>
          </w:p>
        </w:tc>
        <w:tc>
          <w:tcPr>
            <w:tcW w:w="2877"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1"/>
        <w:gridCol w:w="2015"/>
        <w:gridCol w:w="1946"/>
        <w:gridCol w:w="1946"/>
        <w:gridCol w:w="1946"/>
        <w:gridCol w:w="1946"/>
        <w:gridCol w:w="1946"/>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0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政府性基金预算财政拨款收入支出决算表 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spacing w:line="560" w:lineRule="exact"/>
        <w:rPr>
          <w:rFonts w:hint="eastAsia" w:ascii="仿宋_GB2312" w:eastAsia="仿宋_GB2312"/>
          <w:b/>
          <w:sz w:val="32"/>
          <w:szCs w:val="32"/>
        </w:rPr>
        <w:sectPr>
          <w:pgSz w:w="16838" w:h="11906" w:orient="landscape"/>
          <w:pgMar w:top="1587" w:right="1701" w:bottom="1247" w:left="1247" w:header="851" w:footer="992" w:gutter="0"/>
          <w:cols w:space="720" w:num="1"/>
          <w:docGrid w:type="lines" w:linePitch="312" w:charSpace="0"/>
        </w:sectPr>
      </w:pPr>
    </w:p>
    <w:tbl>
      <w:tblPr>
        <w:tblStyle w:val="3"/>
        <w:tblW w:w="12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2191"/>
        <w:gridCol w:w="2714"/>
        <w:gridCol w:w="2714"/>
        <w:gridCol w:w="3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16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国有资本经营预算财政拨款支出决算表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spacing w:line="560" w:lineRule="exact"/>
        <w:rPr>
          <w:rFonts w:hint="eastAsia" w:ascii="仿宋_GB2312" w:eastAsia="仿宋_GB2312"/>
          <w:b/>
          <w:sz w:val="32"/>
          <w:szCs w:val="32"/>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73"/>
        <w:gridCol w:w="1174"/>
        <w:gridCol w:w="1174"/>
        <w:gridCol w:w="1176"/>
        <w:gridCol w:w="1185"/>
        <w:gridCol w:w="1174"/>
        <w:gridCol w:w="1174"/>
        <w:gridCol w:w="1174"/>
        <w:gridCol w:w="1174"/>
        <w:gridCol w:w="1176"/>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36"/>
                <w:szCs w:val="36"/>
                <w:u w:val="none"/>
                <w:lang w:val="en-US" w:eastAsia="zh-CN" w:bidi="ar"/>
              </w:rPr>
              <w:t>财政拨款“三公”经费支出决算表 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第三部分：环江毛南族自治县爱山林业试验场202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（一）本部门2023年度总收入174.82万元，其中本年收入 174.82万元, 较2022年度决算数增加-7.83万元，增长-4.28 %。收入具体情况如下。</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1.一般公共预算财政拨款收入174.82万元，为自治区本级财政当年拨付的资金。较2022年度决算数增加-7.83万元，增长 -4.28 %，主要原因是正常变动。</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2.政府性基金预算财政拨款收入0万元，为自治区本级财政当年拨付的资金。较2022年度决算数增加（减少）0万元，增长（下降） 0 %，主要原因是本单位无政府性基金预算财政拨款收入。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3.国有资本经营预算财政拨款收入0万元，为自治区本级财政当年拨付的资金。较2022年度决算数增加（减少）0万元，增长（下降）0 %，主要原因是本单位无国有资本经营预算财政拨款收入。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4.事业收入0万元，为事业单位开展业务活动取得的收入。较2022年度决算数增加（减少）0万元，增长（下降）0 %，主要原因是本单位无事业收入。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5.经营收入0万元，为事业单位在业务活动之外开展非独立核算经营活动取得的收入。较2022年度决算数增加（减少）0万元，增长（下降）0 %，主要原因是本单位无经营收入。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6.其他收入0万元，为预算单位在“财政拨款收入”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“事业收入”“经营收入”之外取得的收入。如：较2022年度决算数增加（减少）0万元，增长（下降）0 %，主要原因是本单位无其他收入。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使用非财政拨款结余0万元，主要是所属事业单位在当年的“财政拨款收入”“事业收入”“经营收入”及“其他收入”不能保证其支出的情况下，使用以前年度积累的非财政拨款结余弥补本年度收支缺口的资金。较2022年度决算数增加（减少）0万元，增长（下降）0 %，主要原因是本单位无使用非财政拨款结余。</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上年结转和结余0万元，为以前年度支出预算因客观条件变化未执行完毕、结转到本年度按有关规定继续使用的资金。较2022年度决算数增加（减少）0万元，增长（下降）0 %，主要原因是本单位无上年结转和结余。</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（二）本部门2023年度总支出174.82万元，其中本年支出 174.82万元, 较2022年度决算数增加-7.83万元，增长-4.28 %。支出具体情况如下：</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1.一般公共服务支出（类）1.74万元：主要用于2023年职工下乡开展扶贫工作差旅费。较2022年度决算数增加2.4万元，减增加8%，原因：正常变动。 </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2.社会保障和就业支出（类）11.8万元，主要用于本部门机关事业单位基本养老保险缴费支出，较2022年度决算数减少0.22万元，减少1.7%，主要原因是养老基数变动。</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3.农林水支出（类）148.28万元，主要用于本部门事业机构运行、森林资源培育。较2022年度决算数增加31.69万元，增加27 %，主要正常变动。</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4.住房保障支出（类）8.85万元，主要用于按照国家政策规定向职工发放的住房公积金、提租补贴、购房补贴等住房改革方面的支出。较2022年度决算数增加1万元，增加11.4 %，主要原因是正常变动。</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5.其他支出（类）4.1万元，主要用于年度绩效考评奖支出。较2022年度决算数增加-15.33万元，增加21%，主要原因是功能分类科目调整。</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6.结余分配0万元，为事业单位按规定提取的专用结余、缴纳所得税和转入非财政拨款结余等。较2022年度决算数增加（减少）0万元，增长（下降）0 %，主要原因是本单位无结余分配。</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rPr>
      </w:pPr>
      <w:r>
        <w:rPr>
          <w:rFonts w:hint="eastAsia" w:ascii="仿宋_GB2312" w:hAnsi="仿宋" w:eastAsia="仿宋_GB2312" w:cs="Times New Roman"/>
          <w:sz w:val="32"/>
          <w:szCs w:val="32"/>
          <w:lang w:val="en-US" w:eastAsia="zh-CN"/>
        </w:rPr>
        <w:t>7.年末结转和结余0万元，为本年度或以前年度预算安排、因客观条件发生变化无法按原计划实施，需要延迟到以后年度按有关规定继续使用的资金。较2022年度决算数增加（减少） 0 万元，增长（下降） 0 %，主要原因是本单位无年末结转和结余。</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2023年度一般公共预算财政拨款支出 174.82万元，较2022年度决算数增加-7.83万元，增长 -4.28%。其中：基本支出129.3万元，项目支出44.9万元。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2023年度一般公共预算财政拨款支出年初预算为174.82万元，支出决算为174.82万元，完成年初预算的100 %。</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（一）一般公共服务支出（类）年初预算为1.5万元，支出决算为1.74万元，完成年初预算的100 %。主要用于2023年职工下乡开展扶贫工作差旅费。</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（二）社会保障和就业支出（类）年初预算为12.01万元，支出决算为11.8万元，完成年初预算的100 %。主要用于部门机关事业单位基本养老保险缴费支出。</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（三）农林水支出（类）年初预算为148万元，支出决算为148万元，完成年初预算的100%。主要用于事业机构运行、森林资源培育的支出。</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（四）住房保障支出（类）年初预算为8.85万元，支出决算为8.85万元，完成年初预算的 100%。主要用于本部门及所属事业单位按规定的比例计缴的住房公积金。</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 其他支出（类）年初预算为0万元，支出决算为4.1万元，完成年初预算的100%。主要用于发放年度绩效考评奖。</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2023年度一般公共预算财政拨款基本支出174.82万元，支出具体情况如下：</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（一）工资福利支出111.7万元，完成年初预算的 100%。预决算差异主要是：发放的绩效考评奖和伙食补助费在工资福利支出中核算。</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（二）商品和服务支出29.5万元，完成年初预算的100 %。预决算差异主要是：年度考核评为优秀给予嘉奖奖金，调剂指标在工资福利支出中核算。</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（三）对个人和家庭的补助27.63万元，完成年初预算的  100%。预决算差异主要是：支付退休人员病故抚恤金。</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（四）资本性支出：6万元，完成年初预算的 100 %。预决算差异主要是：支付管护用房项目费用。</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黑体" w:eastAsia="仿宋_GB2312"/>
          <w:bCs/>
          <w:color w:val="000000"/>
          <w:sz w:val="32"/>
          <w:szCs w:val="32"/>
          <w:u w:val="none"/>
        </w:rPr>
        <w:t xml:space="preserve"> </w:t>
      </w:r>
      <w:r>
        <w:rPr>
          <w:rFonts w:hint="eastAsia" w:ascii="仿宋_GB2312" w:hAnsi="仿宋" w:eastAsia="仿宋_GB2312" w:cs="Times New Roman"/>
          <w:sz w:val="32"/>
          <w:szCs w:val="32"/>
          <w:lang w:val="en-US" w:eastAsia="zh-CN"/>
        </w:rPr>
        <w:t>2023年度政府性基金支出0万元，较2022年度决算数增加（减少）0万元，增长（下降）0 %。其中：基本支出0万元，项目支出0万元。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2022 年度政府性基金支出年初预算为0万元，支出决算为  0万元，完成年初预算的0 %。2023年本单位无政府性基金收入支出项目。</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atLeast"/>
        <w:ind w:left="0" w:leftChars="0" w:firstLine="420" w:firstLineChars="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2023年度国有资本经营预算支出决算情况</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2023年度国有资本经营预算支出0万元。其中：基本支出0万元，项目支出0万元。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eastAsia="仿宋_GB2312" w:cs="仿宋_GB2312"/>
          <w:kern w:val="0"/>
          <w:sz w:val="32"/>
          <w:szCs w:val="32"/>
        </w:rPr>
      </w:pPr>
      <w:r>
        <w:rPr>
          <w:rFonts w:hint="eastAsia" w:ascii="仿宋_GB2312" w:hAnsi="仿宋" w:eastAsia="仿宋_GB2312" w:cs="Times New Roman"/>
          <w:sz w:val="32"/>
          <w:szCs w:val="32"/>
          <w:lang w:val="en-US" w:eastAsia="zh-CN"/>
        </w:rPr>
        <w:t>2023年度国有资本经营预算支出年初预算为0万元，支出决算为0万元，完成年初预算的0 %。2023年本单位无国有资本经营预算收入支出项目。</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rPr>
        <w:t>环江毛南族自治县爱山林业试验场202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cs="仿宋_GB2312"/>
          <w:kern w:val="0"/>
          <w:sz w:val="32"/>
          <w:szCs w:val="32"/>
        </w:rPr>
        <w:t>环江毛南族自治县爱山林业</w:t>
      </w:r>
      <w:r>
        <w:rPr>
          <w:rFonts w:hint="eastAsia" w:ascii="仿宋_GB2312" w:hAnsi="黑体" w:eastAsia="仿宋_GB2312"/>
          <w:kern w:val="0"/>
          <w:sz w:val="32"/>
          <w:szCs w:val="32"/>
        </w:rPr>
        <w:t>试验场202</w:t>
      </w:r>
      <w:r>
        <w:rPr>
          <w:rFonts w:hint="eastAsia" w:ascii="仿宋_GB2312" w:hAnsi="黑体" w:eastAsia="仿宋_GB2312"/>
          <w:kern w:val="0"/>
          <w:sz w:val="32"/>
          <w:szCs w:val="32"/>
          <w:lang w:val="en-US" w:eastAsia="zh-CN"/>
        </w:rPr>
        <w:t>3</w:t>
      </w:r>
      <w:r>
        <w:rPr>
          <w:rFonts w:hint="eastAsia" w:ascii="仿宋_GB2312" w:hAnsi="黑体" w:eastAsia="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2023年度一般公共预算财政拨款安排的“三公”经费支出0万元，完成年初预算的0 %，比上年增减（减少）0万元，主要原因是本单位无“三公”经费预算收入支出项目。其中：因公出国（境）费支出决算0万元，公务用车购置及运行费支出决算0万元，公务接待费支出决算0万元。</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（一）因公出国（境）费支出0万元，完成年初预算的 0 %，比上年增减（减少）0万元，全年使用财政拨款安排 0 机关、 0 个所属单位出国团组0个，参加其他单位组织的出国团组0个，全年因公出国（境）团组共计0个，累计 0人次。2023年本单位无因公出国（境）费支出。</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（二）公务用车购置及运行费支出0万元。其中：</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公务用车购置支出0万元，完成年初预算的0 %，比上年增减（减少）0万元，原因是本单位无公务用车购置支出。</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公务用车运行支出0万元，完成年初预算的0%，比上年增减（减少）0万元。主要用于机要文件交换、市内因公出行以及开展  业务所需车辆燃料费、维修费、过路过桥费、保险费等。2023年， 0  个所属单位开支财政拨款的公务用车保有量为0辆，全年运行费支出0万元，平均每辆0万元。原因是本单位无公务用车运行支出。</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仿宋_GB2312" w:hAnsi="黑体" w:eastAsia="仿宋_GB2312" w:cs="仿宋_GB2312"/>
          <w:kern w:val="0"/>
          <w:sz w:val="32"/>
          <w:szCs w:val="32"/>
          <w:lang w:val="en-US" w:eastAsia="zh-CN"/>
        </w:rPr>
        <w:t>（三）公务接待费支出0万元，完成年初预算的0 %， 比上年增减（减少）0万元，国内公务接待批次0次，人次0次，国（境）外公务接待批次0次，人次0次。原因是本单位无公务接待费支出。</w:t>
      </w: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b/>
          <w:kern w:val="0"/>
          <w:sz w:val="32"/>
          <w:szCs w:val="32"/>
        </w:rPr>
      </w:pPr>
      <w:r>
        <w:rPr>
          <w:rFonts w:hint="eastAsia" w:ascii="仿宋_GB2312" w:eastAsia="仿宋_GB2312" w:cs="仿宋_GB2312"/>
          <w:kern w:val="0"/>
          <w:sz w:val="32"/>
          <w:szCs w:val="32"/>
        </w:rPr>
        <w:t>本部门2023年度机关运行经费支出0万元（与部门决算中行政单位和参照公务员法管理事业单位一般公共预算财政拨款基本支出中公用经费之和一致），比年初预算数增加（减少）0万元，增长（降低）0 %，比上年决算数增加（减少）0万元，增长（降低）0 %。比2022年增加（减少） 0 万元，增长（降低）0 %。原因是：本部门无机关运行经费支出。</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本部门2023年度政府采购支出总额 6 万元，其中：政府采购货物支出 0万元、政府采购工程支出 6万元、政府采购服务支出 0 万元，（口径参见部门决算F03表《机构运行信息表》中政府采购相关数据）。授予中小企业合同金额 0 万元，占政府采购支出总额的 0 %，其中：授予小微企业合同金额 2.33 万元，占授予中小企业合同金额的 100 %。原因是本部门办公耗材采购支出。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b/>
          <w:kern w:val="0"/>
          <w:sz w:val="32"/>
          <w:szCs w:val="32"/>
        </w:rPr>
      </w:pPr>
      <w:r>
        <w:rPr>
          <w:rFonts w:hint="eastAsia" w:ascii="仿宋_GB2312" w:eastAsia="仿宋_GB2312" w:cs="仿宋_GB2312"/>
          <w:kern w:val="0"/>
          <w:sz w:val="32"/>
          <w:szCs w:val="32"/>
        </w:rPr>
        <w:t>截至2023年12月31日，本部门共有车辆 0 辆，其中：副部（省）级领导干部用车 0 辆、机要通信用车 0 辆、应急保障用车 0 辆、执法执勤用车 0 辆、特种专业技术用车 0 辆、其他用车 0 辆，其他用车0 辆；单位价值50万元以上通用设备 0 台（套）；单位价值100万元以上专用设备 0 台（套）。</w:t>
      </w:r>
      <w:r>
        <w:rPr>
          <w:rFonts w:hint="eastAsia" w:ascii="仿宋_GB2312" w:eastAsia="仿宋_GB2312" w:cs="仿宋_GB2312"/>
          <w:b/>
          <w:kern w:val="0"/>
          <w:sz w:val="32"/>
          <w:szCs w:val="32"/>
        </w:rPr>
        <w:t>本单位无</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b w:val="0"/>
          <w:bCs w:val="0"/>
          <w:caps w:val="0"/>
          <w:color w:val="auto"/>
          <w:kern w:val="0"/>
          <w:sz w:val="32"/>
          <w:szCs w:val="32"/>
          <w:vertAlign w:val="baseline"/>
          <w:lang w:val="en-US" w:eastAsia="zh-CN" w:bidi="ar"/>
        </w:rPr>
        <w:t>25.67</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25.67</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等。从自评情况来看，年内完成森林抚育面积</w:t>
      </w:r>
      <w:r>
        <w:rPr>
          <w:rFonts w:hint="eastAsia" w:ascii="仿宋_GB2312" w:eastAsia="仿宋_GB2312" w:cs="仿宋_GB2312"/>
          <w:b w:val="0"/>
          <w:bCs w:val="0"/>
          <w:caps w:val="0"/>
          <w:color w:val="auto"/>
          <w:kern w:val="0"/>
          <w:sz w:val="32"/>
          <w:szCs w:val="32"/>
          <w:vertAlign w:val="baseline"/>
          <w:lang w:val="en-US" w:eastAsia="zh-CN" w:bidi="ar"/>
        </w:rPr>
        <w:t>800亩，按时按量完成爱山森林公园培育、抚育管理工作。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25.67</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b w:val="0"/>
          <w:bCs w:val="0"/>
          <w:caps w:val="0"/>
          <w:color w:val="auto"/>
          <w:kern w:val="0"/>
          <w:sz w:val="32"/>
          <w:szCs w:val="32"/>
          <w:vertAlign w:val="baseline"/>
          <w:lang w:val="en-US" w:eastAsia="zh-CN" w:bidi="ar"/>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25.67</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25.67</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kern w:val="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（2）部分重点项目绩效自评情况（至少选择一个重点项目做具体说明）：根据年初设定的绩效目标，爱山森林公园项目项目自评得分为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分，</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w:t>
      </w:r>
      <w:r>
        <w:rPr>
          <w:rFonts w:hint="eastAsia" w:ascii="仿宋_GB2312" w:eastAsia="仿宋_GB2312" w:cs="仿宋_GB2312"/>
          <w:b w:val="0"/>
          <w:bCs w:val="0"/>
          <w:caps w:val="0"/>
          <w:color w:val="auto"/>
          <w:kern w:val="0"/>
          <w:sz w:val="32"/>
          <w:szCs w:val="32"/>
          <w:vertAlign w:val="baseline"/>
          <w:lang w:val="en-US" w:eastAsia="zh-CN" w:bidi="ar"/>
        </w:rPr>
        <w:t>完成爱山森林公园项目面积指标，森林抚育面积达到800亩</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eastAsia="仿宋_GB2312" w:cs="仿宋_GB2312"/>
          <w:b w:val="0"/>
          <w:bCs w:val="0"/>
          <w:caps w:val="0"/>
          <w:color w:val="auto"/>
          <w:kern w:val="0"/>
          <w:sz w:val="32"/>
          <w:szCs w:val="32"/>
          <w:vertAlign w:val="baseline"/>
          <w:lang w:val="en-US" w:eastAsia="zh-CN" w:bidi="ar"/>
        </w:rPr>
        <w:t>完成爱山森林公园项目质量指标指标，森林抚育存活率达到90%</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rPr>
          <w:rFonts w:hint="eastAsia" w:ascii="仿宋_GB2312" w:eastAsia="仿宋_GB2312" w:cs="仿宋_GB2312"/>
          <w:b/>
          <w:kern w:val="0"/>
          <w:sz w:val="32"/>
          <w:szCs w:val="32"/>
        </w:rPr>
      </w:pPr>
      <w:r>
        <w:rPr>
          <w:rFonts w:hint="eastAsia" w:ascii="仿宋_GB2312" w:eastAsia="仿宋_GB2312" w:cs="仿宋_GB2312"/>
          <w:b/>
          <w:kern w:val="0"/>
          <w:sz w:val="32"/>
          <w:szCs w:val="32"/>
        </w:rPr>
        <w:br w:type="page"/>
      </w: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bookmarkStart w:id="0" w:name="_GoBack"/>
      <w:bookmarkEnd w:id="0"/>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B7FB0"/>
    <w:multiLevelType w:val="singleLevel"/>
    <w:tmpl w:val="839B7FB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NjYwNTc3Y2EwNjlhYjhiNDZhYjc2ZThkYzk2NzcifQ=="/>
  </w:docVars>
  <w:rsids>
    <w:rsidRoot w:val="00000000"/>
    <w:rsid w:val="04ED3FD7"/>
    <w:rsid w:val="1F492925"/>
    <w:rsid w:val="276A0586"/>
    <w:rsid w:val="39FB59CD"/>
    <w:rsid w:val="424D6905"/>
    <w:rsid w:val="468B1521"/>
    <w:rsid w:val="64852C29"/>
    <w:rsid w:val="704819A2"/>
    <w:rsid w:val="742B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table" w:styleId="4">
    <w:name w:val="Table Grid"/>
    <w:basedOn w:val="3"/>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2024-12-27T00:40:00Z</dcterms:created>
  <dc:creator>Administrator</dc:creator>
  <cp:lastModifiedBy>WPS_1677729590</cp:lastModifiedBy>
  <dcterms:modified xsi:type="dcterms:W3CDTF">2024-12-27T08:06:43Z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3AB220DBF97646D6B2C3471D29C5778B_12</vt:lpwstr>
  </property>
</Properties>
</file>