
<file path=[Content_Types].xml><?xml version="1.0" encoding="utf-8"?>
<Types xmlns="http://schemas.openxmlformats.org/package/2006/content-types">
  <Default Extension="xml" ContentType="application/xml"/>
  <Default Extension="xlsx" ContentType="application/vnd.openxmlformats-officedocument.spreadsheetml.shee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5C266">
      <w:pPr>
        <w:jc w:val="left"/>
        <w:rPr>
          <w:rFonts w:ascii="仿宋" w:hAnsi="仿宋" w:eastAsia="仿宋" w:cs="仿宋"/>
          <w:sz w:val="32"/>
          <w:szCs w:val="32"/>
          <w:highlight w:val="none"/>
        </w:rPr>
      </w:pPr>
    </w:p>
    <w:p w14:paraId="46E20C32">
      <w:pPr>
        <w:jc w:val="left"/>
        <w:rPr>
          <w:rFonts w:ascii="仿宋" w:hAnsi="仿宋" w:eastAsia="仿宋" w:cs="仿宋"/>
          <w:sz w:val="32"/>
          <w:szCs w:val="32"/>
          <w:highlight w:val="none"/>
        </w:rPr>
      </w:pPr>
    </w:p>
    <w:p w14:paraId="22B4DB85">
      <w:pPr>
        <w:jc w:val="left"/>
        <w:rPr>
          <w:rFonts w:ascii="仿宋" w:hAnsi="仿宋" w:eastAsia="仿宋" w:cs="仿宋"/>
          <w:sz w:val="32"/>
          <w:szCs w:val="32"/>
          <w:highlight w:val="none"/>
        </w:rPr>
      </w:pPr>
    </w:p>
    <w:p w14:paraId="394AF1BD">
      <w:pPr>
        <w:jc w:val="center"/>
        <w:rPr>
          <w:rFonts w:ascii="黑体" w:hAnsi="黑体" w:eastAsia="黑体" w:cs="黑体"/>
          <w:b/>
          <w:bCs/>
          <w:sz w:val="52"/>
          <w:szCs w:val="52"/>
          <w:highlight w:val="none"/>
        </w:rPr>
      </w:pPr>
      <w:r>
        <w:rPr>
          <w:rFonts w:hint="eastAsia" w:ascii="黑体" w:hAnsi="黑体" w:eastAsia="黑体" w:cs="黑体"/>
          <w:b/>
          <w:bCs/>
          <w:sz w:val="48"/>
          <w:szCs w:val="48"/>
          <w:highlight w:val="none"/>
          <w:lang w:val="en-US" w:eastAsia="zh-CN"/>
        </w:rPr>
        <w:t>环江毛南族自治县华山林场</w:t>
      </w:r>
      <w:r>
        <w:rPr>
          <w:rFonts w:hint="eastAsia" w:ascii="黑体" w:hAnsi="黑体" w:eastAsia="黑体" w:cs="黑体"/>
          <w:b/>
          <w:bCs/>
          <w:sz w:val="52"/>
          <w:szCs w:val="52"/>
          <w:highlight w:val="none"/>
        </w:rPr>
        <w:t>202</w:t>
      </w:r>
      <w:r>
        <w:rPr>
          <w:rFonts w:hint="eastAsia" w:ascii="黑体" w:hAnsi="黑体" w:eastAsia="黑体" w:cs="黑体"/>
          <w:b/>
          <w:bCs/>
          <w:sz w:val="52"/>
          <w:szCs w:val="52"/>
          <w:highlight w:val="none"/>
          <w:lang w:val="en-US" w:eastAsia="zh-CN"/>
        </w:rPr>
        <w:t>3</w:t>
      </w:r>
      <w:r>
        <w:rPr>
          <w:rFonts w:hint="eastAsia" w:ascii="黑体" w:hAnsi="黑体" w:eastAsia="黑体" w:cs="黑体"/>
          <w:b/>
          <w:bCs/>
          <w:sz w:val="52"/>
          <w:szCs w:val="52"/>
          <w:highlight w:val="none"/>
        </w:rPr>
        <w:t>年度部门决算</w:t>
      </w:r>
    </w:p>
    <w:p w14:paraId="259CEDF7">
      <w:pPr>
        <w:jc w:val="center"/>
        <w:rPr>
          <w:rFonts w:ascii="仿宋" w:hAnsi="仿宋" w:eastAsia="仿宋" w:cs="仿宋"/>
          <w:sz w:val="32"/>
          <w:szCs w:val="32"/>
          <w:highlight w:val="none"/>
        </w:rPr>
      </w:pPr>
    </w:p>
    <w:p w14:paraId="01AB23AA">
      <w:pPr>
        <w:jc w:val="left"/>
        <w:rPr>
          <w:rFonts w:ascii="仿宋" w:hAnsi="仿宋" w:eastAsia="仿宋" w:cs="仿宋"/>
          <w:sz w:val="32"/>
          <w:szCs w:val="32"/>
          <w:highlight w:val="none"/>
        </w:rPr>
      </w:pPr>
    </w:p>
    <w:p w14:paraId="634FC432">
      <w:pPr>
        <w:jc w:val="left"/>
        <w:rPr>
          <w:rFonts w:ascii="仿宋" w:hAnsi="仿宋" w:eastAsia="仿宋" w:cs="仿宋"/>
          <w:sz w:val="32"/>
          <w:szCs w:val="32"/>
          <w:highlight w:val="none"/>
        </w:rPr>
      </w:pPr>
    </w:p>
    <w:p w14:paraId="7B238F7D">
      <w:pPr>
        <w:jc w:val="left"/>
        <w:rPr>
          <w:rFonts w:ascii="仿宋" w:hAnsi="仿宋" w:eastAsia="仿宋" w:cs="仿宋"/>
          <w:sz w:val="32"/>
          <w:szCs w:val="32"/>
          <w:highlight w:val="none"/>
        </w:rPr>
      </w:pPr>
    </w:p>
    <w:p w14:paraId="5D2134DA">
      <w:pPr>
        <w:jc w:val="left"/>
        <w:rPr>
          <w:rFonts w:ascii="仿宋" w:hAnsi="仿宋" w:eastAsia="仿宋" w:cs="仿宋"/>
          <w:sz w:val="32"/>
          <w:szCs w:val="32"/>
          <w:highlight w:val="none"/>
        </w:rPr>
      </w:pPr>
    </w:p>
    <w:p w14:paraId="3CC43722">
      <w:pPr>
        <w:jc w:val="left"/>
        <w:rPr>
          <w:rFonts w:ascii="仿宋" w:hAnsi="仿宋" w:eastAsia="仿宋" w:cs="仿宋"/>
          <w:sz w:val="32"/>
          <w:szCs w:val="32"/>
          <w:highlight w:val="none"/>
        </w:rPr>
      </w:pPr>
    </w:p>
    <w:p w14:paraId="6A114561">
      <w:pPr>
        <w:jc w:val="left"/>
        <w:rPr>
          <w:rFonts w:ascii="仿宋" w:hAnsi="仿宋" w:eastAsia="仿宋" w:cs="仿宋"/>
          <w:sz w:val="32"/>
          <w:szCs w:val="32"/>
          <w:highlight w:val="none"/>
        </w:rPr>
      </w:pPr>
    </w:p>
    <w:p w14:paraId="12E440C3">
      <w:pPr>
        <w:jc w:val="left"/>
        <w:rPr>
          <w:rFonts w:ascii="仿宋" w:hAnsi="仿宋" w:eastAsia="仿宋" w:cs="仿宋"/>
          <w:sz w:val="32"/>
          <w:szCs w:val="32"/>
          <w:highlight w:val="none"/>
        </w:rPr>
      </w:pPr>
    </w:p>
    <w:p w14:paraId="195626E8">
      <w:pPr>
        <w:jc w:val="left"/>
        <w:rPr>
          <w:rFonts w:ascii="仿宋" w:hAnsi="仿宋" w:eastAsia="仿宋" w:cs="仿宋"/>
          <w:sz w:val="32"/>
          <w:szCs w:val="32"/>
          <w:highlight w:val="none"/>
        </w:rPr>
      </w:pPr>
    </w:p>
    <w:p w14:paraId="21A3158B">
      <w:pPr>
        <w:jc w:val="left"/>
        <w:rPr>
          <w:rFonts w:ascii="仿宋" w:hAnsi="仿宋" w:eastAsia="仿宋" w:cs="仿宋"/>
          <w:sz w:val="32"/>
          <w:szCs w:val="32"/>
          <w:highlight w:val="none"/>
        </w:rPr>
      </w:pPr>
    </w:p>
    <w:p w14:paraId="64034638">
      <w:pPr>
        <w:jc w:val="left"/>
        <w:rPr>
          <w:rFonts w:ascii="仿宋" w:hAnsi="仿宋" w:eastAsia="仿宋" w:cs="仿宋"/>
          <w:sz w:val="32"/>
          <w:szCs w:val="32"/>
          <w:highlight w:val="none"/>
        </w:rPr>
      </w:pPr>
    </w:p>
    <w:p w14:paraId="7FC99BC8">
      <w:pPr>
        <w:jc w:val="left"/>
        <w:rPr>
          <w:rFonts w:ascii="仿宋" w:hAnsi="仿宋" w:eastAsia="仿宋" w:cs="仿宋"/>
          <w:sz w:val="32"/>
          <w:szCs w:val="32"/>
          <w:highlight w:val="none"/>
        </w:rPr>
      </w:pPr>
    </w:p>
    <w:p w14:paraId="0B5BBDBA">
      <w:pPr>
        <w:jc w:val="left"/>
        <w:rPr>
          <w:rFonts w:ascii="仿宋" w:hAnsi="仿宋" w:eastAsia="仿宋" w:cs="仿宋"/>
          <w:sz w:val="32"/>
          <w:szCs w:val="32"/>
          <w:highlight w:val="none"/>
        </w:rPr>
      </w:pPr>
    </w:p>
    <w:p w14:paraId="0BC2145C">
      <w:pPr>
        <w:jc w:val="left"/>
        <w:rPr>
          <w:rFonts w:ascii="仿宋" w:hAnsi="仿宋" w:eastAsia="仿宋" w:cs="仿宋"/>
          <w:sz w:val="32"/>
          <w:szCs w:val="32"/>
          <w:highlight w:val="none"/>
        </w:rPr>
      </w:pPr>
    </w:p>
    <w:p w14:paraId="1C595EA7">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w:t>
      </w:r>
      <w:r>
        <w:rPr>
          <w:rFonts w:hint="default" w:ascii="黑体" w:hAnsi="黑体" w:eastAsia="黑体" w:cs="黑体"/>
          <w:b/>
          <w:bCs/>
          <w:sz w:val="36"/>
          <w:szCs w:val="36"/>
          <w:highlight w:val="none"/>
          <w:lang w:val="en-US"/>
        </w:rPr>
        <w:t>4</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p>
    <w:p w14:paraId="6D1FE331">
      <w:pPr>
        <w:jc w:val="center"/>
        <w:rPr>
          <w:rFonts w:hint="eastAsia" w:ascii="黑体" w:hAnsi="黑体" w:eastAsia="黑体" w:cs="黑体"/>
          <w:b/>
          <w:bCs/>
          <w:sz w:val="36"/>
          <w:szCs w:val="36"/>
          <w:highlight w:val="none"/>
        </w:rPr>
        <w:sectPr>
          <w:pgSz w:w="11906" w:h="16838"/>
          <w:pgMar w:top="1440" w:right="1800" w:bottom="1440" w:left="1800" w:header="851" w:footer="992" w:gutter="0"/>
          <w:cols w:space="425" w:num="1"/>
          <w:docGrid w:type="lines" w:linePitch="312" w:charSpace="0"/>
        </w:sectPr>
      </w:pPr>
    </w:p>
    <w:p w14:paraId="353CE463">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14:paraId="03E5E550">
      <w:pPr>
        <w:jc w:val="left"/>
        <w:rPr>
          <w:rFonts w:ascii="黑体" w:hAnsi="黑体" w:eastAsia="黑体" w:cs="黑体"/>
          <w:b/>
          <w:bCs/>
          <w:sz w:val="36"/>
          <w:szCs w:val="36"/>
          <w:highlight w:val="none"/>
        </w:rPr>
      </w:pPr>
    </w:p>
    <w:p w14:paraId="70D2F435">
      <w:pPr>
        <w:keepNext w:val="0"/>
        <w:keepLines w:val="0"/>
        <w:pageBreakBefore w:val="0"/>
        <w:widowControl w:val="0"/>
        <w:kinsoku/>
        <w:wordWrap/>
        <w:overflowPunct/>
        <w:topLinePunct w:val="0"/>
        <w:bidi w:val="0"/>
        <w:snapToGrid/>
        <w:spacing w:line="500" w:lineRule="exact"/>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szCs w:val="32"/>
          <w:highlight w:val="none"/>
          <w:lang w:val="en-US" w:eastAsia="zh-CN"/>
        </w:rPr>
        <w:t>环江毛南族自治县</w:t>
      </w:r>
      <w:r>
        <w:rPr>
          <w:rFonts w:hint="eastAsia" w:ascii="黑体" w:hAnsi="黑体" w:eastAsia="黑体" w:cs="黑体"/>
          <w:sz w:val="32"/>
          <w:u w:color="auto"/>
          <w:lang w:val="en-US" w:eastAsia="zh-CN"/>
        </w:rPr>
        <w:t>华山林场</w:t>
      </w:r>
      <w:r>
        <w:rPr>
          <w:rFonts w:hint="eastAsia" w:ascii="黑体" w:hAnsi="黑体" w:eastAsia="黑体" w:cs="黑体"/>
          <w:sz w:val="32"/>
          <w:szCs w:val="32"/>
          <w:highlight w:val="none"/>
        </w:rPr>
        <w:t>概况</w:t>
      </w:r>
    </w:p>
    <w:p w14:paraId="7F87C56F">
      <w:pPr>
        <w:spacing w:line="560" w:lineRule="exact"/>
        <w:jc w:val="both"/>
        <w:rPr>
          <w:rFonts w:hint="eastAsia" w:ascii="仿宋_GB2312" w:eastAsia="仿宋_GB2312"/>
          <w:sz w:val="32"/>
          <w:szCs w:val="32"/>
          <w:lang w:eastAsia="zh-CN"/>
        </w:rPr>
      </w:pPr>
      <w:r>
        <w:rPr>
          <w:rFonts w:hint="eastAsia" w:ascii="仿宋_GB2312" w:eastAsia="仿宋_GB2312"/>
          <w:sz w:val="32"/>
          <w:szCs w:val="32"/>
        </w:rPr>
        <w:t>一、</w:t>
      </w:r>
      <w:r>
        <w:rPr>
          <w:rFonts w:hint="eastAsia" w:ascii="仿宋_GB2312" w:eastAsia="仿宋_GB2312"/>
          <w:sz w:val="32"/>
          <w:szCs w:val="32"/>
          <w:lang w:eastAsia="zh-CN"/>
        </w:rPr>
        <w:t>本部门职责</w:t>
      </w:r>
    </w:p>
    <w:p w14:paraId="4413D1A4">
      <w:pPr>
        <w:spacing w:line="560" w:lineRule="exact"/>
        <w:jc w:val="both"/>
        <w:rPr>
          <w:rFonts w:ascii="仿宋" w:hAnsi="仿宋" w:eastAsia="仿宋" w:cs="仿宋"/>
          <w:sz w:val="32"/>
          <w:szCs w:val="32"/>
          <w:highlight w:val="none"/>
        </w:rPr>
      </w:pPr>
      <w:r>
        <w:rPr>
          <w:rFonts w:hint="eastAsia" w:ascii="仿宋_GB2312" w:eastAsia="仿宋_GB2312"/>
          <w:sz w:val="32"/>
          <w:szCs w:val="32"/>
        </w:rPr>
        <w:t>二、</w:t>
      </w:r>
      <w:r>
        <w:rPr>
          <w:rFonts w:hint="eastAsia" w:ascii="仿宋_GB2312" w:eastAsia="仿宋_GB2312"/>
          <w:sz w:val="32"/>
          <w:szCs w:val="32"/>
          <w:lang w:eastAsia="zh-CN"/>
        </w:rPr>
        <w:t>机构设置情况</w:t>
      </w:r>
    </w:p>
    <w:p w14:paraId="04D8D454">
      <w:pPr>
        <w:keepNext w:val="0"/>
        <w:keepLines w:val="0"/>
        <w:pageBreakBefore w:val="0"/>
        <w:widowControl w:val="0"/>
        <w:kinsoku/>
        <w:wordWrap/>
        <w:overflowPunct/>
        <w:topLinePunct w:val="0"/>
        <w:bidi w:val="0"/>
        <w:snapToGrid/>
        <w:spacing w:line="500" w:lineRule="exact"/>
        <w:jc w:val="both"/>
        <w:textAlignment w:val="auto"/>
        <w:rPr>
          <w:rFonts w:ascii="黑体" w:hAnsi="黑体" w:eastAsia="黑体" w:cs="黑体"/>
          <w:w w:val="90"/>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w w:val="90"/>
          <w:sz w:val="32"/>
          <w:szCs w:val="32"/>
          <w:highlight w:val="none"/>
          <w:lang w:val="en-US" w:eastAsia="zh-CN"/>
        </w:rPr>
        <w:t>环江毛南族自治县华山林场</w:t>
      </w:r>
      <w:r>
        <w:rPr>
          <w:rFonts w:hint="eastAsia" w:ascii="黑体" w:hAnsi="黑体" w:eastAsia="黑体" w:cs="黑体"/>
          <w:w w:val="90"/>
          <w:sz w:val="32"/>
          <w:szCs w:val="32"/>
          <w:highlight w:val="none"/>
        </w:rPr>
        <w:t>202</w:t>
      </w:r>
      <w:r>
        <w:rPr>
          <w:rFonts w:hint="eastAsia" w:ascii="黑体" w:hAnsi="黑体" w:eastAsia="黑体" w:cs="黑体"/>
          <w:w w:val="90"/>
          <w:sz w:val="32"/>
          <w:szCs w:val="32"/>
          <w:highlight w:val="none"/>
          <w:lang w:val="en-US" w:eastAsia="zh-CN"/>
        </w:rPr>
        <w:t>3</w:t>
      </w:r>
      <w:r>
        <w:rPr>
          <w:rFonts w:hint="eastAsia" w:ascii="黑体" w:hAnsi="黑体" w:eastAsia="黑体" w:cs="黑体"/>
          <w:w w:val="90"/>
          <w:sz w:val="32"/>
          <w:szCs w:val="32"/>
          <w:highlight w:val="none"/>
        </w:rPr>
        <w:t>年度部门决算报表</w:t>
      </w:r>
    </w:p>
    <w:p w14:paraId="13AD2BFA">
      <w:pPr>
        <w:keepNext w:val="0"/>
        <w:keepLines w:val="0"/>
        <w:pageBreakBefore w:val="0"/>
        <w:widowControl w:val="0"/>
        <w:kinsoku/>
        <w:wordWrap/>
        <w:overflowPunct/>
        <w:topLinePunct w:val="0"/>
        <w:bidi w:val="0"/>
        <w:snapToGrid/>
        <w:spacing w:line="50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14:paraId="015FB72A">
      <w:pPr>
        <w:keepNext w:val="0"/>
        <w:keepLines w:val="0"/>
        <w:pageBreakBefore w:val="0"/>
        <w:widowControl w:val="0"/>
        <w:kinsoku/>
        <w:wordWrap/>
        <w:overflowPunct/>
        <w:topLinePunct w:val="0"/>
        <w:bidi w:val="0"/>
        <w:snapToGrid/>
        <w:spacing w:line="50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14:paraId="0F2A5171">
      <w:pPr>
        <w:keepNext w:val="0"/>
        <w:keepLines w:val="0"/>
        <w:pageBreakBefore w:val="0"/>
        <w:widowControl w:val="0"/>
        <w:kinsoku/>
        <w:wordWrap/>
        <w:overflowPunct/>
        <w:topLinePunct w:val="0"/>
        <w:bidi w:val="0"/>
        <w:snapToGrid/>
        <w:spacing w:line="50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14:paraId="6B66C314">
      <w:pPr>
        <w:keepNext w:val="0"/>
        <w:keepLines w:val="0"/>
        <w:pageBreakBefore w:val="0"/>
        <w:widowControl w:val="0"/>
        <w:kinsoku/>
        <w:wordWrap/>
        <w:overflowPunct/>
        <w:topLinePunct w:val="0"/>
        <w:bidi w:val="0"/>
        <w:snapToGrid/>
        <w:spacing w:line="50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14:paraId="73B9C699">
      <w:pPr>
        <w:keepNext w:val="0"/>
        <w:keepLines w:val="0"/>
        <w:pageBreakBefore w:val="0"/>
        <w:widowControl w:val="0"/>
        <w:kinsoku/>
        <w:wordWrap/>
        <w:overflowPunct/>
        <w:topLinePunct w:val="0"/>
        <w:bidi w:val="0"/>
        <w:snapToGrid/>
        <w:spacing w:line="50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14:paraId="175E5441">
      <w:pPr>
        <w:keepNext w:val="0"/>
        <w:keepLines w:val="0"/>
        <w:pageBreakBefore w:val="0"/>
        <w:widowControl w:val="0"/>
        <w:kinsoku/>
        <w:wordWrap/>
        <w:overflowPunct/>
        <w:topLinePunct w:val="0"/>
        <w:bidi w:val="0"/>
        <w:snapToGrid/>
        <w:spacing w:line="50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14:paraId="3C97E97E">
      <w:pPr>
        <w:keepNext w:val="0"/>
        <w:keepLines w:val="0"/>
        <w:pageBreakBefore w:val="0"/>
        <w:widowControl w:val="0"/>
        <w:kinsoku/>
        <w:wordWrap/>
        <w:overflowPunct/>
        <w:topLinePunct w:val="0"/>
        <w:bidi w:val="0"/>
        <w:snapToGrid/>
        <w:spacing w:line="50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14:paraId="5616AF5B">
      <w:pPr>
        <w:keepNext w:val="0"/>
        <w:keepLines w:val="0"/>
        <w:pageBreakBefore w:val="0"/>
        <w:widowControl w:val="0"/>
        <w:kinsoku/>
        <w:wordWrap/>
        <w:overflowPunct/>
        <w:topLinePunct w:val="0"/>
        <w:bidi w:val="0"/>
        <w:snapToGrid/>
        <w:spacing w:line="50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14:paraId="75737618">
      <w:pPr>
        <w:keepNext w:val="0"/>
        <w:keepLines w:val="0"/>
        <w:pageBreakBefore w:val="0"/>
        <w:widowControl w:val="0"/>
        <w:kinsoku/>
        <w:wordWrap/>
        <w:overflowPunct/>
        <w:topLinePunct w:val="0"/>
        <w:bidi w:val="0"/>
        <w:snapToGrid/>
        <w:spacing w:line="50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14:paraId="0B4E6899">
      <w:pPr>
        <w:keepNext w:val="0"/>
        <w:keepLines w:val="0"/>
        <w:pageBreakBefore w:val="0"/>
        <w:widowControl w:val="0"/>
        <w:kinsoku/>
        <w:wordWrap/>
        <w:overflowPunct/>
        <w:topLinePunct w:val="0"/>
        <w:bidi w:val="0"/>
        <w:snapToGrid/>
        <w:spacing w:line="500" w:lineRule="exact"/>
        <w:jc w:val="left"/>
        <w:textAlignment w:val="auto"/>
        <w:rPr>
          <w:rFonts w:ascii="仿宋" w:hAnsi="仿宋" w:eastAsia="仿宋" w:cs="仿宋"/>
          <w:w w:val="80"/>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w w:val="80"/>
          <w:sz w:val="32"/>
          <w:szCs w:val="32"/>
          <w:highlight w:val="none"/>
          <w:lang w:val="en-US" w:eastAsia="zh-CN"/>
        </w:rPr>
        <w:t>环江毛南族自治县华山林场</w:t>
      </w:r>
      <w:r>
        <w:rPr>
          <w:rFonts w:hint="eastAsia" w:ascii="黑体" w:hAnsi="黑体" w:eastAsia="黑体" w:cs="黑体"/>
          <w:w w:val="80"/>
          <w:sz w:val="32"/>
          <w:szCs w:val="32"/>
          <w:highlight w:val="none"/>
        </w:rPr>
        <w:t>202</w:t>
      </w:r>
      <w:r>
        <w:rPr>
          <w:rFonts w:hint="eastAsia" w:ascii="黑体" w:hAnsi="黑体" w:eastAsia="黑体" w:cs="黑体"/>
          <w:w w:val="80"/>
          <w:sz w:val="32"/>
          <w:szCs w:val="32"/>
          <w:highlight w:val="none"/>
          <w:lang w:val="en-US" w:eastAsia="zh-CN"/>
        </w:rPr>
        <w:t>3</w:t>
      </w:r>
      <w:r>
        <w:rPr>
          <w:rFonts w:hint="eastAsia" w:ascii="黑体" w:hAnsi="黑体" w:eastAsia="黑体" w:cs="黑体"/>
          <w:w w:val="80"/>
          <w:sz w:val="32"/>
          <w:szCs w:val="32"/>
          <w:highlight w:val="none"/>
        </w:rPr>
        <w:t>年度部门决算情况说明</w:t>
      </w:r>
    </w:p>
    <w:p w14:paraId="067ACF53">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3</w:t>
      </w:r>
      <w:r>
        <w:rPr>
          <w:rFonts w:hint="eastAsia" w:ascii="仿宋_GB2312" w:eastAsia="仿宋_GB2312" w:cs="仿宋_GB2312"/>
          <w:kern w:val="0"/>
          <w:sz w:val="32"/>
          <w:szCs w:val="32"/>
          <w:highlight w:val="none"/>
        </w:rPr>
        <w:t>年度收入支出决算总体情况。</w:t>
      </w:r>
    </w:p>
    <w:p w14:paraId="51F439C1">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14:paraId="219FF381">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年度一般公共预算财政拨款基本支出决算情况说明。</w:t>
      </w:r>
    </w:p>
    <w:p w14:paraId="0D84590D">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年度政府性基金支出决算情况。</w:t>
      </w:r>
    </w:p>
    <w:p w14:paraId="62DB0516">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14:paraId="567ED475">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14:paraId="7805E384">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14:paraId="0549605E">
      <w:pPr>
        <w:keepNext w:val="0"/>
        <w:keepLines w:val="0"/>
        <w:pageBreakBefore w:val="0"/>
        <w:widowControl w:val="0"/>
        <w:kinsoku/>
        <w:wordWrap/>
        <w:overflowPunct/>
        <w:topLinePunct w:val="0"/>
        <w:bidi w:val="0"/>
        <w:snapToGrid/>
        <w:spacing w:line="500" w:lineRule="exact"/>
        <w:jc w:val="left"/>
        <w:textAlignment w:val="auto"/>
        <w:rPr>
          <w:rFonts w:hint="eastAsia" w:ascii="仿宋_GB2312" w:eastAsia="仿宋_GB2312" w:cs="仿宋_GB2312"/>
          <w:kern w:val="0"/>
          <w:sz w:val="32"/>
          <w:szCs w:val="32"/>
          <w:highlight w:val="none"/>
          <w:lang w:eastAsia="zh-CN"/>
        </w:rPr>
      </w:pPr>
      <w:r>
        <w:rPr>
          <w:rFonts w:hint="default" w:ascii="仿宋_GB2312" w:eastAsia="仿宋_GB2312" w:cs="仿宋_GB2312"/>
          <w:kern w:val="0"/>
          <w:sz w:val="32"/>
          <w:szCs w:val="32"/>
          <w:highlight w:val="none"/>
        </w:rPr>
        <w:t>八、预算绩效管理工作开展情况</w:t>
      </w:r>
      <w:r>
        <w:rPr>
          <w:rFonts w:hint="eastAsia" w:ascii="仿宋_GB2312" w:eastAsia="仿宋_GB2312" w:cs="仿宋_GB2312"/>
          <w:kern w:val="0"/>
          <w:sz w:val="32"/>
          <w:szCs w:val="32"/>
          <w:highlight w:val="none"/>
          <w:lang w:eastAsia="zh-CN"/>
        </w:rPr>
        <w:t>。</w:t>
      </w:r>
    </w:p>
    <w:p w14:paraId="22916739">
      <w:pPr>
        <w:keepNext w:val="0"/>
        <w:keepLines w:val="0"/>
        <w:pageBreakBefore w:val="0"/>
        <w:widowControl w:val="0"/>
        <w:kinsoku/>
        <w:wordWrap/>
        <w:overflowPunct/>
        <w:topLinePunct w:val="0"/>
        <w:bidi w:val="0"/>
        <w:snapToGrid/>
        <w:spacing w:line="500" w:lineRule="exact"/>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14:paraId="014392DB">
      <w:pPr>
        <w:jc w:val="center"/>
        <w:rPr>
          <w:rFonts w:hint="eastAsia" w:ascii="黑体" w:hAnsi="黑体" w:eastAsia="黑体" w:cs="黑体"/>
          <w:b/>
          <w:bCs/>
          <w:sz w:val="32"/>
          <w:szCs w:val="32"/>
          <w:highlight w:val="none"/>
        </w:rPr>
        <w:sectPr>
          <w:footerReference r:id="rId3" w:type="default"/>
          <w:pgSz w:w="11906" w:h="16838"/>
          <w:pgMar w:top="1440" w:right="1800" w:bottom="1440" w:left="1800" w:header="851" w:footer="992" w:gutter="0"/>
          <w:pgNumType w:start="1"/>
          <w:cols w:space="425" w:num="1"/>
          <w:docGrid w:type="lines" w:linePitch="312" w:charSpace="0"/>
        </w:sectPr>
      </w:pPr>
    </w:p>
    <w:p w14:paraId="28B5956B">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bCs/>
          <w:sz w:val="32"/>
          <w:szCs w:val="32"/>
          <w:highlight w:val="none"/>
          <w:lang w:val="en-US" w:eastAsia="zh-CN"/>
        </w:rPr>
        <w:t>环江毛南族自治县</w:t>
      </w:r>
      <w:r>
        <w:rPr>
          <w:rFonts w:hint="eastAsia" w:ascii="黑体" w:hAnsi="黑体" w:eastAsia="黑体" w:cs="黑体"/>
          <w:b/>
          <w:sz w:val="32"/>
          <w:u w:color="auto"/>
          <w:lang w:val="en-US" w:eastAsia="zh-CN"/>
        </w:rPr>
        <w:t>华山林场</w:t>
      </w:r>
      <w:r>
        <w:rPr>
          <w:rFonts w:hint="eastAsia" w:ascii="黑体" w:hAnsi="黑体" w:eastAsia="黑体" w:cs="黑体"/>
          <w:b/>
          <w:bCs/>
          <w:sz w:val="32"/>
          <w:szCs w:val="32"/>
          <w:highlight w:val="none"/>
        </w:rPr>
        <w:t>概况</w:t>
      </w:r>
    </w:p>
    <w:p w14:paraId="6928C5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
          <w:bCs/>
          <w:sz w:val="32"/>
          <w:szCs w:val="32"/>
          <w:lang w:eastAsia="zh-CN"/>
        </w:rPr>
      </w:pPr>
      <w:r>
        <w:rPr>
          <w:rFonts w:hint="eastAsia" w:ascii="黑体" w:hAnsi="黑体" w:eastAsia="黑体" w:cs="黑体"/>
          <w:sz w:val="32"/>
          <w:szCs w:val="32"/>
          <w:highlight w:val="none"/>
        </w:rPr>
        <w:t>一、</w:t>
      </w:r>
      <w:r>
        <w:rPr>
          <w:rFonts w:hint="eastAsia" w:ascii="仿宋_GB2312" w:eastAsia="仿宋_GB2312"/>
          <w:b/>
          <w:bCs/>
          <w:sz w:val="32"/>
          <w:szCs w:val="32"/>
          <w:lang w:eastAsia="zh-CN"/>
        </w:rPr>
        <w:t>本部门职责</w:t>
      </w:r>
    </w:p>
    <w:p w14:paraId="27A27D68">
      <w:pPr>
        <w:pStyle w:val="5"/>
        <w:keepNext w:val="0"/>
        <w:keepLines w:val="0"/>
        <w:pageBreakBefore w:val="0"/>
        <w:widowControl/>
        <w:suppressLineNumbers w:val="0"/>
        <w:kinsoku/>
        <w:wordWrap/>
        <w:overflowPunct/>
        <w:topLinePunct w:val="0"/>
        <w:autoSpaceDE w:val="0"/>
        <w:autoSpaceDN/>
        <w:bidi w:val="0"/>
        <w:adjustRightInd/>
        <w:snapToGrid/>
        <w:spacing w:beforeAutospacing="0" w:afterAutospacing="0" w:line="500" w:lineRule="exact"/>
        <w:ind w:firstLine="640" w:firstLineChars="200"/>
        <w:textAlignment w:val="auto"/>
        <w:rPr>
          <w:rFonts w:hint="eastAsia" w:ascii="仿宋" w:hAnsi="仿宋" w:eastAsia="仿宋" w:cs="仿宋"/>
          <w:color w:val="666666"/>
          <w:sz w:val="32"/>
          <w:szCs w:val="32"/>
        </w:rPr>
      </w:pPr>
      <w:r>
        <w:rPr>
          <w:rFonts w:hint="eastAsia" w:ascii="仿宋" w:hAnsi="仿宋" w:eastAsia="仿宋" w:cs="仿宋"/>
          <w:color w:val="333333"/>
          <w:sz w:val="32"/>
          <w:szCs w:val="32"/>
          <w:shd w:val="clear" w:color="auto" w:fill="FFFFFF"/>
        </w:rPr>
        <w:t>华山林场以国有林场改革为契机，将全面贯彻落实中央、自治区国有林场改革文件精神，按照“五位一体”和生态建设要求，围绕“保护生态、保障职工生活”两大目标，深入实施生态建设发展战略，推动林场发展新模式，实现管护方式创新和监管体制创新。主要职能有：</w:t>
      </w:r>
    </w:p>
    <w:p w14:paraId="08F5B88B">
      <w:pPr>
        <w:pStyle w:val="5"/>
        <w:keepNext w:val="0"/>
        <w:keepLines w:val="0"/>
        <w:pageBreakBefore w:val="0"/>
        <w:widowControl/>
        <w:suppressLineNumbers w:val="0"/>
        <w:kinsoku/>
        <w:wordWrap/>
        <w:overflowPunct/>
        <w:topLinePunct w:val="0"/>
        <w:autoSpaceDE w:val="0"/>
        <w:autoSpaceDN/>
        <w:bidi w:val="0"/>
        <w:adjustRightInd/>
        <w:snapToGrid/>
        <w:spacing w:beforeAutospacing="0" w:afterAutospacing="0" w:line="500" w:lineRule="exact"/>
        <w:ind w:left="0" w:firstLine="555"/>
        <w:textAlignment w:val="auto"/>
        <w:rPr>
          <w:rFonts w:hint="eastAsia" w:ascii="仿宋" w:hAnsi="仿宋" w:eastAsia="仿宋" w:cs="仿宋"/>
          <w:color w:val="666666"/>
          <w:sz w:val="32"/>
          <w:szCs w:val="32"/>
        </w:rPr>
      </w:pPr>
      <w:r>
        <w:rPr>
          <w:rFonts w:hint="eastAsia" w:ascii="仿宋" w:hAnsi="仿宋" w:eastAsia="仿宋" w:cs="仿宋"/>
          <w:color w:val="333333"/>
          <w:sz w:val="32"/>
          <w:szCs w:val="32"/>
          <w:shd w:val="clear" w:color="auto" w:fill="FFFFFF"/>
        </w:rPr>
        <w:t>1、负责贯彻执行国家有关林业方针政策和法律法规，保护培育森林资源，维护国家生态安全。</w:t>
      </w:r>
    </w:p>
    <w:p w14:paraId="19B15D4A">
      <w:pPr>
        <w:pStyle w:val="5"/>
        <w:keepNext w:val="0"/>
        <w:keepLines w:val="0"/>
        <w:pageBreakBefore w:val="0"/>
        <w:widowControl/>
        <w:suppressLineNumbers w:val="0"/>
        <w:kinsoku/>
        <w:wordWrap/>
        <w:overflowPunct/>
        <w:topLinePunct w:val="0"/>
        <w:autoSpaceDE w:val="0"/>
        <w:autoSpaceDN/>
        <w:bidi w:val="0"/>
        <w:adjustRightInd/>
        <w:snapToGrid/>
        <w:spacing w:beforeAutospacing="0" w:afterAutospacing="0" w:line="500" w:lineRule="exact"/>
        <w:ind w:left="0" w:firstLine="555"/>
        <w:textAlignment w:val="auto"/>
        <w:rPr>
          <w:rFonts w:hint="eastAsia" w:ascii="仿宋" w:hAnsi="仿宋" w:eastAsia="仿宋" w:cs="仿宋"/>
          <w:color w:val="666666"/>
          <w:sz w:val="32"/>
          <w:szCs w:val="32"/>
        </w:rPr>
      </w:pPr>
      <w:r>
        <w:rPr>
          <w:rFonts w:hint="eastAsia" w:ascii="仿宋" w:hAnsi="仿宋" w:eastAsia="仿宋" w:cs="仿宋"/>
          <w:color w:val="333333"/>
          <w:sz w:val="32"/>
          <w:szCs w:val="32"/>
          <w:shd w:val="clear" w:color="auto" w:fill="FFFFFF"/>
        </w:rPr>
        <w:t>2、负责制定林场中长期发展规划和年度计划并组织实施。开展资源调查、林业统计、林业资产核算和森林资源档案管理工作。</w:t>
      </w:r>
    </w:p>
    <w:p w14:paraId="7BBB7165">
      <w:pPr>
        <w:pStyle w:val="5"/>
        <w:keepNext w:val="0"/>
        <w:keepLines w:val="0"/>
        <w:pageBreakBefore w:val="0"/>
        <w:widowControl/>
        <w:suppressLineNumbers w:val="0"/>
        <w:kinsoku/>
        <w:wordWrap/>
        <w:overflowPunct/>
        <w:topLinePunct w:val="0"/>
        <w:autoSpaceDE w:val="0"/>
        <w:autoSpaceDN/>
        <w:bidi w:val="0"/>
        <w:adjustRightInd/>
        <w:snapToGrid/>
        <w:spacing w:beforeAutospacing="0" w:afterAutospacing="0" w:line="500" w:lineRule="exact"/>
        <w:ind w:left="0" w:firstLine="555"/>
        <w:textAlignment w:val="auto"/>
        <w:rPr>
          <w:rFonts w:hint="eastAsia" w:ascii="仿宋" w:hAnsi="仿宋" w:eastAsia="仿宋" w:cs="仿宋"/>
          <w:color w:val="666666"/>
          <w:sz w:val="32"/>
          <w:szCs w:val="32"/>
        </w:rPr>
      </w:pPr>
      <w:r>
        <w:rPr>
          <w:rFonts w:hint="eastAsia" w:ascii="仿宋" w:hAnsi="仿宋" w:eastAsia="仿宋" w:cs="仿宋"/>
          <w:color w:val="333333"/>
          <w:sz w:val="32"/>
          <w:szCs w:val="32"/>
          <w:shd w:val="clear" w:color="auto" w:fill="FFFFFF"/>
        </w:rPr>
        <w:t>3、负责管护区域内的森林资源培育保护、野生动植物资源保护、林业有害生物防治工作。</w:t>
      </w:r>
    </w:p>
    <w:p w14:paraId="00C6FC28">
      <w:pPr>
        <w:pStyle w:val="5"/>
        <w:keepNext w:val="0"/>
        <w:keepLines w:val="0"/>
        <w:pageBreakBefore w:val="0"/>
        <w:widowControl/>
        <w:suppressLineNumbers w:val="0"/>
        <w:kinsoku/>
        <w:wordWrap/>
        <w:overflowPunct/>
        <w:topLinePunct w:val="0"/>
        <w:autoSpaceDE w:val="0"/>
        <w:autoSpaceDN/>
        <w:bidi w:val="0"/>
        <w:adjustRightInd/>
        <w:snapToGrid/>
        <w:spacing w:beforeAutospacing="0" w:afterAutospacing="0" w:line="500" w:lineRule="exact"/>
        <w:ind w:left="0" w:firstLine="555"/>
        <w:textAlignment w:val="auto"/>
        <w:rPr>
          <w:rFonts w:hint="eastAsia" w:ascii="仿宋" w:hAnsi="仿宋" w:eastAsia="仿宋" w:cs="仿宋"/>
          <w:color w:val="666666"/>
          <w:sz w:val="32"/>
          <w:szCs w:val="32"/>
        </w:rPr>
      </w:pPr>
      <w:r>
        <w:rPr>
          <w:rFonts w:hint="eastAsia" w:ascii="仿宋" w:hAnsi="仿宋" w:eastAsia="仿宋" w:cs="仿宋"/>
          <w:color w:val="333333"/>
          <w:sz w:val="32"/>
          <w:szCs w:val="32"/>
          <w:shd w:val="clear" w:color="auto" w:fill="FFFFFF"/>
        </w:rPr>
        <w:t>4、负责管护区域内的森林防火宣传及森林火灾扑救工作，确保国有森林资源不受损失。</w:t>
      </w:r>
    </w:p>
    <w:p w14:paraId="563AA2F4">
      <w:pPr>
        <w:pStyle w:val="5"/>
        <w:keepNext w:val="0"/>
        <w:keepLines w:val="0"/>
        <w:pageBreakBefore w:val="0"/>
        <w:widowControl/>
        <w:suppressLineNumbers w:val="0"/>
        <w:kinsoku/>
        <w:wordWrap/>
        <w:overflowPunct/>
        <w:topLinePunct w:val="0"/>
        <w:autoSpaceDE w:val="0"/>
        <w:autoSpaceDN/>
        <w:bidi w:val="0"/>
        <w:adjustRightInd/>
        <w:snapToGrid/>
        <w:spacing w:beforeAutospacing="0" w:afterAutospacing="0" w:line="500" w:lineRule="exact"/>
        <w:ind w:left="0" w:firstLine="555"/>
        <w:textAlignment w:val="auto"/>
        <w:rPr>
          <w:rFonts w:hint="eastAsia" w:ascii="仿宋" w:hAnsi="仿宋" w:eastAsia="仿宋" w:cs="仿宋"/>
          <w:color w:val="666666"/>
          <w:sz w:val="32"/>
          <w:szCs w:val="32"/>
        </w:rPr>
      </w:pPr>
      <w:r>
        <w:rPr>
          <w:rFonts w:hint="eastAsia" w:ascii="仿宋" w:hAnsi="仿宋" w:eastAsia="仿宋" w:cs="仿宋"/>
          <w:color w:val="333333"/>
          <w:sz w:val="32"/>
          <w:szCs w:val="32"/>
          <w:shd w:val="clear" w:color="auto" w:fill="FFFFFF"/>
        </w:rPr>
        <w:t>5、依据国家和自治区相关管理规定，做好辖区内重点公益林管理工作。</w:t>
      </w:r>
    </w:p>
    <w:p w14:paraId="54C07193">
      <w:pPr>
        <w:pStyle w:val="5"/>
        <w:keepNext w:val="0"/>
        <w:keepLines w:val="0"/>
        <w:pageBreakBefore w:val="0"/>
        <w:widowControl/>
        <w:suppressLineNumbers w:val="0"/>
        <w:kinsoku/>
        <w:wordWrap/>
        <w:overflowPunct/>
        <w:topLinePunct w:val="0"/>
        <w:autoSpaceDE w:val="0"/>
        <w:autoSpaceDN/>
        <w:bidi w:val="0"/>
        <w:adjustRightInd/>
        <w:snapToGrid/>
        <w:spacing w:beforeAutospacing="0" w:afterAutospacing="0" w:line="500" w:lineRule="exact"/>
        <w:ind w:left="0" w:firstLine="555"/>
        <w:textAlignment w:val="auto"/>
        <w:rPr>
          <w:rFonts w:hint="eastAsia" w:ascii="仿宋" w:hAnsi="仿宋" w:eastAsia="仿宋" w:cs="仿宋"/>
          <w:color w:val="666666"/>
          <w:sz w:val="32"/>
          <w:szCs w:val="32"/>
        </w:rPr>
      </w:pPr>
      <w:r>
        <w:rPr>
          <w:rFonts w:hint="eastAsia" w:ascii="仿宋" w:hAnsi="仿宋" w:eastAsia="仿宋" w:cs="仿宋"/>
          <w:color w:val="333333"/>
          <w:sz w:val="32"/>
          <w:szCs w:val="32"/>
          <w:shd w:val="clear" w:color="auto" w:fill="FFFFFF"/>
        </w:rPr>
        <w:t>6、负责本林场森林资源保护管理情况的考核。负责林场社会事务管理工作，确保林区社会安全稳定。</w:t>
      </w:r>
    </w:p>
    <w:p w14:paraId="11768535">
      <w:pPr>
        <w:pStyle w:val="5"/>
        <w:keepNext w:val="0"/>
        <w:keepLines w:val="0"/>
        <w:pageBreakBefore w:val="0"/>
        <w:widowControl/>
        <w:suppressLineNumbers w:val="0"/>
        <w:kinsoku/>
        <w:wordWrap/>
        <w:overflowPunct/>
        <w:topLinePunct w:val="0"/>
        <w:autoSpaceDE w:val="0"/>
        <w:autoSpaceDN/>
        <w:bidi w:val="0"/>
        <w:adjustRightInd/>
        <w:snapToGrid/>
        <w:spacing w:beforeAutospacing="0" w:afterAutospacing="0" w:line="500" w:lineRule="exact"/>
        <w:ind w:left="0" w:firstLine="555"/>
        <w:textAlignment w:val="auto"/>
        <w:rPr>
          <w:rFonts w:hint="eastAsia" w:ascii="仿宋" w:hAnsi="仿宋" w:eastAsia="仿宋" w:cs="仿宋"/>
          <w:color w:val="666666"/>
          <w:sz w:val="32"/>
          <w:szCs w:val="32"/>
        </w:rPr>
      </w:pPr>
      <w:r>
        <w:rPr>
          <w:rFonts w:hint="eastAsia" w:ascii="仿宋" w:hAnsi="仿宋" w:eastAsia="仿宋" w:cs="仿宋"/>
          <w:color w:val="333333"/>
          <w:sz w:val="32"/>
          <w:szCs w:val="32"/>
          <w:shd w:val="clear" w:color="auto" w:fill="FFFFFF"/>
        </w:rPr>
        <w:t>7、承办县委、县政府及上级主管部门交办的其他事项。</w:t>
      </w:r>
    </w:p>
    <w:p w14:paraId="2CCD2D58">
      <w:pPr>
        <w:spacing w:line="560" w:lineRule="exact"/>
        <w:ind w:firstLine="646"/>
        <w:rPr>
          <w:rFonts w:hint="eastAsia"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eastAsia="zh-CN"/>
        </w:rPr>
        <w:t>机构设置情况</w:t>
      </w:r>
    </w:p>
    <w:p w14:paraId="52DC5FCE">
      <w:pPr>
        <w:pStyle w:val="5"/>
        <w:keepNext w:val="0"/>
        <w:keepLines w:val="0"/>
        <w:pageBreakBefore w:val="0"/>
        <w:widowControl/>
        <w:suppressLineNumbers w:val="0"/>
        <w:kinsoku/>
        <w:wordWrap/>
        <w:overflowPunct/>
        <w:topLinePunct w:val="0"/>
        <w:autoSpaceDE w:val="0"/>
        <w:autoSpaceDN/>
        <w:bidi w:val="0"/>
        <w:adjustRightInd/>
        <w:snapToGrid/>
        <w:spacing w:beforeAutospacing="0" w:afterAutospacing="0" w:line="500" w:lineRule="exact"/>
        <w:ind w:left="0" w:firstLine="645"/>
        <w:textAlignment w:val="auto"/>
        <w:rPr>
          <w:rFonts w:ascii="仿宋_GB2312" w:hAnsi="微软雅黑" w:eastAsia="仿宋_GB2312" w:cs="仿宋_GB2312"/>
          <w:color w:val="333333"/>
          <w:sz w:val="32"/>
          <w:szCs w:val="32"/>
          <w:shd w:val="clear" w:color="auto" w:fill="FFFFFF"/>
        </w:rPr>
      </w:pPr>
      <w:r>
        <w:rPr>
          <w:rFonts w:ascii="仿宋_GB2312" w:hAnsi="微软雅黑" w:eastAsia="仿宋_GB2312" w:cs="仿宋_GB2312"/>
          <w:color w:val="333333"/>
          <w:sz w:val="32"/>
          <w:szCs w:val="32"/>
          <w:shd w:val="clear" w:color="auto" w:fill="FFFFFF"/>
        </w:rPr>
        <w:t>华山林场内设机构有办公室、营林生产股、森</w:t>
      </w:r>
      <w:r>
        <w:rPr>
          <w:rFonts w:hint="eastAsia" w:ascii="仿宋_GB2312" w:hAnsi="微软雅黑" w:eastAsia="仿宋_GB2312" w:cs="仿宋_GB2312"/>
          <w:color w:val="333333"/>
          <w:sz w:val="32"/>
          <w:szCs w:val="32"/>
          <w:shd w:val="clear" w:color="auto" w:fill="FFFFFF"/>
          <w:lang w:val="en-US" w:eastAsia="zh-CN"/>
        </w:rPr>
        <w:t>林病虫害防治管理</w:t>
      </w:r>
      <w:r>
        <w:rPr>
          <w:rFonts w:ascii="仿宋_GB2312" w:hAnsi="微软雅黑" w:eastAsia="仿宋_GB2312" w:cs="仿宋_GB2312"/>
          <w:color w:val="333333"/>
          <w:sz w:val="32"/>
          <w:szCs w:val="32"/>
          <w:shd w:val="clear" w:color="auto" w:fill="FFFFFF"/>
        </w:rPr>
        <w:t>股、林政管理股、生态公益林管理股、</w:t>
      </w:r>
      <w:r>
        <w:rPr>
          <w:rFonts w:hint="eastAsia" w:ascii="仿宋_GB2312" w:hAnsi="微软雅黑" w:eastAsia="仿宋_GB2312" w:cs="仿宋_GB2312"/>
          <w:color w:val="333333"/>
          <w:sz w:val="32"/>
          <w:szCs w:val="32"/>
          <w:shd w:val="clear" w:color="auto" w:fill="FFFFFF"/>
          <w:lang w:val="en-US" w:eastAsia="zh-CN"/>
        </w:rPr>
        <w:t>林下经济</w:t>
      </w:r>
      <w:r>
        <w:rPr>
          <w:rFonts w:ascii="仿宋_GB2312" w:hAnsi="微软雅黑" w:eastAsia="仿宋_GB2312" w:cs="仿宋_GB2312"/>
          <w:color w:val="333333"/>
          <w:sz w:val="32"/>
          <w:szCs w:val="32"/>
          <w:shd w:val="clear" w:color="auto" w:fill="FFFFFF"/>
        </w:rPr>
        <w:t>科技应用与推广管理股、防火办公室、华山分场、廖洞分场、北山分场、大沙坡分场、雅龙分场、久仁分场、城皇分场、后洞分场。</w:t>
      </w:r>
    </w:p>
    <w:p w14:paraId="1E114BD4">
      <w:pPr>
        <w:pStyle w:val="5"/>
        <w:keepNext w:val="0"/>
        <w:keepLines w:val="0"/>
        <w:pageBreakBefore w:val="0"/>
        <w:widowControl/>
        <w:suppressLineNumbers w:val="0"/>
        <w:kinsoku/>
        <w:wordWrap/>
        <w:overflowPunct/>
        <w:topLinePunct w:val="0"/>
        <w:autoSpaceDE w:val="0"/>
        <w:autoSpaceDN/>
        <w:bidi w:val="0"/>
        <w:adjustRightInd/>
        <w:snapToGrid/>
        <w:spacing w:beforeAutospacing="0" w:afterAutospacing="0" w:line="500" w:lineRule="exact"/>
        <w:ind w:left="0" w:firstLine="645"/>
        <w:textAlignment w:val="auto"/>
        <w:rPr>
          <w:rFonts w:ascii="仿宋_GB2312" w:hAnsi="微软雅黑" w:eastAsia="仿宋_GB2312" w:cs="仿宋_GB2312"/>
          <w:color w:val="333333"/>
          <w:sz w:val="32"/>
          <w:szCs w:val="32"/>
          <w:shd w:val="clear" w:color="auto" w:fill="FFFFFF"/>
        </w:rPr>
      </w:pPr>
    </w:p>
    <w:p w14:paraId="33C604C8">
      <w:pPr>
        <w:pStyle w:val="5"/>
        <w:keepNext w:val="0"/>
        <w:keepLines w:val="0"/>
        <w:pageBreakBefore w:val="0"/>
        <w:widowControl/>
        <w:suppressLineNumbers w:val="0"/>
        <w:kinsoku/>
        <w:wordWrap/>
        <w:overflowPunct/>
        <w:topLinePunct w:val="0"/>
        <w:autoSpaceDE w:val="0"/>
        <w:autoSpaceDN/>
        <w:bidi w:val="0"/>
        <w:adjustRightInd/>
        <w:snapToGrid/>
        <w:spacing w:beforeAutospacing="0" w:afterAutospacing="0" w:line="500" w:lineRule="exact"/>
        <w:ind w:left="0" w:firstLine="645"/>
        <w:textAlignment w:val="auto"/>
        <w:rPr>
          <w:rFonts w:ascii="仿宋_GB2312" w:hAnsi="微软雅黑" w:eastAsia="仿宋_GB2312" w:cs="仿宋_GB2312"/>
          <w:color w:val="333333"/>
          <w:sz w:val="31"/>
          <w:szCs w:val="31"/>
          <w:shd w:val="clear" w:color="auto" w:fill="FFFFFF"/>
        </w:rPr>
      </w:pPr>
    </w:p>
    <w:tbl>
      <w:tblPr>
        <w:tblStyle w:val="6"/>
        <w:tblW w:w="83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31"/>
        <w:gridCol w:w="1737"/>
        <w:gridCol w:w="1782"/>
        <w:gridCol w:w="1528"/>
        <w:gridCol w:w="1692"/>
      </w:tblGrid>
      <w:tr w14:paraId="6C4AF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635" w:type="dxa"/>
            <w:tcBorders>
              <w:top w:val="nil"/>
              <w:left w:val="nil"/>
              <w:bottom w:val="single" w:color="auto" w:sz="4" w:space="0"/>
              <w:right w:val="nil"/>
            </w:tcBorders>
            <w:shd w:val="clear" w:color="auto" w:fill="auto"/>
            <w:tcMar>
              <w:bottom w:w="0" w:type="dxa"/>
            </w:tcMar>
            <w:vAlign w:val="center"/>
          </w:tcPr>
          <w:p w14:paraId="31D08BC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8"/>
                <w:szCs w:val="18"/>
              </w:rPr>
            </w:pPr>
          </w:p>
        </w:tc>
        <w:tc>
          <w:tcPr>
            <w:tcW w:w="1740" w:type="dxa"/>
            <w:tcBorders>
              <w:top w:val="nil"/>
              <w:left w:val="nil"/>
              <w:bottom w:val="single" w:color="auto" w:sz="4" w:space="0"/>
              <w:right w:val="nil"/>
            </w:tcBorders>
            <w:shd w:val="clear" w:color="auto" w:fill="auto"/>
            <w:tcMar>
              <w:bottom w:w="0" w:type="dxa"/>
            </w:tcMar>
            <w:vAlign w:val="center"/>
          </w:tcPr>
          <w:p w14:paraId="454FABF5">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8"/>
                <w:szCs w:val="18"/>
              </w:rPr>
            </w:pPr>
          </w:p>
        </w:tc>
        <w:tc>
          <w:tcPr>
            <w:tcW w:w="1785" w:type="dxa"/>
            <w:tcBorders>
              <w:top w:val="nil"/>
              <w:left w:val="nil"/>
              <w:bottom w:val="single" w:color="auto" w:sz="4" w:space="0"/>
              <w:right w:val="nil"/>
            </w:tcBorders>
            <w:shd w:val="clear" w:color="auto" w:fill="auto"/>
            <w:tcMar>
              <w:bottom w:w="0" w:type="dxa"/>
            </w:tcMar>
            <w:vAlign w:val="center"/>
          </w:tcPr>
          <w:p w14:paraId="7522922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8"/>
                <w:szCs w:val="18"/>
              </w:rPr>
            </w:pPr>
          </w:p>
        </w:tc>
        <w:tc>
          <w:tcPr>
            <w:tcW w:w="1530" w:type="dxa"/>
            <w:tcBorders>
              <w:top w:val="nil"/>
              <w:left w:val="nil"/>
              <w:bottom w:val="single" w:color="auto" w:sz="4" w:space="0"/>
              <w:right w:val="nil"/>
            </w:tcBorders>
            <w:shd w:val="clear" w:color="auto" w:fill="auto"/>
            <w:tcMar>
              <w:bottom w:w="0" w:type="dxa"/>
            </w:tcMar>
            <w:vAlign w:val="center"/>
          </w:tcPr>
          <w:p w14:paraId="08356CC7">
            <w:pPr>
              <w:pStyle w:val="5"/>
              <w:keepNext w:val="0"/>
              <w:keepLines w:val="0"/>
              <w:widowControl/>
              <w:suppressLineNumbers w:val="0"/>
              <w:spacing w:before="0" w:after="0"/>
              <w:ind w:left="0" w:right="0"/>
              <w:textAlignment w:val="center"/>
              <w:rPr>
                <w:rFonts w:hint="default"/>
                <w:color w:val="666666"/>
              </w:rPr>
            </w:pPr>
            <w:r>
              <w:rPr>
                <w:rFonts w:hint="eastAsia" w:ascii="宋体" w:hAnsi="宋体" w:eastAsia="宋体" w:cs="宋体"/>
                <w:color w:val="333333"/>
                <w:sz w:val="22"/>
                <w:szCs w:val="22"/>
              </w:rPr>
              <w:t>单位：人</w:t>
            </w:r>
          </w:p>
        </w:tc>
        <w:tc>
          <w:tcPr>
            <w:tcW w:w="1695" w:type="dxa"/>
            <w:tcBorders>
              <w:top w:val="nil"/>
              <w:left w:val="nil"/>
              <w:bottom w:val="single" w:color="auto" w:sz="4" w:space="0"/>
              <w:right w:val="nil"/>
            </w:tcBorders>
            <w:shd w:val="clear" w:color="auto" w:fill="auto"/>
            <w:tcMar>
              <w:bottom w:w="0" w:type="dxa"/>
            </w:tcMar>
            <w:vAlign w:val="center"/>
          </w:tcPr>
          <w:p w14:paraId="6125758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8"/>
                <w:szCs w:val="18"/>
              </w:rPr>
            </w:pPr>
          </w:p>
        </w:tc>
      </w:tr>
      <w:tr w14:paraId="4DE1E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635" w:type="dxa"/>
            <w:vMerge w:val="restart"/>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14:paraId="79B0A69D">
            <w:pPr>
              <w:pStyle w:val="5"/>
              <w:keepNext w:val="0"/>
              <w:keepLines w:val="0"/>
              <w:widowControl/>
              <w:suppressLineNumbers w:val="0"/>
              <w:spacing w:before="0" w:after="0"/>
              <w:ind w:left="0" w:right="0"/>
              <w:jc w:val="center"/>
              <w:textAlignment w:val="center"/>
              <w:rPr>
                <w:rFonts w:hint="default"/>
                <w:color w:val="666666"/>
              </w:rPr>
            </w:pPr>
            <w:r>
              <w:rPr>
                <w:rFonts w:hint="eastAsia" w:ascii="宋体" w:hAnsi="宋体" w:eastAsia="宋体" w:cs="宋体"/>
                <w:color w:val="333333"/>
                <w:sz w:val="22"/>
                <w:szCs w:val="22"/>
              </w:rPr>
              <w:t>项目</w:t>
            </w:r>
          </w:p>
        </w:tc>
        <w:tc>
          <w:tcPr>
            <w:tcW w:w="1740" w:type="dxa"/>
            <w:vMerge w:val="restart"/>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14:paraId="093F9ABD">
            <w:pPr>
              <w:pStyle w:val="5"/>
              <w:keepNext w:val="0"/>
              <w:keepLines w:val="0"/>
              <w:widowControl/>
              <w:suppressLineNumbers w:val="0"/>
              <w:spacing w:before="0" w:after="0"/>
              <w:ind w:left="0" w:right="0"/>
              <w:jc w:val="center"/>
              <w:textAlignment w:val="center"/>
              <w:rPr>
                <w:rFonts w:hint="default"/>
                <w:color w:val="666666"/>
              </w:rPr>
            </w:pPr>
            <w:r>
              <w:rPr>
                <w:rFonts w:hint="eastAsia" w:ascii="宋体" w:hAnsi="宋体" w:eastAsia="宋体" w:cs="宋体"/>
                <w:color w:val="333333"/>
                <w:sz w:val="22"/>
                <w:szCs w:val="22"/>
              </w:rPr>
              <w:t>合计</w:t>
            </w:r>
          </w:p>
        </w:tc>
        <w:tc>
          <w:tcPr>
            <w:tcW w:w="4995" w:type="dxa"/>
            <w:gridSpan w:val="3"/>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14:paraId="543F5DAB">
            <w:pPr>
              <w:pStyle w:val="5"/>
              <w:keepNext w:val="0"/>
              <w:keepLines w:val="0"/>
              <w:widowControl/>
              <w:suppressLineNumbers w:val="0"/>
              <w:spacing w:before="0" w:after="0"/>
              <w:ind w:left="0" w:right="0"/>
              <w:jc w:val="center"/>
              <w:textAlignment w:val="center"/>
              <w:rPr>
                <w:rFonts w:hint="default"/>
                <w:color w:val="666666"/>
              </w:rPr>
            </w:pPr>
            <w:r>
              <w:rPr>
                <w:rFonts w:hint="eastAsia" w:ascii="宋体" w:hAnsi="宋体" w:eastAsia="宋体" w:cs="宋体"/>
                <w:color w:val="333333"/>
                <w:sz w:val="22"/>
                <w:szCs w:val="22"/>
              </w:rPr>
              <w:t>财政拨款事业单位</w:t>
            </w:r>
          </w:p>
        </w:tc>
      </w:tr>
      <w:tr w14:paraId="5F4FD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635" w:type="dxa"/>
            <w:vMerge w:val="continue"/>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14:paraId="7674FA11">
            <w:pPr>
              <w:keepNext w:val="0"/>
              <w:keepLines w:val="0"/>
              <w:suppressLineNumbers w:val="0"/>
              <w:spacing w:before="0" w:beforeAutospacing="0" w:after="0" w:afterAutospacing="0"/>
              <w:ind w:left="0" w:right="0"/>
              <w:rPr>
                <w:rFonts w:hint="eastAsia" w:ascii="微软雅黑" w:hAnsi="微软雅黑" w:eastAsia="微软雅黑" w:cs="微软雅黑"/>
                <w:sz w:val="18"/>
                <w:szCs w:val="18"/>
              </w:rPr>
            </w:pPr>
          </w:p>
        </w:tc>
        <w:tc>
          <w:tcPr>
            <w:tcW w:w="1740" w:type="dxa"/>
            <w:vMerge w:val="continue"/>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14:paraId="6B65288D">
            <w:pPr>
              <w:keepNext w:val="0"/>
              <w:keepLines w:val="0"/>
              <w:suppressLineNumbers w:val="0"/>
              <w:spacing w:before="0" w:beforeAutospacing="0" w:after="0" w:afterAutospacing="0"/>
              <w:ind w:left="0" w:right="0"/>
              <w:rPr>
                <w:rFonts w:hint="eastAsia" w:ascii="微软雅黑" w:hAnsi="微软雅黑" w:eastAsia="微软雅黑" w:cs="微软雅黑"/>
                <w:sz w:val="18"/>
                <w:szCs w:val="18"/>
              </w:rPr>
            </w:pPr>
          </w:p>
        </w:tc>
        <w:tc>
          <w:tcPr>
            <w:tcW w:w="1785" w:type="dxa"/>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14:paraId="19756256">
            <w:pPr>
              <w:pStyle w:val="5"/>
              <w:keepNext w:val="0"/>
              <w:keepLines w:val="0"/>
              <w:widowControl/>
              <w:suppressLineNumbers w:val="0"/>
              <w:spacing w:before="0" w:after="0"/>
              <w:ind w:left="0" w:right="0"/>
              <w:jc w:val="center"/>
              <w:textAlignment w:val="center"/>
              <w:rPr>
                <w:rFonts w:hint="default"/>
                <w:color w:val="666666"/>
              </w:rPr>
            </w:pPr>
            <w:r>
              <w:rPr>
                <w:rFonts w:hint="eastAsia" w:ascii="宋体" w:hAnsi="宋体" w:eastAsia="宋体" w:cs="宋体"/>
                <w:color w:val="333333"/>
                <w:sz w:val="22"/>
                <w:szCs w:val="22"/>
              </w:rPr>
              <w:t>事业专技</w:t>
            </w:r>
          </w:p>
        </w:tc>
        <w:tc>
          <w:tcPr>
            <w:tcW w:w="1530" w:type="dxa"/>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14:paraId="7C95CE96">
            <w:pPr>
              <w:pStyle w:val="5"/>
              <w:keepNext w:val="0"/>
              <w:keepLines w:val="0"/>
              <w:widowControl/>
              <w:suppressLineNumbers w:val="0"/>
              <w:spacing w:before="0" w:after="0"/>
              <w:ind w:left="0" w:right="0"/>
              <w:jc w:val="center"/>
              <w:textAlignment w:val="center"/>
              <w:rPr>
                <w:rFonts w:hint="default"/>
                <w:color w:val="666666"/>
              </w:rPr>
            </w:pPr>
            <w:r>
              <w:rPr>
                <w:rFonts w:hint="eastAsia" w:ascii="宋体" w:hAnsi="宋体" w:eastAsia="宋体" w:cs="宋体"/>
                <w:color w:val="333333"/>
                <w:sz w:val="22"/>
                <w:szCs w:val="22"/>
              </w:rPr>
              <w:t>事业工勤</w:t>
            </w:r>
          </w:p>
        </w:tc>
        <w:tc>
          <w:tcPr>
            <w:tcW w:w="1695" w:type="dxa"/>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14:paraId="6E228A51">
            <w:pPr>
              <w:pStyle w:val="5"/>
              <w:keepNext w:val="0"/>
              <w:keepLines w:val="0"/>
              <w:widowControl/>
              <w:suppressLineNumbers w:val="0"/>
              <w:spacing w:before="0" w:after="0"/>
              <w:ind w:left="0" w:right="0"/>
              <w:jc w:val="center"/>
              <w:textAlignment w:val="center"/>
              <w:rPr>
                <w:rFonts w:hint="default"/>
                <w:color w:val="666666"/>
              </w:rPr>
            </w:pPr>
            <w:r>
              <w:rPr>
                <w:rFonts w:hint="eastAsia" w:ascii="宋体" w:hAnsi="宋体" w:eastAsia="宋体" w:cs="宋体"/>
                <w:color w:val="333333"/>
                <w:sz w:val="22"/>
                <w:szCs w:val="22"/>
              </w:rPr>
              <w:t>事业管理</w:t>
            </w:r>
          </w:p>
        </w:tc>
      </w:tr>
      <w:tr w14:paraId="2EF4D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635" w:type="dxa"/>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14:paraId="3D4E561A">
            <w:pPr>
              <w:pStyle w:val="5"/>
              <w:keepNext w:val="0"/>
              <w:keepLines w:val="0"/>
              <w:widowControl/>
              <w:suppressLineNumbers w:val="0"/>
              <w:spacing w:before="0" w:after="0"/>
              <w:ind w:left="0" w:right="0"/>
              <w:jc w:val="center"/>
              <w:textAlignment w:val="center"/>
              <w:rPr>
                <w:rFonts w:hint="default"/>
                <w:color w:val="666666"/>
              </w:rPr>
            </w:pPr>
            <w:r>
              <w:rPr>
                <w:rFonts w:hint="eastAsia" w:ascii="宋体" w:hAnsi="宋体" w:eastAsia="宋体" w:cs="宋体"/>
                <w:color w:val="333333"/>
                <w:sz w:val="22"/>
                <w:szCs w:val="22"/>
              </w:rPr>
              <w:t>编制数</w:t>
            </w:r>
          </w:p>
        </w:tc>
        <w:tc>
          <w:tcPr>
            <w:tcW w:w="1740" w:type="dxa"/>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14:paraId="799EAEFB">
            <w:pPr>
              <w:pStyle w:val="5"/>
              <w:keepNext w:val="0"/>
              <w:keepLines w:val="0"/>
              <w:widowControl/>
              <w:suppressLineNumbers w:val="0"/>
              <w:spacing w:before="0" w:after="0"/>
              <w:ind w:left="0" w:right="0"/>
              <w:jc w:val="center"/>
              <w:textAlignment w:val="center"/>
              <w:rPr>
                <w:rFonts w:hint="default" w:eastAsia="宋体"/>
                <w:color w:val="666666"/>
                <w:lang w:val="en-US" w:eastAsia="zh-CN"/>
              </w:rPr>
            </w:pPr>
            <w:r>
              <w:rPr>
                <w:rFonts w:hint="eastAsia" w:ascii="宋体" w:hAnsi="宋体" w:eastAsia="宋体" w:cs="宋体"/>
                <w:color w:val="333333"/>
                <w:sz w:val="22"/>
                <w:szCs w:val="22"/>
              </w:rPr>
              <w:t>1</w:t>
            </w:r>
            <w:r>
              <w:rPr>
                <w:rFonts w:hint="eastAsia" w:ascii="宋体" w:hAnsi="宋体" w:eastAsia="宋体" w:cs="宋体"/>
                <w:color w:val="333333"/>
                <w:sz w:val="22"/>
                <w:szCs w:val="22"/>
                <w:lang w:val="en-US" w:eastAsia="zh-CN"/>
              </w:rPr>
              <w:t>08</w:t>
            </w:r>
          </w:p>
        </w:tc>
        <w:tc>
          <w:tcPr>
            <w:tcW w:w="1785" w:type="dxa"/>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14:paraId="3E786A43">
            <w:pPr>
              <w:pStyle w:val="5"/>
              <w:keepNext w:val="0"/>
              <w:keepLines w:val="0"/>
              <w:widowControl/>
              <w:suppressLineNumbers w:val="0"/>
              <w:spacing w:before="0" w:after="0"/>
              <w:ind w:left="0" w:right="0"/>
              <w:jc w:val="center"/>
              <w:textAlignment w:val="center"/>
              <w:rPr>
                <w:rFonts w:hint="default" w:eastAsia="宋体"/>
                <w:color w:val="666666"/>
                <w:lang w:val="en-US" w:eastAsia="zh-CN"/>
              </w:rPr>
            </w:pPr>
            <w:r>
              <w:rPr>
                <w:rFonts w:hint="eastAsia" w:ascii="宋体" w:hAnsi="宋体" w:eastAsia="宋体" w:cs="宋体"/>
                <w:color w:val="333333"/>
                <w:sz w:val="22"/>
                <w:szCs w:val="22"/>
                <w:lang w:val="en-US" w:eastAsia="zh-CN"/>
              </w:rPr>
              <w:t>72</w:t>
            </w:r>
          </w:p>
        </w:tc>
        <w:tc>
          <w:tcPr>
            <w:tcW w:w="1530" w:type="dxa"/>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14:paraId="05B8023B">
            <w:pPr>
              <w:pStyle w:val="5"/>
              <w:keepNext w:val="0"/>
              <w:keepLines w:val="0"/>
              <w:widowControl/>
              <w:suppressLineNumbers w:val="0"/>
              <w:spacing w:before="0" w:after="0"/>
              <w:ind w:left="0" w:right="0"/>
              <w:jc w:val="center"/>
              <w:textAlignment w:val="center"/>
              <w:rPr>
                <w:rFonts w:hint="default" w:eastAsia="宋体"/>
                <w:color w:val="666666"/>
                <w:lang w:val="en-US" w:eastAsia="zh-CN"/>
              </w:rPr>
            </w:pPr>
            <w:r>
              <w:rPr>
                <w:rFonts w:hint="eastAsia" w:ascii="宋体" w:hAnsi="宋体" w:eastAsia="宋体" w:cs="宋体"/>
                <w:color w:val="333333"/>
                <w:sz w:val="22"/>
                <w:szCs w:val="22"/>
                <w:lang w:val="en-US" w:eastAsia="zh-CN"/>
              </w:rPr>
              <w:t>30</w:t>
            </w:r>
          </w:p>
        </w:tc>
        <w:tc>
          <w:tcPr>
            <w:tcW w:w="1695" w:type="dxa"/>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14:paraId="1101BD0B">
            <w:pPr>
              <w:pStyle w:val="5"/>
              <w:keepNext w:val="0"/>
              <w:keepLines w:val="0"/>
              <w:widowControl/>
              <w:suppressLineNumbers w:val="0"/>
              <w:spacing w:before="0" w:after="0"/>
              <w:ind w:left="0" w:right="0"/>
              <w:jc w:val="center"/>
              <w:textAlignment w:val="center"/>
              <w:rPr>
                <w:rFonts w:hint="eastAsia" w:eastAsia="宋体"/>
                <w:color w:val="666666"/>
                <w:lang w:eastAsia="zh-CN"/>
              </w:rPr>
            </w:pPr>
            <w:r>
              <w:rPr>
                <w:rFonts w:hint="eastAsia" w:ascii="宋体" w:hAnsi="宋体" w:eastAsia="宋体" w:cs="宋体"/>
                <w:color w:val="333333"/>
                <w:sz w:val="22"/>
                <w:szCs w:val="22"/>
                <w:lang w:val="en-US" w:eastAsia="zh-CN"/>
              </w:rPr>
              <w:t>6</w:t>
            </w:r>
          </w:p>
        </w:tc>
      </w:tr>
      <w:tr w14:paraId="24DB9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635" w:type="dxa"/>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14:paraId="7628C583">
            <w:pPr>
              <w:pStyle w:val="5"/>
              <w:keepNext w:val="0"/>
              <w:keepLines w:val="0"/>
              <w:widowControl/>
              <w:suppressLineNumbers w:val="0"/>
              <w:spacing w:before="0" w:after="0"/>
              <w:ind w:left="0" w:right="0"/>
              <w:jc w:val="center"/>
              <w:textAlignment w:val="center"/>
              <w:rPr>
                <w:rFonts w:hint="default"/>
                <w:color w:val="666666"/>
              </w:rPr>
            </w:pPr>
            <w:r>
              <w:rPr>
                <w:rFonts w:hint="eastAsia" w:ascii="宋体" w:hAnsi="宋体" w:eastAsia="宋体" w:cs="宋体"/>
                <w:color w:val="333333"/>
                <w:sz w:val="22"/>
                <w:szCs w:val="22"/>
              </w:rPr>
              <w:t>在职人数</w:t>
            </w:r>
          </w:p>
        </w:tc>
        <w:tc>
          <w:tcPr>
            <w:tcW w:w="1740" w:type="dxa"/>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14:paraId="7E15C548">
            <w:pPr>
              <w:pStyle w:val="5"/>
              <w:keepNext w:val="0"/>
              <w:keepLines w:val="0"/>
              <w:widowControl/>
              <w:suppressLineNumbers w:val="0"/>
              <w:spacing w:before="0" w:after="0"/>
              <w:ind w:left="0" w:right="0"/>
              <w:jc w:val="center"/>
              <w:textAlignment w:val="center"/>
              <w:rPr>
                <w:rFonts w:hint="default" w:eastAsia="宋体"/>
                <w:color w:val="666666"/>
                <w:lang w:val="en-US" w:eastAsia="zh-CN"/>
              </w:rPr>
            </w:pPr>
            <w:r>
              <w:rPr>
                <w:rFonts w:hint="eastAsia" w:ascii="宋体" w:hAnsi="宋体" w:eastAsia="宋体" w:cs="宋体"/>
                <w:color w:val="333333"/>
                <w:sz w:val="22"/>
                <w:szCs w:val="22"/>
              </w:rPr>
              <w:t>1</w:t>
            </w:r>
            <w:r>
              <w:rPr>
                <w:rFonts w:hint="eastAsia" w:ascii="宋体" w:hAnsi="宋体" w:eastAsia="宋体" w:cs="宋体"/>
                <w:color w:val="333333"/>
                <w:sz w:val="22"/>
                <w:szCs w:val="22"/>
                <w:lang w:val="en-US" w:eastAsia="zh-CN"/>
              </w:rPr>
              <w:t>08</w:t>
            </w:r>
          </w:p>
        </w:tc>
        <w:tc>
          <w:tcPr>
            <w:tcW w:w="1785" w:type="dxa"/>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14:paraId="3247DB56">
            <w:pPr>
              <w:pStyle w:val="5"/>
              <w:keepNext w:val="0"/>
              <w:keepLines w:val="0"/>
              <w:widowControl/>
              <w:suppressLineNumbers w:val="0"/>
              <w:spacing w:before="0" w:after="0"/>
              <w:ind w:left="0" w:leftChars="0" w:right="0" w:rightChars="0"/>
              <w:jc w:val="center"/>
              <w:textAlignment w:val="center"/>
              <w:rPr>
                <w:rFonts w:hint="default" w:eastAsia="宋体"/>
                <w:color w:val="666666"/>
                <w:lang w:val="en-US" w:eastAsia="zh-CN"/>
              </w:rPr>
            </w:pPr>
            <w:r>
              <w:rPr>
                <w:rFonts w:hint="eastAsia" w:ascii="宋体" w:hAnsi="宋体" w:eastAsia="宋体" w:cs="宋体"/>
                <w:color w:val="333333"/>
                <w:sz w:val="22"/>
                <w:szCs w:val="22"/>
                <w:lang w:val="en-US" w:eastAsia="zh-CN"/>
              </w:rPr>
              <w:t>72</w:t>
            </w:r>
          </w:p>
        </w:tc>
        <w:tc>
          <w:tcPr>
            <w:tcW w:w="1530" w:type="dxa"/>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14:paraId="3494FC48">
            <w:pPr>
              <w:pStyle w:val="5"/>
              <w:keepNext w:val="0"/>
              <w:keepLines w:val="0"/>
              <w:widowControl/>
              <w:suppressLineNumbers w:val="0"/>
              <w:spacing w:before="0" w:after="0"/>
              <w:ind w:left="0" w:leftChars="0" w:right="0" w:rightChars="0"/>
              <w:jc w:val="center"/>
              <w:textAlignment w:val="center"/>
              <w:rPr>
                <w:rFonts w:hint="default" w:eastAsia="宋体"/>
                <w:color w:val="666666"/>
                <w:lang w:val="en-US" w:eastAsia="zh-CN"/>
              </w:rPr>
            </w:pPr>
            <w:r>
              <w:rPr>
                <w:rFonts w:hint="eastAsia" w:ascii="宋体" w:hAnsi="宋体" w:eastAsia="宋体" w:cs="宋体"/>
                <w:color w:val="333333"/>
                <w:sz w:val="22"/>
                <w:szCs w:val="22"/>
                <w:lang w:val="en-US" w:eastAsia="zh-CN"/>
              </w:rPr>
              <w:t>30</w:t>
            </w:r>
          </w:p>
        </w:tc>
        <w:tc>
          <w:tcPr>
            <w:tcW w:w="1695" w:type="dxa"/>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14:paraId="058F60C3">
            <w:pPr>
              <w:pStyle w:val="5"/>
              <w:keepNext w:val="0"/>
              <w:keepLines w:val="0"/>
              <w:widowControl/>
              <w:suppressLineNumbers w:val="0"/>
              <w:spacing w:before="0" w:after="0"/>
              <w:ind w:left="0" w:leftChars="0" w:right="0" w:rightChars="0"/>
              <w:jc w:val="center"/>
              <w:textAlignment w:val="center"/>
              <w:rPr>
                <w:rFonts w:hint="eastAsia" w:eastAsia="宋体"/>
                <w:color w:val="666666"/>
                <w:lang w:eastAsia="zh-CN"/>
              </w:rPr>
            </w:pPr>
            <w:r>
              <w:rPr>
                <w:rFonts w:hint="eastAsia" w:ascii="宋体" w:hAnsi="宋体" w:eastAsia="宋体" w:cs="宋体"/>
                <w:color w:val="333333"/>
                <w:sz w:val="22"/>
                <w:szCs w:val="22"/>
                <w:lang w:val="en-US" w:eastAsia="zh-CN"/>
              </w:rPr>
              <w:t>6</w:t>
            </w:r>
          </w:p>
        </w:tc>
      </w:tr>
      <w:tr w14:paraId="4B54F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635" w:type="dxa"/>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14:paraId="1B28DB1B">
            <w:pPr>
              <w:pStyle w:val="5"/>
              <w:keepNext w:val="0"/>
              <w:keepLines w:val="0"/>
              <w:widowControl/>
              <w:suppressLineNumbers w:val="0"/>
              <w:spacing w:before="0" w:after="0"/>
              <w:ind w:left="0" w:right="0"/>
              <w:jc w:val="center"/>
              <w:textAlignment w:val="center"/>
              <w:rPr>
                <w:rFonts w:hint="default"/>
                <w:color w:val="666666"/>
              </w:rPr>
            </w:pPr>
            <w:r>
              <w:rPr>
                <w:rFonts w:hint="eastAsia" w:ascii="宋体" w:hAnsi="宋体" w:eastAsia="宋体" w:cs="宋体"/>
                <w:color w:val="333333"/>
                <w:sz w:val="22"/>
                <w:szCs w:val="22"/>
              </w:rPr>
              <w:t>退休人员</w:t>
            </w:r>
          </w:p>
        </w:tc>
        <w:tc>
          <w:tcPr>
            <w:tcW w:w="1740" w:type="dxa"/>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14:paraId="3D217148">
            <w:pPr>
              <w:pStyle w:val="5"/>
              <w:keepNext w:val="0"/>
              <w:keepLines w:val="0"/>
              <w:widowControl/>
              <w:suppressLineNumbers w:val="0"/>
              <w:spacing w:before="0" w:after="0"/>
              <w:ind w:left="0" w:right="0"/>
              <w:jc w:val="center"/>
              <w:textAlignment w:val="center"/>
              <w:rPr>
                <w:rFonts w:hint="default" w:eastAsia="宋体"/>
                <w:color w:val="666666"/>
                <w:lang w:val="en-US" w:eastAsia="zh-CN"/>
              </w:rPr>
            </w:pPr>
            <w:r>
              <w:rPr>
                <w:rFonts w:hint="eastAsia" w:ascii="宋体" w:hAnsi="宋体" w:eastAsia="宋体" w:cs="宋体"/>
                <w:color w:val="333333"/>
                <w:sz w:val="22"/>
                <w:szCs w:val="22"/>
              </w:rPr>
              <w:t>1</w:t>
            </w:r>
            <w:r>
              <w:rPr>
                <w:rFonts w:hint="eastAsia" w:ascii="宋体" w:hAnsi="宋体" w:eastAsia="宋体" w:cs="宋体"/>
                <w:color w:val="333333"/>
                <w:sz w:val="22"/>
                <w:szCs w:val="22"/>
                <w:lang w:val="en-US" w:eastAsia="zh-CN"/>
              </w:rPr>
              <w:t>55</w:t>
            </w:r>
          </w:p>
        </w:tc>
        <w:tc>
          <w:tcPr>
            <w:tcW w:w="1785" w:type="dxa"/>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14:paraId="5EE7636A">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8"/>
                <w:szCs w:val="18"/>
              </w:rPr>
            </w:pPr>
          </w:p>
        </w:tc>
        <w:tc>
          <w:tcPr>
            <w:tcW w:w="1530" w:type="dxa"/>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14:paraId="79DF266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8"/>
                <w:szCs w:val="18"/>
              </w:rPr>
            </w:pPr>
          </w:p>
        </w:tc>
        <w:tc>
          <w:tcPr>
            <w:tcW w:w="1695" w:type="dxa"/>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14:paraId="7629EBF9">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8"/>
                <w:szCs w:val="18"/>
              </w:rPr>
            </w:pPr>
          </w:p>
        </w:tc>
      </w:tr>
    </w:tbl>
    <w:p w14:paraId="25E254E3">
      <w:pPr>
        <w:jc w:val="center"/>
        <w:rPr>
          <w:rFonts w:hint="eastAsia" w:ascii="黑体" w:hAnsi="黑体" w:eastAsia="黑体" w:cs="黑体"/>
          <w:sz w:val="32"/>
          <w:szCs w:val="32"/>
          <w:highlight w:val="none"/>
          <w:lang w:val="en-US" w:eastAsia="zh-CN"/>
        </w:rPr>
      </w:pPr>
    </w:p>
    <w:p w14:paraId="7C4A31D7">
      <w:pPr>
        <w:jc w:val="center"/>
        <w:rPr>
          <w:rFonts w:hint="eastAsia" w:ascii="黑体" w:hAnsi="黑体" w:eastAsia="黑体" w:cs="黑体"/>
          <w:sz w:val="32"/>
          <w:szCs w:val="32"/>
          <w:highlight w:val="none"/>
          <w:lang w:val="en-US" w:eastAsia="zh-CN"/>
        </w:rPr>
      </w:pPr>
    </w:p>
    <w:p w14:paraId="592F89C7">
      <w:pPr>
        <w:jc w:val="center"/>
        <w:rPr>
          <w:rFonts w:hint="eastAsia" w:ascii="黑体" w:hAnsi="黑体" w:eastAsia="黑体" w:cs="黑体"/>
          <w:sz w:val="32"/>
          <w:szCs w:val="32"/>
          <w:highlight w:val="none"/>
          <w:lang w:val="en-US" w:eastAsia="zh-CN"/>
        </w:rPr>
        <w:sectPr>
          <w:footerReference r:id="rId4" w:type="default"/>
          <w:pgSz w:w="11906" w:h="16838"/>
          <w:pgMar w:top="1440" w:right="1800" w:bottom="1440" w:left="1800" w:header="851" w:footer="992" w:gutter="0"/>
          <w:pgNumType w:start="1"/>
          <w:cols w:space="425" w:num="1"/>
          <w:docGrid w:type="lines" w:linePitch="312" w:charSpace="0"/>
        </w:sectPr>
      </w:pPr>
    </w:p>
    <w:p w14:paraId="261ADA45">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b w:val="0"/>
          <w:bCs w:val="0"/>
          <w:sz w:val="32"/>
          <w:szCs w:val="32"/>
          <w:highlight w:val="none"/>
          <w:lang w:val="en-US" w:eastAsia="zh-CN"/>
        </w:rPr>
        <w:t>环江毛南族自治县</w:t>
      </w:r>
      <w:r>
        <w:rPr>
          <w:rFonts w:hint="eastAsia" w:ascii="黑体" w:hAnsi="黑体" w:eastAsia="黑体" w:cs="黑体"/>
          <w:sz w:val="32"/>
          <w:u w:color="auto"/>
          <w:lang w:val="en-US" w:eastAsia="zh-CN"/>
        </w:rPr>
        <w:t>华山林场</w:t>
      </w:r>
      <w:r>
        <w:rPr>
          <w:rFonts w:hint="eastAsia" w:ascii="黑体" w:hAnsi="黑体" w:eastAsia="黑体" w:cs="黑体"/>
          <w:sz w:val="32"/>
          <w:szCs w:val="32"/>
          <w:highlight w:val="none"/>
        </w:rPr>
        <w:t xml:space="preserve"> 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p w14:paraId="7D242503">
      <w:pPr>
        <w:jc w:val="both"/>
        <w:rPr>
          <w:rFonts w:hint="eastAsia" w:ascii="仿宋" w:hAnsi="仿宋" w:eastAsia="仿宋" w:cs="仿宋"/>
          <w:sz w:val="24"/>
          <w:highlight w:val="none"/>
        </w:rPr>
      </w:pPr>
      <w:r>
        <w:rPr>
          <w:rFonts w:hint="eastAsia" w:ascii="黑体" w:hAnsi="黑体" w:eastAsia="黑体" w:cs="黑体"/>
          <w:b/>
          <w:bCs/>
          <w:sz w:val="24"/>
          <w:szCs w:val="24"/>
          <w:highlight w:val="none"/>
          <w:lang w:val="en-US" w:eastAsia="zh-CN"/>
        </w:rPr>
        <w:t xml:space="preserve">                         </w:t>
      </w:r>
    </w:p>
    <w:p w14:paraId="5AFE9E84">
      <w:pPr>
        <w:jc w:val="center"/>
        <w:rPr>
          <w:rFonts w:hint="eastAsia" w:ascii="仿宋" w:hAnsi="仿宋" w:eastAsia="仿宋" w:cs="仿宋"/>
          <w:sz w:val="24"/>
          <w:highlight w:val="none"/>
        </w:rPr>
      </w:pPr>
      <w:r>
        <w:rPr>
          <w:rFonts w:hint="eastAsia" w:ascii="仿宋" w:hAnsi="仿宋" w:eastAsia="仿宋" w:cs="仿宋"/>
          <w:sz w:val="24"/>
          <w:highlight w:val="none"/>
        </w:rPr>
        <w:object>
          <v:shape id="_x0000_i1025" o:spt="75" type="#_x0000_t75" style="height:447.3pt;width:578.85pt;" o:ole="t" filled="f" stroked="f" coordsize="21600,21600">
            <v:path/>
            <v:fill on="f" focussize="0,0"/>
            <v:stroke on="f"/>
            <v:imagedata r:id="rId7" embosscolor="#FFFFFF" o:title=""/>
            <o:lock v:ext="edit" aspectratio="t"/>
            <w10:wrap type="none"/>
            <w10:anchorlock/>
          </v:shape>
          <o:OLEObject Type="Embed" ProgID="Excel.Sheet.12" ShapeID="_x0000_i1025" DrawAspect="Content" ObjectID="_1468075725" r:id="rId6">
            <o:LockedField>false</o:LockedField>
          </o:OLEObject>
        </w:object>
      </w:r>
    </w:p>
    <w:p w14:paraId="404ADD09">
      <w:pPr>
        <w:jc w:val="center"/>
        <w:rPr>
          <w:rFonts w:hint="eastAsia" w:ascii="黑体" w:hAnsi="黑体" w:eastAsia="黑体" w:cs="黑体"/>
          <w:sz w:val="32"/>
          <w:szCs w:val="32"/>
          <w:highlight w:val="none"/>
        </w:rPr>
      </w:pPr>
      <w:r>
        <w:rPr>
          <w:rFonts w:hint="eastAsia" w:ascii="黑体" w:hAnsi="黑体" w:eastAsia="黑体" w:cs="黑体"/>
          <w:b/>
          <w:bCs/>
          <w:sz w:val="24"/>
          <w:highlight w:val="none"/>
          <w:lang w:val="en-US" w:eastAsia="zh-CN"/>
        </w:rPr>
        <w:object>
          <v:shape id="_x0000_i1026" o:spt="75" type="#_x0000_t75" style="height:264.85pt;width:629.85pt;" o:ole="t" filled="f" stroked="f" coordsize="21600,21600">
            <v:path/>
            <v:fill on="f" focussize="0,0"/>
            <v:stroke on="f"/>
            <v:imagedata r:id="rId9" embosscolor="#FFFFFF" o:title=""/>
            <o:lock v:ext="edit" aspectratio="t"/>
            <w10:wrap type="none"/>
            <w10:anchorlock/>
          </v:shape>
          <o:OLEObject Type="Embed" ProgID="Excel.Sheet.12" ShapeID="_x0000_i1026" DrawAspect="Content" ObjectID="_1468075726" r:id="rId8">
            <o:LockedField>false</o:LockedField>
          </o:OLEObject>
        </w:object>
      </w:r>
      <w:r>
        <w:rPr>
          <w:rFonts w:hint="eastAsia" w:ascii="黑体" w:hAnsi="黑体" w:eastAsia="黑体" w:cs="黑体"/>
          <w:b/>
          <w:bCs/>
          <w:sz w:val="24"/>
          <w:highlight w:val="none"/>
          <w:lang w:val="en-US" w:eastAsia="zh-CN"/>
        </w:rPr>
        <w:t xml:space="preserve">                                       </w:t>
      </w:r>
    </w:p>
    <w:p w14:paraId="05C034AA">
      <w:pPr>
        <w:jc w:val="center"/>
        <w:rPr>
          <w:rFonts w:hint="eastAsia" w:ascii="黑体" w:hAnsi="黑体" w:eastAsia="黑体" w:cs="黑体"/>
          <w:sz w:val="32"/>
          <w:szCs w:val="32"/>
          <w:highlight w:val="none"/>
        </w:rPr>
      </w:pPr>
    </w:p>
    <w:p w14:paraId="62E13ACC">
      <w:pPr>
        <w:jc w:val="center"/>
        <w:rPr>
          <w:rFonts w:hint="eastAsia" w:ascii="黑体" w:hAnsi="黑体" w:eastAsia="黑体" w:cs="黑体"/>
          <w:sz w:val="32"/>
          <w:szCs w:val="32"/>
          <w:highlight w:val="none"/>
        </w:rPr>
      </w:pPr>
    </w:p>
    <w:p w14:paraId="02A54D50">
      <w:pPr>
        <w:jc w:val="center"/>
        <w:rPr>
          <w:rFonts w:hint="eastAsia" w:ascii="黑体" w:hAnsi="黑体" w:eastAsia="黑体" w:cs="黑体"/>
          <w:sz w:val="32"/>
          <w:szCs w:val="32"/>
          <w:highlight w:val="none"/>
        </w:rPr>
      </w:pPr>
    </w:p>
    <w:p w14:paraId="22E58C4B">
      <w:pPr>
        <w:jc w:val="center"/>
        <w:rPr>
          <w:rFonts w:hint="eastAsia" w:ascii="黑体" w:hAnsi="黑体" w:eastAsia="黑体" w:cs="黑体"/>
          <w:sz w:val="32"/>
          <w:szCs w:val="32"/>
          <w:highlight w:val="none"/>
        </w:rPr>
      </w:pPr>
    </w:p>
    <w:p w14:paraId="79F67C2D">
      <w:pPr>
        <w:jc w:val="center"/>
        <w:rPr>
          <w:rFonts w:hint="eastAsia" w:ascii="黑体" w:hAnsi="黑体" w:eastAsia="黑体" w:cs="黑体"/>
          <w:sz w:val="32"/>
          <w:szCs w:val="32"/>
          <w:highlight w:val="none"/>
        </w:rPr>
      </w:pPr>
    </w:p>
    <w:p w14:paraId="6B2E6B05">
      <w:pPr>
        <w:jc w:val="center"/>
        <w:rPr>
          <w:rFonts w:hint="eastAsia" w:ascii="黑体" w:hAnsi="黑体" w:eastAsia="黑体" w:cs="黑体"/>
          <w:sz w:val="32"/>
          <w:szCs w:val="32"/>
          <w:highlight w:val="none"/>
        </w:rPr>
      </w:pPr>
    </w:p>
    <w:p w14:paraId="5F6AB4AD">
      <w:pPr>
        <w:jc w:val="center"/>
        <w:rPr>
          <w:rFonts w:hint="eastAsia" w:ascii="黑体" w:hAnsi="黑体" w:eastAsia="黑体" w:cs="黑体"/>
          <w:sz w:val="32"/>
          <w:szCs w:val="32"/>
          <w:highlight w:val="none"/>
        </w:rPr>
      </w:pPr>
      <w:r>
        <w:rPr>
          <w:rFonts w:hint="eastAsia" w:ascii="黑体" w:hAnsi="黑体" w:eastAsia="黑体" w:cs="黑体"/>
          <w:b/>
          <w:bCs/>
          <w:sz w:val="24"/>
          <w:szCs w:val="24"/>
          <w:highlight w:val="none"/>
          <w:lang w:val="en-US" w:eastAsia="zh-CN"/>
        </w:rPr>
        <w:t xml:space="preserve">           </w:t>
      </w:r>
      <w:r>
        <w:rPr>
          <w:rFonts w:hint="eastAsia" w:ascii="黑体" w:hAnsi="黑体" w:eastAsia="黑体" w:cs="黑体"/>
          <w:b/>
          <w:bCs/>
          <w:sz w:val="24"/>
          <w:szCs w:val="24"/>
          <w:highlight w:val="none"/>
          <w:lang w:val="en-US" w:eastAsia="zh-CN"/>
        </w:rPr>
        <w:object>
          <v:shape id="_x0000_i1027" o:spt="75" type="#_x0000_t75" style="height:263.2pt;width:641pt;" o:ole="t" filled="f" stroked="f" coordsize="21600,21600">
            <v:path/>
            <v:fill on="f" focussize="0,0"/>
            <v:stroke on="f"/>
            <v:imagedata r:id="rId11" embosscolor="#FFFFFF" o:title=""/>
            <o:lock v:ext="edit" aspectratio="t"/>
            <w10:wrap type="none"/>
            <w10:anchorlock/>
          </v:shape>
          <o:OLEObject Type="Embed" ProgID="Excel.Sheet.12" ShapeID="_x0000_i1027" DrawAspect="Content" ObjectID="_1468075727" r:id="rId10">
            <o:LockedField>false</o:LockedField>
          </o:OLEObject>
        </w:object>
      </w:r>
      <w:r>
        <w:rPr>
          <w:rFonts w:hint="eastAsia" w:ascii="黑体" w:hAnsi="黑体" w:eastAsia="黑体" w:cs="黑体"/>
          <w:b/>
          <w:bCs/>
          <w:sz w:val="24"/>
          <w:szCs w:val="24"/>
          <w:highlight w:val="none"/>
          <w:lang w:val="en-US" w:eastAsia="zh-CN"/>
        </w:rPr>
        <w:t xml:space="preserve">                                </w:t>
      </w:r>
    </w:p>
    <w:p w14:paraId="5206A459">
      <w:pPr>
        <w:jc w:val="center"/>
        <w:rPr>
          <w:rFonts w:hint="eastAsia" w:ascii="黑体" w:hAnsi="黑体" w:eastAsia="黑体" w:cs="黑体"/>
          <w:sz w:val="32"/>
          <w:szCs w:val="32"/>
          <w:highlight w:val="none"/>
        </w:rPr>
      </w:pPr>
    </w:p>
    <w:p w14:paraId="6DCC26CB">
      <w:pPr>
        <w:rPr>
          <w:rFonts w:hint="eastAsia" w:ascii="黑体" w:hAnsi="黑体" w:eastAsia="黑体" w:cs="黑体"/>
          <w:sz w:val="32"/>
          <w:szCs w:val="32"/>
          <w:highlight w:val="none"/>
        </w:rPr>
      </w:pPr>
      <w:r>
        <w:rPr>
          <w:rFonts w:hint="eastAsia" w:ascii="黑体" w:hAnsi="黑体" w:eastAsia="黑体" w:cs="黑体"/>
          <w:sz w:val="32"/>
          <w:szCs w:val="32"/>
          <w:highlight w:val="none"/>
        </w:rPr>
        <w:br w:type="page"/>
      </w:r>
    </w:p>
    <w:p w14:paraId="7B7D5A2F">
      <w:pPr>
        <w:rPr>
          <w:rFonts w:hint="eastAsia" w:ascii="黑体" w:hAnsi="黑体" w:eastAsia="黑体" w:cs="黑体"/>
          <w:sz w:val="32"/>
          <w:szCs w:val="32"/>
          <w:highlight w:val="none"/>
        </w:rPr>
      </w:pPr>
      <w:r>
        <w:rPr>
          <w:rFonts w:hint="eastAsia" w:ascii="黑体" w:hAnsi="黑体" w:eastAsia="黑体" w:cs="黑体"/>
          <w:b/>
          <w:bCs/>
          <w:sz w:val="24"/>
          <w:szCs w:val="24"/>
          <w:highlight w:val="none"/>
          <w:lang w:val="en-US" w:eastAsia="zh-CN"/>
        </w:rPr>
        <w:t xml:space="preserve">                                </w:t>
      </w:r>
      <w:r>
        <w:rPr>
          <w:rFonts w:hint="eastAsia" w:ascii="黑体" w:hAnsi="黑体" w:eastAsia="黑体" w:cs="黑体"/>
          <w:sz w:val="32"/>
          <w:szCs w:val="32"/>
          <w:highlight w:val="none"/>
        </w:rPr>
        <w:object>
          <v:shape id="_x0000_i1028" o:spt="75" type="#_x0000_t75" style="height:481.45pt;width:667.95pt;" o:ole="t" filled="f" stroked="f" coordsize="21600,21600">
            <v:path/>
            <v:fill on="f" focussize="0,0"/>
            <v:stroke on="f"/>
            <v:imagedata r:id="rId13" embosscolor="#FFFFFF" o:title=""/>
            <o:lock v:ext="edit" aspectratio="t"/>
            <w10:wrap type="none"/>
            <w10:anchorlock/>
          </v:shape>
          <o:OLEObject Type="Embed" ProgID="Excel.Sheet.12" ShapeID="_x0000_i1028" DrawAspect="Content" ObjectID="_1468075728" r:id="rId12">
            <o:LockedField>false</o:LockedField>
          </o:OLEObject>
        </w:object>
      </w:r>
    </w:p>
    <w:p w14:paraId="03542DCC">
      <w:pPr>
        <w:jc w:val="center"/>
        <w:rPr>
          <w:rFonts w:hint="eastAsia" w:ascii="黑体" w:hAnsi="黑体" w:eastAsia="黑体" w:cs="黑体"/>
          <w:sz w:val="32"/>
          <w:szCs w:val="32"/>
          <w:highlight w:val="none"/>
        </w:rPr>
      </w:pPr>
    </w:p>
    <w:p w14:paraId="3F3EB531">
      <w:pPr>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 xml:space="preserve">                 </w:t>
      </w:r>
      <w:r>
        <w:rPr>
          <w:rFonts w:hint="eastAsia" w:ascii="黑体" w:hAnsi="黑体" w:eastAsia="黑体" w:cs="黑体"/>
          <w:b/>
          <w:bCs/>
          <w:sz w:val="24"/>
          <w:szCs w:val="24"/>
          <w:highlight w:val="none"/>
          <w:lang w:val="en-US" w:eastAsia="zh-CN"/>
        </w:rPr>
        <w:t xml:space="preserve">          </w:t>
      </w:r>
    </w:p>
    <w:p w14:paraId="24632B7A">
      <w:pPr>
        <w:rPr>
          <w:rFonts w:hint="eastAsia" w:ascii="黑体" w:hAnsi="黑体" w:eastAsia="黑体" w:cs="黑体"/>
          <w:sz w:val="32"/>
          <w:szCs w:val="32"/>
          <w:highlight w:val="none"/>
        </w:rPr>
      </w:pPr>
      <w:r>
        <w:rPr>
          <w:rFonts w:hint="eastAsia" w:ascii="黑体" w:hAnsi="黑体" w:eastAsia="黑体" w:cs="黑体"/>
          <w:sz w:val="32"/>
          <w:szCs w:val="32"/>
          <w:highlight w:val="none"/>
        </w:rPr>
        <w:object>
          <v:shape id="_x0000_i1029" o:spt="75" type="#_x0000_t75" style="height:328.5pt;width:697.4pt;" o:ole="t" filled="f" stroked="f" coordsize="21600,21600">
            <v:path/>
            <v:fill on="f" focussize="0,0"/>
            <v:stroke on="f"/>
            <v:imagedata r:id="rId15" embosscolor="#FFFFFF" o:title=""/>
            <o:lock v:ext="edit" aspectratio="t"/>
            <w10:wrap type="none"/>
            <w10:anchorlock/>
          </v:shape>
          <o:OLEObject Type="Embed" ProgID="Excel.Sheet.12" ShapeID="_x0000_i1029" DrawAspect="Content" ObjectID="_1468075729" r:id="rId14">
            <o:LockedField>false</o:LockedField>
          </o:OLEObject>
        </w:object>
      </w:r>
    </w:p>
    <w:p w14:paraId="6ACB289B">
      <w:pPr>
        <w:rPr>
          <w:rFonts w:hint="eastAsia" w:ascii="黑体" w:hAnsi="黑体" w:eastAsia="黑体" w:cs="黑体"/>
          <w:sz w:val="32"/>
          <w:szCs w:val="32"/>
          <w:highlight w:val="none"/>
        </w:rPr>
      </w:pPr>
    </w:p>
    <w:p w14:paraId="34801B5A">
      <w:pPr>
        <w:rPr>
          <w:rFonts w:hint="eastAsia" w:ascii="黑体" w:hAnsi="黑体" w:eastAsia="黑体" w:cs="黑体"/>
          <w:sz w:val="32"/>
          <w:szCs w:val="32"/>
          <w:highlight w:val="none"/>
        </w:rPr>
      </w:pPr>
    </w:p>
    <w:p w14:paraId="73ED5764">
      <w:pPr>
        <w:rPr>
          <w:rFonts w:hint="eastAsia" w:ascii="黑体" w:hAnsi="黑体" w:eastAsia="黑体" w:cs="黑体"/>
          <w:sz w:val="32"/>
          <w:szCs w:val="32"/>
          <w:highlight w:val="none"/>
        </w:rPr>
      </w:pPr>
    </w:p>
    <w:p w14:paraId="79CF82BA">
      <w:pPr>
        <w:jc w:val="both"/>
        <w:rPr>
          <w:rFonts w:hint="eastAsia" w:ascii="黑体" w:hAnsi="黑体" w:eastAsia="黑体" w:cs="黑体"/>
          <w:sz w:val="32"/>
          <w:szCs w:val="32"/>
          <w:highlight w:val="none"/>
        </w:rPr>
      </w:pPr>
      <w:r>
        <w:rPr>
          <w:rFonts w:hint="eastAsia" w:ascii="黑体" w:hAnsi="黑体" w:eastAsia="黑体" w:cs="黑体"/>
          <w:sz w:val="24"/>
          <w:szCs w:val="24"/>
          <w:highlight w:val="none"/>
          <w:lang w:val="en-US" w:eastAsia="zh-CN"/>
        </w:rPr>
        <w:t xml:space="preserve">                                                       </w:t>
      </w:r>
      <w:r>
        <w:rPr>
          <w:rFonts w:hint="eastAsia" w:ascii="黑体" w:hAnsi="黑体" w:eastAsia="黑体" w:cs="黑体"/>
          <w:sz w:val="32"/>
          <w:szCs w:val="32"/>
          <w:highlight w:val="none"/>
        </w:rPr>
        <w:object>
          <v:shape id="_x0000_i1030" o:spt="75" type="#_x0000_t75" style="height:398.05pt;width:683.95pt;" o:ole="t" filled="f" stroked="f" coordsize="21600,21600">
            <v:path/>
            <v:fill on="f" focussize="0,0"/>
            <v:stroke on="f"/>
            <v:imagedata r:id="rId17" embosscolor="#FFFFFF" o:title=""/>
            <o:lock v:ext="edit" aspectratio="t"/>
            <w10:wrap type="none"/>
            <w10:anchorlock/>
          </v:shape>
          <o:OLEObject Type="Embed" ProgID="Excel.Sheet.12" ShapeID="_x0000_i1030" DrawAspect="Content" ObjectID="_1468075730" r:id="rId16">
            <o:LockedField>false</o:LockedField>
          </o:OLEObject>
        </w:object>
      </w:r>
    </w:p>
    <w:p w14:paraId="5FCF26FC">
      <w:pPr>
        <w:rPr>
          <w:rFonts w:hint="eastAsia" w:ascii="黑体" w:hAnsi="黑体" w:eastAsia="黑体" w:cs="黑体"/>
          <w:sz w:val="32"/>
          <w:szCs w:val="32"/>
          <w:highlight w:val="none"/>
        </w:rPr>
      </w:pPr>
    </w:p>
    <w:p w14:paraId="75E33802">
      <w:pPr>
        <w:rPr>
          <w:rFonts w:hint="eastAsia" w:ascii="黑体" w:hAnsi="黑体" w:eastAsia="黑体" w:cs="黑体"/>
          <w:sz w:val="32"/>
          <w:szCs w:val="32"/>
          <w:highlight w:val="none"/>
        </w:rPr>
      </w:pPr>
    </w:p>
    <w:p w14:paraId="563249E5">
      <w:pPr>
        <w:rPr>
          <w:rFonts w:hint="eastAsia" w:ascii="黑体" w:hAnsi="黑体" w:eastAsia="黑体" w:cs="黑体"/>
          <w:sz w:val="32"/>
          <w:szCs w:val="32"/>
          <w:highlight w:val="none"/>
        </w:rPr>
      </w:pPr>
      <w:r>
        <w:rPr>
          <w:rFonts w:hint="eastAsia" w:ascii="黑体" w:hAnsi="黑体" w:eastAsia="黑体" w:cs="黑体"/>
          <w:sz w:val="32"/>
          <w:szCs w:val="32"/>
          <w:highlight w:val="none"/>
        </w:rPr>
        <w:object>
          <v:shape id="_x0000_i1031" o:spt="75" type="#_x0000_t75" style="height:160.95pt;width:690.7pt;" o:ole="t" filled="f" stroked="f" coordsize="21600,21600">
            <v:path/>
            <v:fill on="f" focussize="0,0"/>
            <v:stroke on="f"/>
            <v:imagedata r:id="rId19" embosscolor="#FFFFFF" o:title=""/>
            <o:lock v:ext="edit" aspectratio="t"/>
            <w10:wrap type="none"/>
            <w10:anchorlock/>
          </v:shape>
          <o:OLEObject Type="Embed" ProgID="Excel.Sheet.12" ShapeID="_x0000_i1031" DrawAspect="Content" ObjectID="_1468075731" r:id="rId18">
            <o:LockedField>false</o:LockedField>
          </o:OLEObject>
        </w:object>
      </w:r>
    </w:p>
    <w:p w14:paraId="5D1C61F9">
      <w:pPr>
        <w:rPr>
          <w:rFonts w:hint="eastAsia" w:ascii="黑体" w:hAnsi="黑体" w:eastAsia="黑体" w:cs="黑体"/>
          <w:sz w:val="32"/>
          <w:szCs w:val="32"/>
          <w:highlight w:val="none"/>
        </w:rPr>
      </w:pPr>
      <w:r>
        <w:rPr>
          <w:rFonts w:hint="eastAsia" w:ascii="黑体" w:hAnsi="黑体" w:eastAsia="黑体" w:cs="黑体"/>
          <w:sz w:val="32"/>
          <w:szCs w:val="32"/>
          <w:highlight w:val="none"/>
        </w:rPr>
        <w:object>
          <v:shape id="_x0000_i1032" o:spt="75" type="#_x0000_t75" style="height:195pt;width:693.75pt;" o:ole="t" filled="f" stroked="f" coordsize="21600,21600">
            <v:path/>
            <v:fill on="f" focussize="0,0"/>
            <v:stroke on="f"/>
            <v:imagedata r:id="rId21" embosscolor="#FFFFFF" o:title=""/>
            <o:lock v:ext="edit" aspectratio="t"/>
            <w10:wrap type="none"/>
            <w10:anchorlock/>
          </v:shape>
          <o:OLEObject Type="Embed" ProgID="Excel.Sheet.12" ShapeID="_x0000_i1032" DrawAspect="Content" ObjectID="_1468075732" r:id="rId20">
            <o:LockedField>false</o:LockedField>
          </o:OLEObject>
        </w:object>
      </w:r>
      <w:r>
        <w:rPr>
          <w:rFonts w:hint="eastAsia" w:ascii="黑体" w:hAnsi="黑体" w:eastAsia="黑体" w:cs="黑体"/>
          <w:sz w:val="32"/>
          <w:szCs w:val="32"/>
          <w:highlight w:val="none"/>
        </w:rPr>
        <w:object>
          <v:shape id="_x0000_i1033" o:spt="75" type="#_x0000_t75" style="height:176.15pt;width:697.7pt;" o:ole="t" filled="f" stroked="f" coordsize="21600,21600">
            <v:path/>
            <v:fill on="f" focussize="0,0"/>
            <v:stroke on="f"/>
            <v:imagedata r:id="rId23" embosscolor="#FFFFFF" o:title=""/>
            <o:lock v:ext="edit" aspectratio="t"/>
            <w10:wrap type="none"/>
            <w10:anchorlock/>
          </v:shape>
          <o:OLEObject Type="Embed" ProgID="Excel.Sheet.12" ShapeID="_x0000_i1033" DrawAspect="Content" ObjectID="_1468075733" r:id="rId22">
            <o:LockedField>false</o:LockedField>
          </o:OLEObject>
        </w:object>
      </w:r>
    </w:p>
    <w:p w14:paraId="546DDEA1">
      <w:pPr>
        <w:rPr>
          <w:rFonts w:hint="eastAsia" w:ascii="黑体" w:hAnsi="黑体" w:eastAsia="黑体" w:cs="黑体"/>
          <w:sz w:val="32"/>
          <w:szCs w:val="32"/>
          <w:highlight w:val="none"/>
        </w:rPr>
        <w:sectPr>
          <w:pgSz w:w="16838" w:h="11906" w:orient="landscape"/>
          <w:pgMar w:top="726" w:right="1440" w:bottom="612" w:left="1440" w:header="851" w:footer="992" w:gutter="0"/>
          <w:cols w:space="0" w:num="1"/>
          <w:docGrid w:type="lines" w:linePitch="312" w:charSpace="0"/>
        </w:sectPr>
      </w:pPr>
      <w:r>
        <w:rPr>
          <w:rFonts w:hint="eastAsia" w:ascii="黑体" w:hAnsi="黑体" w:eastAsia="黑体" w:cs="黑体"/>
          <w:b/>
          <w:bCs/>
          <w:sz w:val="24"/>
          <w:szCs w:val="24"/>
          <w:highlight w:val="none"/>
          <w:lang w:val="en-US" w:eastAsia="zh-CN"/>
        </w:rPr>
        <w:t xml:space="preserve">                                 </w:t>
      </w:r>
    </w:p>
    <w:p w14:paraId="3558BB76">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val="en-US" w:eastAsia="zh-CN"/>
        </w:rPr>
        <w:t>华山林场</w:t>
      </w:r>
      <w:r>
        <w:rPr>
          <w:rFonts w:hint="eastAsia" w:ascii="黑体" w:hAnsi="黑体" w:eastAsia="黑体" w:cs="黑体"/>
          <w:sz w:val="32"/>
          <w:szCs w:val="32"/>
          <w:highlight w:val="none"/>
        </w:rPr>
        <w:t>202</w:t>
      </w:r>
      <w:r>
        <w:rPr>
          <w:rFonts w:hint="default" w:ascii="黑体" w:hAnsi="黑体" w:eastAsia="黑体" w:cs="黑体"/>
          <w:sz w:val="32"/>
          <w:szCs w:val="32"/>
          <w:highlight w:val="none"/>
          <w:lang w:val="en-US"/>
        </w:rPr>
        <w:t>3</w:t>
      </w:r>
      <w:r>
        <w:rPr>
          <w:rFonts w:hint="eastAsia" w:ascii="黑体" w:hAnsi="黑体" w:eastAsia="黑体" w:cs="黑体"/>
          <w:sz w:val="32"/>
          <w:szCs w:val="32"/>
          <w:highlight w:val="none"/>
        </w:rPr>
        <w:t>年度部门决算情况说明</w:t>
      </w:r>
    </w:p>
    <w:p w14:paraId="63F75A24">
      <w:pPr>
        <w:keepNext w:val="0"/>
        <w:keepLines w:val="0"/>
        <w:pageBreakBefore w:val="0"/>
        <w:kinsoku/>
        <w:wordWrap/>
        <w:overflowPunct/>
        <w:topLinePunct w:val="0"/>
        <w:autoSpaceDN/>
        <w:bidi w:val="0"/>
        <w:adjustRightInd/>
        <w:snapToGrid/>
        <w:spacing w:beforeAutospacing="0" w:afterAutospacing="0" w:line="50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年度收入支出决算总体情况</w:t>
      </w:r>
    </w:p>
    <w:p w14:paraId="64C2C0A2">
      <w:pPr>
        <w:keepNext w:val="0"/>
        <w:keepLines w:val="0"/>
        <w:pageBreakBefore w:val="0"/>
        <w:kinsoku/>
        <w:wordWrap/>
        <w:overflowPunct/>
        <w:topLinePunct w:val="0"/>
        <w:autoSpaceDN/>
        <w:bidi w:val="0"/>
        <w:adjustRightInd/>
        <w:snapToGrid/>
        <w:spacing w:beforeAutospacing="0" w:afterAutospacing="0" w:line="50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（一）本部门202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年度总</w:t>
      </w:r>
      <w:r>
        <w:rPr>
          <w:rFonts w:hint="eastAsia" w:ascii="仿宋" w:hAnsi="仿宋" w:eastAsia="仿宋" w:cs="仿宋"/>
          <w:color w:val="auto"/>
          <w:sz w:val="32"/>
          <w:szCs w:val="32"/>
          <w:highlight w:val="none"/>
          <w:lang w:val="en-US" w:eastAsia="zh-CN"/>
        </w:rPr>
        <w:t>收入</w:t>
      </w:r>
      <w:r>
        <w:rPr>
          <w:rFonts w:hint="eastAsia" w:ascii="仿宋" w:hAnsi="仿宋" w:eastAsia="仿宋" w:cs="仿宋"/>
          <w:color w:val="auto"/>
          <w:sz w:val="32"/>
          <w:szCs w:val="32"/>
          <w:highlight w:val="none"/>
          <w:u w:color="auto"/>
          <w:lang w:val="en-US" w:eastAsia="zh-CN"/>
        </w:rPr>
        <w:t>1886.51</w:t>
      </w:r>
      <w:r>
        <w:rPr>
          <w:rFonts w:hint="eastAsia" w:ascii="仿宋" w:hAnsi="仿宋" w:eastAsia="仿宋" w:cs="仿宋"/>
          <w:color w:val="auto"/>
          <w:sz w:val="32"/>
          <w:szCs w:val="32"/>
          <w:highlight w:val="none"/>
        </w:rPr>
        <w:t>万元，较202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hint="eastAsia" w:ascii="仿宋" w:hAnsi="仿宋" w:eastAsia="仿宋" w:cs="仿宋"/>
          <w:color w:val="auto"/>
          <w:sz w:val="32"/>
          <w:szCs w:val="32"/>
          <w:highlight w:val="none"/>
          <w:u w:color="auto"/>
        </w:rPr>
        <w:t>减少</w:t>
      </w:r>
      <w:r>
        <w:rPr>
          <w:rFonts w:hint="eastAsia" w:ascii="仿宋" w:hAnsi="仿宋" w:eastAsia="仿宋" w:cs="仿宋"/>
          <w:color w:val="auto"/>
          <w:sz w:val="32"/>
          <w:szCs w:val="32"/>
          <w:highlight w:val="none"/>
          <w:u w:color="auto"/>
          <w:lang w:val="en-US" w:eastAsia="zh-CN"/>
        </w:rPr>
        <w:t>110.78</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u w:color="auto"/>
        </w:rPr>
        <w:t>下降</w:t>
      </w:r>
      <w:r>
        <w:rPr>
          <w:rFonts w:hint="eastAsia" w:ascii="仿宋" w:hAnsi="仿宋" w:eastAsia="仿宋" w:cs="仿宋"/>
          <w:color w:val="auto"/>
          <w:sz w:val="32"/>
          <w:szCs w:val="32"/>
          <w:highlight w:val="none"/>
          <w:u w:color="auto"/>
          <w:lang w:val="en-US" w:eastAsia="zh-CN"/>
        </w:rPr>
        <w:t>5.55</w:t>
      </w:r>
      <w:r>
        <w:rPr>
          <w:rFonts w:hint="eastAsia" w:ascii="仿宋" w:hAnsi="仿宋" w:eastAsia="仿宋" w:cs="仿宋"/>
          <w:color w:val="auto"/>
          <w:sz w:val="32"/>
          <w:szCs w:val="32"/>
          <w:highlight w:val="none"/>
          <w:u w:color="auto"/>
        </w:rPr>
        <w:t>%</w:t>
      </w:r>
      <w:r>
        <w:rPr>
          <w:rFonts w:hint="eastAsia" w:ascii="仿宋" w:hAnsi="仿宋" w:eastAsia="仿宋" w:cs="仿宋"/>
          <w:color w:val="auto"/>
          <w:sz w:val="32"/>
          <w:szCs w:val="32"/>
          <w:highlight w:val="none"/>
        </w:rPr>
        <w:t>，其中本年收入</w:t>
      </w:r>
      <w:r>
        <w:rPr>
          <w:rFonts w:hint="eastAsia" w:ascii="仿宋" w:hAnsi="仿宋" w:eastAsia="仿宋" w:cs="仿宋"/>
          <w:color w:val="auto"/>
          <w:sz w:val="32"/>
          <w:szCs w:val="32"/>
          <w:highlight w:val="none"/>
          <w:u w:color="auto"/>
          <w:lang w:val="en-US" w:eastAsia="zh-CN"/>
        </w:rPr>
        <w:t>1886.51</w:t>
      </w:r>
      <w:r>
        <w:rPr>
          <w:rFonts w:hint="eastAsia" w:ascii="仿宋" w:hAnsi="仿宋" w:eastAsia="仿宋" w:cs="仿宋"/>
          <w:color w:val="auto"/>
          <w:sz w:val="32"/>
          <w:szCs w:val="32"/>
          <w:highlight w:val="none"/>
        </w:rPr>
        <w:t>万元。收入具体情况如下。</w:t>
      </w:r>
    </w:p>
    <w:p w14:paraId="347E76ED">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1.一般公共预算财政拨款收入</w:t>
      </w:r>
      <w:r>
        <w:rPr>
          <w:rFonts w:hint="eastAsia" w:ascii="仿宋" w:hAnsi="仿宋" w:eastAsia="仿宋" w:cs="仿宋"/>
          <w:color w:val="auto"/>
          <w:sz w:val="32"/>
          <w:szCs w:val="32"/>
          <w:highlight w:val="none"/>
          <w:u w:color="auto"/>
          <w:lang w:val="en-US" w:eastAsia="zh-CN"/>
        </w:rPr>
        <w:t>1879.51</w:t>
      </w:r>
      <w:r>
        <w:rPr>
          <w:rFonts w:hint="eastAsia" w:ascii="仿宋" w:hAnsi="仿宋" w:eastAsia="仿宋" w:cs="仿宋"/>
          <w:color w:val="auto"/>
          <w:kern w:val="2"/>
          <w:sz w:val="32"/>
          <w:szCs w:val="32"/>
          <w:highlight w:val="none"/>
          <w:lang w:val="en-US" w:eastAsia="zh-CN"/>
        </w:rPr>
        <w:t>万元，为</w:t>
      </w:r>
      <w:r>
        <w:rPr>
          <w:rFonts w:hint="eastAsia" w:ascii="仿宋" w:hAnsi="仿宋" w:eastAsia="仿宋" w:cs="仿宋"/>
          <w:color w:val="auto"/>
          <w:sz w:val="32"/>
          <w:szCs w:val="32"/>
          <w:highlight w:val="none"/>
          <w:lang w:val="en-US" w:eastAsia="zh-CN"/>
        </w:rPr>
        <w:t>环江县</w:t>
      </w:r>
      <w:r>
        <w:rPr>
          <w:rFonts w:hint="eastAsia" w:ascii="仿宋" w:hAnsi="仿宋" w:eastAsia="仿宋" w:cs="仿宋"/>
          <w:color w:val="auto"/>
          <w:kern w:val="2"/>
          <w:sz w:val="32"/>
          <w:szCs w:val="32"/>
          <w:highlight w:val="none"/>
          <w:lang w:val="en-US" w:eastAsia="zh-CN"/>
        </w:rPr>
        <w:t>本级财政当年拨付的资金。较2022年度决算数</w:t>
      </w:r>
      <w:r>
        <w:rPr>
          <w:rFonts w:hint="eastAsia" w:ascii="仿宋" w:hAnsi="仿宋" w:eastAsia="仿宋" w:cs="仿宋"/>
          <w:color w:val="auto"/>
          <w:sz w:val="32"/>
          <w:szCs w:val="32"/>
          <w:highlight w:val="none"/>
          <w:u w:color="auto"/>
        </w:rPr>
        <w:t>减少</w:t>
      </w:r>
      <w:r>
        <w:rPr>
          <w:rFonts w:hint="eastAsia" w:ascii="仿宋" w:hAnsi="仿宋" w:eastAsia="仿宋" w:cs="仿宋"/>
          <w:color w:val="auto"/>
          <w:sz w:val="32"/>
          <w:szCs w:val="32"/>
          <w:highlight w:val="none"/>
          <w:u w:color="auto"/>
          <w:lang w:val="en-US" w:eastAsia="zh-CN"/>
        </w:rPr>
        <w:t>117.78</w:t>
      </w:r>
      <w:r>
        <w:rPr>
          <w:rFonts w:hint="eastAsia" w:ascii="仿宋" w:hAnsi="仿宋" w:eastAsia="仿宋" w:cs="仿宋"/>
          <w:color w:val="auto"/>
          <w:kern w:val="2"/>
          <w:sz w:val="32"/>
          <w:szCs w:val="32"/>
          <w:highlight w:val="none"/>
          <w:lang w:val="en-US" w:eastAsia="zh-CN"/>
        </w:rPr>
        <w:t>万元，</w:t>
      </w:r>
      <w:r>
        <w:rPr>
          <w:rFonts w:hint="eastAsia" w:ascii="仿宋" w:hAnsi="仿宋" w:eastAsia="仿宋" w:cs="仿宋"/>
          <w:color w:val="auto"/>
          <w:sz w:val="32"/>
          <w:szCs w:val="32"/>
          <w:highlight w:val="none"/>
          <w:u w:color="auto"/>
        </w:rPr>
        <w:t>下降</w:t>
      </w:r>
      <w:r>
        <w:rPr>
          <w:rFonts w:hint="eastAsia" w:ascii="仿宋" w:hAnsi="仿宋" w:eastAsia="仿宋" w:cs="仿宋"/>
          <w:color w:val="auto"/>
          <w:sz w:val="32"/>
          <w:szCs w:val="32"/>
          <w:highlight w:val="none"/>
          <w:u w:color="auto"/>
          <w:lang w:val="en-US" w:eastAsia="zh-CN"/>
        </w:rPr>
        <w:t>5.89</w:t>
      </w:r>
      <w:r>
        <w:rPr>
          <w:rFonts w:hint="eastAsia" w:ascii="仿宋" w:hAnsi="仿宋" w:eastAsia="仿宋" w:cs="仿宋"/>
          <w:color w:val="auto"/>
          <w:sz w:val="32"/>
          <w:szCs w:val="32"/>
          <w:highlight w:val="none"/>
          <w:u w:color="auto"/>
        </w:rPr>
        <w:t>%</w:t>
      </w:r>
      <w:r>
        <w:rPr>
          <w:rFonts w:hint="eastAsia" w:ascii="仿宋" w:hAnsi="仿宋" w:eastAsia="仿宋" w:cs="仿宋"/>
          <w:color w:val="auto"/>
          <w:kern w:val="2"/>
          <w:sz w:val="32"/>
          <w:szCs w:val="32"/>
          <w:highlight w:val="none"/>
          <w:lang w:val="en-US" w:eastAsia="zh-CN"/>
        </w:rPr>
        <w:t>，主要原因：人员减少，项目经费减少。</w:t>
      </w:r>
    </w:p>
    <w:p w14:paraId="23772787">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color w:val="auto"/>
          <w:sz w:val="32"/>
          <w:szCs w:val="32"/>
          <w:highlight w:val="none"/>
          <w:u w:color="auto"/>
        </w:rPr>
      </w:pPr>
      <w:r>
        <w:rPr>
          <w:rFonts w:hint="eastAsia" w:ascii="仿宋" w:hAnsi="仿宋" w:eastAsia="仿宋" w:cs="仿宋"/>
          <w:color w:val="auto"/>
          <w:kern w:val="2"/>
          <w:sz w:val="32"/>
          <w:szCs w:val="32"/>
          <w:highlight w:val="none"/>
          <w:lang w:val="en-US" w:eastAsia="zh-CN"/>
        </w:rPr>
        <w:t>2.政府性基金预算财政拨款收入</w:t>
      </w:r>
      <w:r>
        <w:rPr>
          <w:rFonts w:hint="eastAsia" w:ascii="仿宋" w:hAnsi="仿宋" w:eastAsia="仿宋" w:cs="仿宋"/>
          <w:color w:val="auto"/>
          <w:sz w:val="32"/>
          <w:szCs w:val="32"/>
          <w:highlight w:val="none"/>
          <w:u w:color="auto"/>
          <w:lang w:val="en-US" w:eastAsia="zh-CN"/>
        </w:rPr>
        <w:t>7</w:t>
      </w:r>
      <w:r>
        <w:rPr>
          <w:rFonts w:hint="eastAsia" w:ascii="仿宋" w:hAnsi="仿宋" w:eastAsia="仿宋" w:cs="仿宋"/>
          <w:color w:val="auto"/>
          <w:sz w:val="32"/>
          <w:szCs w:val="32"/>
          <w:highlight w:val="none"/>
          <w:u w:color="auto"/>
        </w:rPr>
        <w:t>.00</w:t>
      </w:r>
      <w:r>
        <w:rPr>
          <w:rFonts w:hint="eastAsia" w:ascii="仿宋" w:hAnsi="仿宋" w:eastAsia="仿宋" w:cs="仿宋"/>
          <w:color w:val="auto"/>
          <w:kern w:val="2"/>
          <w:sz w:val="32"/>
          <w:szCs w:val="32"/>
          <w:highlight w:val="none"/>
          <w:lang w:val="en-US" w:eastAsia="zh-CN"/>
        </w:rPr>
        <w:t>万元，为</w:t>
      </w:r>
      <w:r>
        <w:rPr>
          <w:rFonts w:hint="eastAsia" w:ascii="仿宋" w:hAnsi="仿宋" w:eastAsia="仿宋" w:cs="仿宋"/>
          <w:color w:val="auto"/>
          <w:sz w:val="32"/>
          <w:szCs w:val="32"/>
          <w:highlight w:val="none"/>
          <w:lang w:val="en-US" w:eastAsia="zh-CN"/>
        </w:rPr>
        <w:t>环江县</w:t>
      </w:r>
      <w:r>
        <w:rPr>
          <w:rFonts w:hint="eastAsia" w:ascii="仿宋" w:hAnsi="仿宋" w:eastAsia="仿宋" w:cs="仿宋"/>
          <w:color w:val="auto"/>
          <w:kern w:val="2"/>
          <w:sz w:val="32"/>
          <w:szCs w:val="32"/>
          <w:highlight w:val="none"/>
          <w:lang w:val="en-US" w:eastAsia="zh-CN"/>
        </w:rPr>
        <w:t>本级财政当年拨付的资金。较2022年度决算数</w:t>
      </w:r>
      <w:r>
        <w:rPr>
          <w:rFonts w:hint="eastAsia" w:ascii="仿宋" w:hAnsi="仿宋" w:eastAsia="仿宋" w:cs="仿宋"/>
          <w:color w:val="auto"/>
          <w:sz w:val="32"/>
          <w:szCs w:val="32"/>
          <w:highlight w:val="none"/>
          <w:u w:color="auto"/>
        </w:rPr>
        <w:t>增加</w:t>
      </w:r>
      <w:r>
        <w:rPr>
          <w:rFonts w:hint="eastAsia" w:ascii="仿宋" w:hAnsi="仿宋" w:eastAsia="仿宋" w:cs="仿宋"/>
          <w:color w:val="auto"/>
          <w:sz w:val="32"/>
          <w:szCs w:val="32"/>
          <w:highlight w:val="none"/>
          <w:u w:color="auto"/>
          <w:lang w:val="en-US" w:eastAsia="zh-CN"/>
        </w:rPr>
        <w:t>7</w:t>
      </w:r>
      <w:r>
        <w:rPr>
          <w:rFonts w:hint="eastAsia" w:ascii="仿宋" w:hAnsi="仿宋" w:eastAsia="仿宋" w:cs="仿宋"/>
          <w:color w:val="auto"/>
          <w:sz w:val="32"/>
          <w:szCs w:val="32"/>
          <w:highlight w:val="none"/>
          <w:u w:color="auto"/>
        </w:rPr>
        <w:t>.00</w:t>
      </w:r>
      <w:r>
        <w:rPr>
          <w:rFonts w:hint="eastAsia" w:ascii="仿宋" w:hAnsi="仿宋" w:eastAsia="仿宋" w:cs="仿宋"/>
          <w:color w:val="auto"/>
          <w:kern w:val="2"/>
          <w:sz w:val="32"/>
          <w:szCs w:val="32"/>
          <w:highlight w:val="none"/>
          <w:lang w:val="en-US" w:eastAsia="zh-CN"/>
        </w:rPr>
        <w:t>万元。</w:t>
      </w:r>
    </w:p>
    <w:p w14:paraId="2BAFE250">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3.国有资本经营预算财政拨款收入</w:t>
      </w:r>
      <w:r>
        <w:rPr>
          <w:rFonts w:hint="eastAsia" w:ascii="仿宋" w:hAnsi="仿宋" w:eastAsia="仿宋" w:cs="仿宋"/>
          <w:color w:val="auto"/>
          <w:sz w:val="32"/>
          <w:szCs w:val="32"/>
          <w:highlight w:val="none"/>
          <w:u w:color="auto"/>
        </w:rPr>
        <w:t>0.00</w:t>
      </w:r>
      <w:r>
        <w:rPr>
          <w:rFonts w:hint="eastAsia" w:ascii="仿宋" w:hAnsi="仿宋" w:eastAsia="仿宋" w:cs="仿宋"/>
          <w:color w:val="auto"/>
          <w:kern w:val="2"/>
          <w:sz w:val="32"/>
          <w:szCs w:val="32"/>
          <w:highlight w:val="none"/>
          <w:lang w:val="en-US" w:eastAsia="zh-CN"/>
        </w:rPr>
        <w:t>万元。为</w:t>
      </w:r>
      <w:r>
        <w:rPr>
          <w:rFonts w:hint="eastAsia" w:ascii="仿宋" w:hAnsi="仿宋" w:eastAsia="仿宋" w:cs="仿宋"/>
          <w:color w:val="auto"/>
          <w:sz w:val="32"/>
          <w:szCs w:val="32"/>
          <w:highlight w:val="none"/>
        </w:rPr>
        <w:t>河池市</w:t>
      </w:r>
      <w:r>
        <w:rPr>
          <w:rFonts w:hint="eastAsia" w:ascii="仿宋" w:hAnsi="仿宋" w:eastAsia="仿宋" w:cs="仿宋"/>
          <w:color w:val="auto"/>
          <w:kern w:val="2"/>
          <w:sz w:val="32"/>
          <w:szCs w:val="32"/>
          <w:highlight w:val="none"/>
          <w:lang w:val="en-US" w:eastAsia="zh-CN"/>
        </w:rPr>
        <w:t>本级财政当年拨付的资金。较2022年度决算数</w:t>
      </w:r>
      <w:r>
        <w:rPr>
          <w:rFonts w:hint="eastAsia" w:ascii="仿宋" w:hAnsi="仿宋" w:eastAsia="仿宋" w:cs="仿宋"/>
          <w:color w:val="auto"/>
          <w:sz w:val="32"/>
          <w:szCs w:val="32"/>
          <w:highlight w:val="none"/>
          <w:u w:color="auto"/>
        </w:rPr>
        <w:t>增加0.00</w:t>
      </w:r>
      <w:r>
        <w:rPr>
          <w:rFonts w:hint="eastAsia" w:ascii="仿宋" w:hAnsi="仿宋" w:eastAsia="仿宋" w:cs="仿宋"/>
          <w:color w:val="auto"/>
          <w:kern w:val="2"/>
          <w:sz w:val="32"/>
          <w:szCs w:val="32"/>
          <w:highlight w:val="none"/>
          <w:lang w:val="en-US" w:eastAsia="zh-CN"/>
        </w:rPr>
        <w:t>万元,</w:t>
      </w:r>
      <w:r>
        <w:rPr>
          <w:rFonts w:hint="eastAsia" w:ascii="仿宋" w:hAnsi="仿宋" w:eastAsia="仿宋" w:cs="仿宋"/>
          <w:color w:val="auto"/>
          <w:sz w:val="32"/>
          <w:szCs w:val="32"/>
          <w:highlight w:val="none"/>
          <w:u w:color="auto"/>
        </w:rPr>
        <w:t>增长0%</w:t>
      </w:r>
      <w:r>
        <w:rPr>
          <w:rFonts w:hint="eastAsia" w:ascii="仿宋" w:hAnsi="仿宋" w:eastAsia="仿宋" w:cs="仿宋"/>
          <w:color w:val="auto"/>
          <w:kern w:val="2"/>
          <w:sz w:val="32"/>
          <w:szCs w:val="32"/>
          <w:highlight w:val="none"/>
          <w:lang w:val="en-US" w:eastAsia="zh-CN"/>
        </w:rPr>
        <w:t>。</w:t>
      </w:r>
    </w:p>
    <w:p w14:paraId="4FAB0E6C">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rPr>
        <w:t>4.上级补助收入</w:t>
      </w:r>
      <w:r>
        <w:rPr>
          <w:rFonts w:hint="eastAsia" w:ascii="仿宋" w:hAnsi="仿宋" w:eastAsia="仿宋" w:cs="仿宋"/>
          <w:color w:val="auto"/>
          <w:sz w:val="32"/>
          <w:szCs w:val="32"/>
          <w:highlight w:val="none"/>
          <w:u w:color="auto"/>
          <w:lang w:val="en-US" w:eastAsia="zh-CN"/>
        </w:rPr>
        <w:t>0</w:t>
      </w:r>
      <w:r>
        <w:rPr>
          <w:rFonts w:hint="eastAsia" w:ascii="仿宋" w:hAnsi="仿宋" w:eastAsia="仿宋" w:cs="仿宋"/>
          <w:color w:val="auto"/>
          <w:kern w:val="2"/>
          <w:sz w:val="32"/>
          <w:szCs w:val="32"/>
          <w:highlight w:val="none"/>
          <w:lang w:val="en-US" w:eastAsia="zh-CN"/>
        </w:rPr>
        <w:t>万元，为上级部门当年拨付的资金。较2022年度决算数</w:t>
      </w:r>
      <w:r>
        <w:rPr>
          <w:rFonts w:hint="eastAsia" w:ascii="仿宋" w:hAnsi="仿宋" w:eastAsia="仿宋" w:cs="仿宋"/>
          <w:color w:val="auto"/>
          <w:sz w:val="32"/>
          <w:szCs w:val="32"/>
          <w:highlight w:val="none"/>
          <w:u w:color="auto"/>
        </w:rPr>
        <w:t>增加</w:t>
      </w:r>
      <w:r>
        <w:rPr>
          <w:rFonts w:hint="eastAsia" w:ascii="仿宋" w:hAnsi="仿宋" w:eastAsia="仿宋" w:cs="仿宋"/>
          <w:color w:val="auto"/>
          <w:sz w:val="32"/>
          <w:szCs w:val="32"/>
          <w:highlight w:val="none"/>
          <w:u w:color="auto"/>
          <w:lang w:val="en-US" w:eastAsia="zh-CN"/>
        </w:rPr>
        <w:t>0</w:t>
      </w:r>
      <w:r>
        <w:rPr>
          <w:rFonts w:hint="eastAsia" w:ascii="仿宋" w:hAnsi="仿宋" w:eastAsia="仿宋" w:cs="仿宋"/>
          <w:color w:val="auto"/>
          <w:kern w:val="2"/>
          <w:sz w:val="32"/>
          <w:szCs w:val="32"/>
          <w:highlight w:val="none"/>
          <w:lang w:val="en-US" w:eastAsia="zh-CN"/>
        </w:rPr>
        <w:t>万元,</w:t>
      </w:r>
      <w:r>
        <w:rPr>
          <w:rFonts w:hint="eastAsia" w:ascii="仿宋" w:hAnsi="仿宋" w:eastAsia="仿宋" w:cs="仿宋"/>
          <w:color w:val="auto"/>
          <w:sz w:val="32"/>
          <w:szCs w:val="32"/>
          <w:highlight w:val="none"/>
          <w:u w:color="auto"/>
        </w:rPr>
        <w:t>增长</w:t>
      </w:r>
      <w:r>
        <w:rPr>
          <w:rFonts w:hint="eastAsia" w:ascii="仿宋" w:hAnsi="仿宋" w:eastAsia="仿宋" w:cs="仿宋"/>
          <w:color w:val="auto"/>
          <w:sz w:val="32"/>
          <w:szCs w:val="32"/>
          <w:highlight w:val="none"/>
          <w:u w:color="auto"/>
          <w:lang w:val="en-US" w:eastAsia="zh-CN"/>
        </w:rPr>
        <w:t>0</w:t>
      </w:r>
      <w:r>
        <w:rPr>
          <w:rFonts w:hint="eastAsia" w:ascii="仿宋" w:hAnsi="仿宋" w:eastAsia="仿宋" w:cs="仿宋"/>
          <w:color w:val="auto"/>
          <w:sz w:val="32"/>
          <w:szCs w:val="32"/>
          <w:highlight w:val="none"/>
          <w:u w:color="auto"/>
        </w:rPr>
        <w:t>%</w:t>
      </w:r>
      <w:r>
        <w:rPr>
          <w:rFonts w:hint="eastAsia" w:ascii="仿宋" w:hAnsi="仿宋" w:eastAsia="仿宋" w:cs="仿宋"/>
          <w:color w:val="auto"/>
          <w:kern w:val="2"/>
          <w:sz w:val="32"/>
          <w:szCs w:val="32"/>
          <w:highlight w:val="none"/>
          <w:lang w:val="en-US" w:eastAsia="zh-CN"/>
        </w:rPr>
        <w:t>，主要原因是：本单位没有上级补助收入。</w:t>
      </w:r>
    </w:p>
    <w:p w14:paraId="01997CA2">
      <w:pPr>
        <w:pStyle w:val="5"/>
        <w:keepNext w:val="0"/>
        <w:keepLines w:val="0"/>
        <w:pageBreakBefore w:val="0"/>
        <w:widowControl/>
        <w:suppressLineNumbers w:val="0"/>
        <w:kinsoku/>
        <w:wordWrap/>
        <w:overflowPunct/>
        <w:topLinePunct w:val="0"/>
        <w:autoSpaceDE w:val="0"/>
        <w:autoSpaceDN/>
        <w:bidi w:val="0"/>
        <w:adjustRightInd/>
        <w:snapToGrid/>
        <w:spacing w:beforeAutospacing="0" w:afterAutospacing="0" w:line="500" w:lineRule="exact"/>
        <w:ind w:left="0" w:firstLine="630"/>
        <w:textAlignment w:val="auto"/>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kern w:val="2"/>
          <w:sz w:val="32"/>
          <w:szCs w:val="32"/>
          <w:highlight w:val="none"/>
          <w:lang w:val="en-US" w:eastAsia="zh-CN"/>
        </w:rPr>
        <w:t>5.事业收入</w:t>
      </w:r>
      <w:r>
        <w:rPr>
          <w:rFonts w:hint="eastAsia" w:ascii="仿宋" w:hAnsi="仿宋" w:eastAsia="仿宋" w:cs="仿宋"/>
          <w:color w:val="auto"/>
          <w:sz w:val="32"/>
          <w:szCs w:val="32"/>
          <w:highlight w:val="none"/>
          <w:u w:color="auto"/>
        </w:rPr>
        <w:t>0.00</w:t>
      </w:r>
      <w:r>
        <w:rPr>
          <w:rFonts w:hint="eastAsia" w:ascii="仿宋" w:hAnsi="仿宋" w:eastAsia="仿宋" w:cs="仿宋"/>
          <w:color w:val="auto"/>
          <w:kern w:val="2"/>
          <w:sz w:val="32"/>
          <w:szCs w:val="32"/>
          <w:highlight w:val="none"/>
          <w:lang w:val="en-US" w:eastAsia="zh-CN"/>
        </w:rPr>
        <w:t>万元，为事业单位开展业务活动取得的收入。较2022年度决算数</w:t>
      </w:r>
      <w:r>
        <w:rPr>
          <w:rFonts w:hint="eastAsia" w:ascii="仿宋" w:hAnsi="仿宋" w:eastAsia="仿宋" w:cs="仿宋"/>
          <w:color w:val="auto"/>
          <w:sz w:val="32"/>
          <w:szCs w:val="32"/>
          <w:highlight w:val="none"/>
          <w:u w:color="auto"/>
        </w:rPr>
        <w:t>增加0.00</w:t>
      </w:r>
      <w:r>
        <w:rPr>
          <w:rFonts w:hint="eastAsia" w:ascii="仿宋" w:hAnsi="仿宋" w:eastAsia="仿宋" w:cs="仿宋"/>
          <w:color w:val="auto"/>
          <w:kern w:val="2"/>
          <w:sz w:val="32"/>
          <w:szCs w:val="32"/>
          <w:highlight w:val="none"/>
          <w:lang w:val="en-US" w:eastAsia="zh-CN"/>
        </w:rPr>
        <w:t>万元,</w:t>
      </w:r>
      <w:r>
        <w:rPr>
          <w:rFonts w:hint="eastAsia" w:ascii="仿宋" w:hAnsi="仿宋" w:eastAsia="仿宋" w:cs="仿宋"/>
          <w:color w:val="auto"/>
          <w:sz w:val="32"/>
          <w:szCs w:val="32"/>
          <w:highlight w:val="none"/>
          <w:u w:color="auto"/>
        </w:rPr>
        <w:t>增长0%</w:t>
      </w:r>
      <w:r>
        <w:rPr>
          <w:rFonts w:hint="eastAsia" w:ascii="仿宋" w:hAnsi="仿宋" w:eastAsia="仿宋" w:cs="仿宋"/>
          <w:color w:val="auto"/>
          <w:kern w:val="2"/>
          <w:sz w:val="32"/>
          <w:szCs w:val="32"/>
          <w:highlight w:val="none"/>
          <w:lang w:val="en-US" w:eastAsia="zh-CN"/>
        </w:rPr>
        <w:t>，主要原因是：</w:t>
      </w:r>
      <w:r>
        <w:rPr>
          <w:rFonts w:hint="eastAsia" w:ascii="仿宋" w:hAnsi="仿宋" w:eastAsia="仿宋" w:cs="仿宋"/>
          <w:color w:val="auto"/>
          <w:sz w:val="32"/>
          <w:szCs w:val="32"/>
          <w:highlight w:val="none"/>
          <w:shd w:val="clear" w:color="auto" w:fill="FFFFFF"/>
        </w:rPr>
        <w:t>2017年林场改革为公益性一类事业单位后无业务开展未取得活动收入。</w:t>
      </w:r>
    </w:p>
    <w:p w14:paraId="302DD912">
      <w:pPr>
        <w:pStyle w:val="5"/>
        <w:keepNext w:val="0"/>
        <w:keepLines w:val="0"/>
        <w:pageBreakBefore w:val="0"/>
        <w:widowControl/>
        <w:suppressLineNumbers w:val="0"/>
        <w:kinsoku/>
        <w:wordWrap/>
        <w:overflowPunct/>
        <w:topLinePunct w:val="0"/>
        <w:autoSpaceDE w:val="0"/>
        <w:autoSpaceDN/>
        <w:bidi w:val="0"/>
        <w:adjustRightInd/>
        <w:snapToGrid/>
        <w:spacing w:beforeAutospacing="0" w:afterAutospacing="0" w:line="500" w:lineRule="exact"/>
        <w:ind w:left="0" w:firstLine="630"/>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2"/>
          <w:sz w:val="32"/>
          <w:szCs w:val="32"/>
          <w:highlight w:val="none"/>
          <w:lang w:val="en-US" w:eastAsia="zh-CN"/>
        </w:rPr>
        <w:t>6.经营收入0.00万元,为事业单位在业务活动之外开展非独立核算经营活动取得的收入。较2022年度决算数</w:t>
      </w:r>
      <w:r>
        <w:rPr>
          <w:rFonts w:hint="eastAsia" w:ascii="仿宋" w:hAnsi="仿宋" w:eastAsia="仿宋" w:cs="仿宋"/>
          <w:color w:val="auto"/>
          <w:sz w:val="32"/>
          <w:szCs w:val="32"/>
          <w:highlight w:val="none"/>
          <w:u w:color="auto"/>
        </w:rPr>
        <w:t>增加0.00</w:t>
      </w:r>
      <w:r>
        <w:rPr>
          <w:rFonts w:hint="eastAsia" w:ascii="仿宋" w:hAnsi="仿宋" w:eastAsia="仿宋" w:cs="仿宋"/>
          <w:color w:val="auto"/>
          <w:kern w:val="2"/>
          <w:sz w:val="32"/>
          <w:szCs w:val="32"/>
          <w:highlight w:val="none"/>
          <w:lang w:val="en-US" w:eastAsia="zh-CN"/>
        </w:rPr>
        <w:t>万元，</w:t>
      </w:r>
      <w:r>
        <w:rPr>
          <w:rFonts w:hint="eastAsia" w:ascii="仿宋" w:hAnsi="仿宋" w:eastAsia="仿宋" w:cs="仿宋"/>
          <w:color w:val="auto"/>
          <w:sz w:val="32"/>
          <w:szCs w:val="32"/>
          <w:highlight w:val="none"/>
          <w:u w:color="auto"/>
        </w:rPr>
        <w:t>增长0%</w:t>
      </w:r>
      <w:r>
        <w:rPr>
          <w:rFonts w:hint="eastAsia" w:ascii="仿宋" w:hAnsi="仿宋" w:eastAsia="仿宋" w:cs="仿宋"/>
          <w:color w:val="auto"/>
          <w:kern w:val="2"/>
          <w:sz w:val="32"/>
          <w:szCs w:val="32"/>
          <w:highlight w:val="none"/>
          <w:lang w:val="en-US" w:eastAsia="zh-CN"/>
        </w:rPr>
        <w:t>，主要原因是：</w:t>
      </w:r>
      <w:r>
        <w:rPr>
          <w:rFonts w:hint="eastAsia" w:ascii="仿宋" w:hAnsi="仿宋" w:eastAsia="仿宋" w:cs="仿宋"/>
          <w:color w:val="auto"/>
          <w:sz w:val="32"/>
          <w:szCs w:val="32"/>
          <w:highlight w:val="none"/>
          <w:shd w:val="clear" w:color="auto" w:fill="FFFFFF"/>
        </w:rPr>
        <w:t>本单位无经营性业务，所以无经营性收入。</w:t>
      </w:r>
    </w:p>
    <w:p w14:paraId="2DB542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7.附属单位上缴收入</w:t>
      </w:r>
      <w:r>
        <w:rPr>
          <w:rFonts w:hint="eastAsia" w:ascii="仿宋" w:hAnsi="仿宋" w:eastAsia="仿宋" w:cs="仿宋"/>
          <w:color w:val="auto"/>
          <w:sz w:val="32"/>
          <w:szCs w:val="32"/>
          <w:highlight w:val="none"/>
          <w:u w:color="auto"/>
        </w:rPr>
        <w:t>0.00</w:t>
      </w:r>
      <w:r>
        <w:rPr>
          <w:rFonts w:hint="eastAsia" w:ascii="仿宋" w:hAnsi="仿宋" w:eastAsia="仿宋" w:cs="仿宋"/>
          <w:color w:val="auto"/>
          <w:kern w:val="2"/>
          <w:sz w:val="32"/>
          <w:szCs w:val="32"/>
          <w:highlight w:val="none"/>
          <w:lang w:val="en-US" w:eastAsia="zh-CN"/>
        </w:rPr>
        <w:t>万元。较2022年度决算数</w:t>
      </w:r>
      <w:r>
        <w:rPr>
          <w:rFonts w:hint="eastAsia" w:ascii="仿宋" w:hAnsi="仿宋" w:eastAsia="仿宋" w:cs="仿宋"/>
          <w:color w:val="auto"/>
          <w:sz w:val="32"/>
          <w:szCs w:val="32"/>
          <w:highlight w:val="none"/>
          <w:u w:color="auto"/>
        </w:rPr>
        <w:t>增加0.00</w:t>
      </w:r>
      <w:r>
        <w:rPr>
          <w:rFonts w:hint="eastAsia" w:ascii="仿宋" w:hAnsi="仿宋" w:eastAsia="仿宋" w:cs="仿宋"/>
          <w:color w:val="auto"/>
          <w:kern w:val="2"/>
          <w:sz w:val="32"/>
          <w:szCs w:val="32"/>
          <w:highlight w:val="none"/>
          <w:lang w:val="en-US" w:eastAsia="zh-CN"/>
        </w:rPr>
        <w:t>万元，</w:t>
      </w:r>
      <w:r>
        <w:rPr>
          <w:rFonts w:hint="eastAsia" w:ascii="仿宋" w:hAnsi="仿宋" w:eastAsia="仿宋" w:cs="仿宋"/>
          <w:color w:val="auto"/>
          <w:sz w:val="32"/>
          <w:szCs w:val="32"/>
          <w:highlight w:val="none"/>
          <w:u w:color="auto"/>
        </w:rPr>
        <w:t>增长0%</w:t>
      </w:r>
      <w:r>
        <w:rPr>
          <w:rFonts w:hint="eastAsia" w:ascii="仿宋" w:hAnsi="仿宋" w:eastAsia="仿宋" w:cs="仿宋"/>
          <w:color w:val="auto"/>
          <w:kern w:val="2"/>
          <w:sz w:val="32"/>
          <w:szCs w:val="32"/>
          <w:highlight w:val="none"/>
          <w:lang w:val="en-US" w:eastAsia="zh-CN"/>
        </w:rPr>
        <w:t>，主要原因是：本单位无附属单位上缴收入。</w:t>
      </w:r>
    </w:p>
    <w:p w14:paraId="729979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8.其他收入</w:t>
      </w:r>
      <w:r>
        <w:rPr>
          <w:rFonts w:hint="eastAsia" w:ascii="仿宋" w:hAnsi="仿宋" w:eastAsia="仿宋" w:cs="仿宋"/>
          <w:color w:val="auto"/>
          <w:sz w:val="32"/>
          <w:szCs w:val="32"/>
          <w:highlight w:val="none"/>
          <w:u w:color="auto"/>
          <w:lang w:val="en-US" w:eastAsia="zh-CN"/>
        </w:rPr>
        <w:t>0</w:t>
      </w:r>
      <w:r>
        <w:rPr>
          <w:rFonts w:hint="eastAsia" w:ascii="仿宋" w:hAnsi="仿宋" w:eastAsia="仿宋" w:cs="仿宋"/>
          <w:color w:val="auto"/>
          <w:kern w:val="2"/>
          <w:sz w:val="32"/>
          <w:szCs w:val="32"/>
          <w:highlight w:val="none"/>
          <w:lang w:val="en-US" w:eastAsia="zh-CN"/>
        </w:rPr>
        <w:t>万元,为预算单位在“财政拨款收入”“事业收入”“经营收入”之外取得的收入。较2022年度决算数</w:t>
      </w:r>
      <w:r>
        <w:rPr>
          <w:rFonts w:hint="eastAsia" w:ascii="仿宋" w:hAnsi="仿宋" w:eastAsia="仿宋" w:cs="仿宋"/>
          <w:color w:val="auto"/>
          <w:sz w:val="32"/>
          <w:szCs w:val="32"/>
          <w:highlight w:val="none"/>
          <w:u w:color="auto"/>
        </w:rPr>
        <w:t>减少</w:t>
      </w:r>
      <w:r>
        <w:rPr>
          <w:rFonts w:hint="eastAsia" w:ascii="仿宋" w:hAnsi="仿宋" w:eastAsia="仿宋" w:cs="仿宋"/>
          <w:color w:val="auto"/>
          <w:sz w:val="32"/>
          <w:szCs w:val="32"/>
          <w:highlight w:val="none"/>
          <w:u w:color="auto"/>
          <w:lang w:val="en-US" w:eastAsia="zh-CN"/>
        </w:rPr>
        <w:t>0</w:t>
      </w:r>
      <w:r>
        <w:rPr>
          <w:rFonts w:hint="eastAsia" w:ascii="仿宋" w:hAnsi="仿宋" w:eastAsia="仿宋" w:cs="仿宋"/>
          <w:color w:val="auto"/>
          <w:kern w:val="2"/>
          <w:sz w:val="32"/>
          <w:szCs w:val="32"/>
          <w:highlight w:val="none"/>
          <w:lang w:val="en-US" w:eastAsia="zh-CN"/>
        </w:rPr>
        <w:t>万元，</w:t>
      </w:r>
      <w:r>
        <w:rPr>
          <w:rFonts w:hint="eastAsia" w:ascii="仿宋" w:hAnsi="仿宋" w:eastAsia="仿宋" w:cs="仿宋"/>
          <w:color w:val="auto"/>
          <w:sz w:val="32"/>
          <w:szCs w:val="32"/>
          <w:highlight w:val="none"/>
          <w:u w:color="auto"/>
        </w:rPr>
        <w:t>下降</w:t>
      </w:r>
      <w:r>
        <w:rPr>
          <w:rFonts w:hint="eastAsia" w:ascii="仿宋" w:hAnsi="仿宋" w:eastAsia="仿宋" w:cs="仿宋"/>
          <w:color w:val="auto"/>
          <w:sz w:val="32"/>
          <w:szCs w:val="32"/>
          <w:highlight w:val="none"/>
          <w:u w:color="auto"/>
          <w:lang w:val="en-US" w:eastAsia="zh-CN"/>
        </w:rPr>
        <w:t>0</w:t>
      </w:r>
      <w:r>
        <w:rPr>
          <w:rFonts w:hint="eastAsia" w:ascii="仿宋" w:hAnsi="仿宋" w:eastAsia="仿宋" w:cs="仿宋"/>
          <w:color w:val="auto"/>
          <w:sz w:val="32"/>
          <w:szCs w:val="32"/>
          <w:highlight w:val="none"/>
          <w:u w:color="auto"/>
        </w:rPr>
        <w:t>%</w:t>
      </w:r>
      <w:r>
        <w:rPr>
          <w:rFonts w:hint="eastAsia" w:ascii="仿宋" w:hAnsi="仿宋" w:eastAsia="仿宋" w:cs="仿宋"/>
          <w:color w:val="auto"/>
          <w:kern w:val="2"/>
          <w:sz w:val="32"/>
          <w:szCs w:val="32"/>
          <w:highlight w:val="none"/>
          <w:lang w:val="en-US" w:eastAsia="zh-CN"/>
        </w:rPr>
        <w:t>，主要原因是：本单位没有其他收入。</w:t>
      </w:r>
    </w:p>
    <w:p w14:paraId="47E556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9.使用非财政拨款结余</w:t>
      </w:r>
      <w:r>
        <w:rPr>
          <w:rFonts w:hint="eastAsia" w:ascii="仿宋" w:hAnsi="仿宋" w:eastAsia="仿宋" w:cs="仿宋"/>
          <w:color w:val="auto"/>
          <w:sz w:val="32"/>
          <w:szCs w:val="32"/>
          <w:highlight w:val="none"/>
          <w:u w:color="auto"/>
        </w:rPr>
        <w:t>0.00</w:t>
      </w:r>
      <w:r>
        <w:rPr>
          <w:rFonts w:hint="eastAsia" w:ascii="仿宋" w:hAnsi="仿宋" w:eastAsia="仿宋" w:cs="仿宋"/>
          <w:color w:val="auto"/>
          <w:kern w:val="2"/>
          <w:sz w:val="32"/>
          <w:szCs w:val="32"/>
          <w:highlight w:val="none"/>
          <w:lang w:val="en-US" w:eastAsia="zh-CN"/>
        </w:rPr>
        <w:t>万元,主要是所属事业单位在当年的“财政拨款收入”“事业收入”“经营收入”及“其他收入”不能保证其支出的情况下，使用以前年度积累的非财政拨款结余弥补本年度收支缺口的资金。较2022年度决算数</w:t>
      </w:r>
      <w:r>
        <w:rPr>
          <w:rFonts w:hint="eastAsia" w:ascii="仿宋" w:hAnsi="仿宋" w:eastAsia="仿宋" w:cs="仿宋"/>
          <w:color w:val="auto"/>
          <w:sz w:val="32"/>
          <w:szCs w:val="32"/>
          <w:u w:color="auto"/>
        </w:rPr>
        <w:t>增加0.00</w:t>
      </w:r>
      <w:r>
        <w:rPr>
          <w:rFonts w:hint="eastAsia" w:ascii="仿宋" w:hAnsi="仿宋" w:eastAsia="仿宋" w:cs="仿宋"/>
          <w:color w:val="auto"/>
          <w:kern w:val="2"/>
          <w:sz w:val="32"/>
          <w:szCs w:val="32"/>
          <w:highlight w:val="none"/>
          <w:lang w:val="en-US" w:eastAsia="zh-CN"/>
        </w:rPr>
        <w:t>万元，</w:t>
      </w:r>
      <w:r>
        <w:rPr>
          <w:rFonts w:hint="eastAsia" w:ascii="仿宋" w:hAnsi="仿宋" w:eastAsia="仿宋" w:cs="仿宋"/>
          <w:color w:val="auto"/>
          <w:sz w:val="32"/>
          <w:szCs w:val="32"/>
          <w:u w:color="auto"/>
        </w:rPr>
        <w:t>增长0%</w:t>
      </w:r>
      <w:r>
        <w:rPr>
          <w:rFonts w:hint="eastAsia" w:ascii="仿宋" w:hAnsi="仿宋" w:eastAsia="仿宋" w:cs="仿宋"/>
          <w:color w:val="auto"/>
          <w:kern w:val="2"/>
          <w:sz w:val="32"/>
          <w:szCs w:val="32"/>
          <w:highlight w:val="none"/>
          <w:lang w:val="en-US" w:eastAsia="zh-CN"/>
        </w:rPr>
        <w:t>，主要原因是：本单位没有非财政拨款结余。</w:t>
      </w:r>
    </w:p>
    <w:p w14:paraId="56A564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rPr>
        <w:t>10.上年结转和结余</w:t>
      </w:r>
      <w:r>
        <w:rPr>
          <w:rFonts w:hint="eastAsia" w:ascii="仿宋" w:hAnsi="仿宋" w:eastAsia="仿宋" w:cs="仿宋"/>
          <w:color w:val="auto"/>
          <w:sz w:val="32"/>
          <w:szCs w:val="32"/>
          <w:u w:color="auto"/>
          <w:lang w:val="en-US" w:eastAsia="zh-CN"/>
        </w:rPr>
        <w:t>0</w:t>
      </w:r>
      <w:r>
        <w:rPr>
          <w:rFonts w:hint="eastAsia" w:ascii="仿宋" w:hAnsi="仿宋" w:eastAsia="仿宋" w:cs="仿宋"/>
          <w:color w:val="auto"/>
          <w:kern w:val="2"/>
          <w:sz w:val="32"/>
          <w:szCs w:val="32"/>
          <w:highlight w:val="none"/>
          <w:lang w:val="en-US" w:eastAsia="zh-CN"/>
        </w:rPr>
        <w:t>万元，为以前年度支出预算因客观条件变化未执行完毕、结转到本年度按有关规定继续使用的资金。较2022年度决算数</w:t>
      </w:r>
      <w:r>
        <w:rPr>
          <w:rFonts w:hint="eastAsia" w:ascii="仿宋" w:hAnsi="仿宋" w:eastAsia="仿宋" w:cs="仿宋"/>
          <w:color w:val="auto"/>
          <w:sz w:val="32"/>
          <w:szCs w:val="32"/>
          <w:u w:color="auto"/>
        </w:rPr>
        <w:t>减少</w:t>
      </w:r>
      <w:r>
        <w:rPr>
          <w:rFonts w:hint="eastAsia" w:ascii="仿宋" w:hAnsi="仿宋" w:eastAsia="仿宋" w:cs="仿宋"/>
          <w:color w:val="auto"/>
          <w:sz w:val="32"/>
          <w:szCs w:val="32"/>
          <w:u w:color="auto"/>
          <w:lang w:val="en-US" w:eastAsia="zh-CN"/>
        </w:rPr>
        <w:t>0</w:t>
      </w:r>
      <w:r>
        <w:rPr>
          <w:rFonts w:hint="eastAsia" w:ascii="仿宋" w:hAnsi="仿宋" w:eastAsia="仿宋" w:cs="仿宋"/>
          <w:color w:val="auto"/>
          <w:kern w:val="2"/>
          <w:sz w:val="32"/>
          <w:szCs w:val="32"/>
          <w:highlight w:val="none"/>
          <w:lang w:val="en-US" w:eastAsia="zh-CN"/>
        </w:rPr>
        <w:t>万元，</w:t>
      </w:r>
      <w:r>
        <w:rPr>
          <w:rFonts w:hint="eastAsia" w:ascii="仿宋" w:hAnsi="仿宋" w:eastAsia="仿宋" w:cs="仿宋"/>
          <w:color w:val="auto"/>
          <w:sz w:val="32"/>
          <w:szCs w:val="32"/>
          <w:u w:color="auto"/>
        </w:rPr>
        <w:t>下降</w:t>
      </w:r>
      <w:r>
        <w:rPr>
          <w:rFonts w:hint="eastAsia" w:ascii="仿宋" w:hAnsi="仿宋" w:eastAsia="仿宋" w:cs="仿宋"/>
          <w:color w:val="auto"/>
          <w:sz w:val="32"/>
          <w:szCs w:val="32"/>
          <w:u w:color="auto"/>
          <w:lang w:val="en-US" w:eastAsia="zh-CN"/>
        </w:rPr>
        <w:t>0</w:t>
      </w:r>
      <w:r>
        <w:rPr>
          <w:rFonts w:hint="eastAsia" w:ascii="仿宋" w:hAnsi="仿宋" w:eastAsia="仿宋" w:cs="仿宋"/>
          <w:color w:val="auto"/>
          <w:sz w:val="32"/>
          <w:szCs w:val="32"/>
          <w:u w:color="auto"/>
        </w:rPr>
        <w:t>%</w:t>
      </w:r>
      <w:r>
        <w:rPr>
          <w:rFonts w:hint="eastAsia" w:ascii="仿宋" w:hAnsi="仿宋" w:eastAsia="仿宋" w:cs="仿宋"/>
          <w:color w:val="auto"/>
          <w:kern w:val="2"/>
          <w:sz w:val="32"/>
          <w:szCs w:val="32"/>
          <w:highlight w:val="none"/>
          <w:lang w:val="en-US" w:eastAsia="zh-CN"/>
        </w:rPr>
        <w:t>，主要原因：部分项目已在本年执行完毕，不需要结转至下年继续执行。</w:t>
      </w:r>
    </w:p>
    <w:p w14:paraId="2F4D30C8">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09365"/>
            <wp:effectExtent l="0" t="0" r="0" b="0"/>
            <wp:docPr id="1045"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409B006">
      <w:pPr>
        <w:keepNext w:val="0"/>
        <w:keepLines w:val="0"/>
        <w:pageBreakBefore w:val="0"/>
        <w:kinsoku/>
        <w:wordWrap/>
        <w:overflowPunct/>
        <w:topLinePunct w:val="0"/>
        <w:autoSpaceDN/>
        <w:bidi w:val="0"/>
        <w:adjustRightInd/>
        <w:snapToGrid/>
        <w:spacing w:beforeAutospacing="0" w:afterAutospacing="0" w:line="50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（二）本部门202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年度总支出</w:t>
      </w:r>
      <w:r>
        <w:rPr>
          <w:rFonts w:hint="eastAsia" w:ascii="仿宋" w:hAnsi="仿宋" w:eastAsia="仿宋" w:cs="仿宋"/>
          <w:color w:val="auto"/>
          <w:sz w:val="32"/>
          <w:u w:color="auto"/>
          <w:lang w:val="en-US" w:eastAsia="zh-CN"/>
        </w:rPr>
        <w:t>1886.51</w:t>
      </w:r>
      <w:r>
        <w:rPr>
          <w:rFonts w:hint="eastAsia" w:ascii="仿宋" w:hAnsi="仿宋" w:eastAsia="仿宋" w:cs="仿宋"/>
          <w:color w:val="auto"/>
          <w:sz w:val="32"/>
          <w:szCs w:val="32"/>
          <w:highlight w:val="none"/>
        </w:rPr>
        <w:t>万元，其中本年支</w:t>
      </w:r>
      <w:r>
        <w:rPr>
          <w:rFonts w:hint="eastAsia" w:ascii="仿宋" w:hAnsi="仿宋" w:eastAsia="仿宋" w:cs="仿宋"/>
          <w:color w:val="auto"/>
          <w:sz w:val="32"/>
          <w:szCs w:val="32"/>
          <w:highlight w:val="none"/>
          <w:lang w:val="en-US" w:eastAsia="zh-CN"/>
        </w:rPr>
        <w:t>出</w:t>
      </w:r>
      <w:r>
        <w:rPr>
          <w:rFonts w:hint="eastAsia" w:ascii="仿宋" w:hAnsi="仿宋" w:eastAsia="仿宋" w:cs="仿宋"/>
          <w:color w:val="auto"/>
          <w:sz w:val="32"/>
          <w:u w:color="auto"/>
          <w:lang w:val="en-US" w:eastAsia="zh-CN"/>
        </w:rPr>
        <w:t>1886.51</w:t>
      </w:r>
      <w:r>
        <w:rPr>
          <w:rFonts w:hint="eastAsia" w:ascii="仿宋" w:hAnsi="仿宋" w:eastAsia="仿宋" w:cs="仿宋"/>
          <w:color w:val="auto"/>
          <w:sz w:val="32"/>
          <w:szCs w:val="32"/>
          <w:highlight w:val="none"/>
        </w:rPr>
        <w:t>万元，较202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ascii="仿宋" w:hAnsi="仿宋" w:eastAsia="仿宋" w:cs="仿宋"/>
          <w:color w:val="auto"/>
          <w:sz w:val="32"/>
          <w:u w:color="auto"/>
        </w:rPr>
        <w:t>减少</w:t>
      </w:r>
      <w:r>
        <w:rPr>
          <w:rFonts w:hint="eastAsia" w:ascii="仿宋" w:hAnsi="仿宋" w:eastAsia="仿宋" w:cs="仿宋"/>
          <w:color w:val="auto"/>
          <w:sz w:val="32"/>
          <w:szCs w:val="32"/>
          <w:highlight w:val="none"/>
          <w:u w:color="auto"/>
          <w:lang w:val="en-US" w:eastAsia="zh-CN"/>
        </w:rPr>
        <w:t>110.78</w:t>
      </w:r>
      <w:r>
        <w:rPr>
          <w:rFonts w:hint="eastAsia" w:ascii="仿宋" w:hAnsi="仿宋" w:eastAsia="仿宋" w:cs="仿宋"/>
          <w:color w:val="auto"/>
          <w:sz w:val="32"/>
          <w:szCs w:val="32"/>
          <w:highlight w:val="none"/>
        </w:rPr>
        <w:t>万元，</w:t>
      </w:r>
      <w:r>
        <w:rPr>
          <w:rFonts w:ascii="仿宋" w:hAnsi="仿宋" w:eastAsia="仿宋" w:cs="仿宋"/>
          <w:color w:val="auto"/>
          <w:sz w:val="32"/>
          <w:highlight w:val="none"/>
          <w:u w:color="auto"/>
        </w:rPr>
        <w:t>下降</w:t>
      </w:r>
      <w:r>
        <w:rPr>
          <w:rFonts w:hint="eastAsia" w:ascii="仿宋" w:hAnsi="仿宋" w:eastAsia="仿宋" w:cs="仿宋"/>
          <w:color w:val="auto"/>
          <w:sz w:val="32"/>
          <w:szCs w:val="32"/>
          <w:highlight w:val="none"/>
          <w:u w:color="auto"/>
          <w:lang w:val="en-US" w:eastAsia="zh-CN"/>
        </w:rPr>
        <w:t>5.55</w:t>
      </w:r>
      <w:r>
        <w:rPr>
          <w:rFonts w:ascii="仿宋" w:hAnsi="仿宋" w:eastAsia="仿宋" w:cs="仿宋"/>
          <w:color w:val="auto"/>
          <w:sz w:val="32"/>
          <w:highlight w:val="none"/>
          <w:u w:color="auto"/>
        </w:rPr>
        <w:t>%</w:t>
      </w:r>
      <w:r>
        <w:rPr>
          <w:rFonts w:hint="eastAsia" w:ascii="仿宋" w:hAnsi="仿宋" w:eastAsia="仿宋" w:cs="仿宋"/>
          <w:color w:val="auto"/>
          <w:sz w:val="32"/>
          <w:szCs w:val="32"/>
          <w:highlight w:val="none"/>
        </w:rPr>
        <w:t>。支出具体情况如下：</w:t>
      </w:r>
    </w:p>
    <w:p w14:paraId="24335F18">
      <w:pPr>
        <w:keepNext w:val="0"/>
        <w:keepLines w:val="0"/>
        <w:pageBreakBefore w:val="0"/>
        <w:kinsoku/>
        <w:wordWrap/>
        <w:overflowPunct/>
        <w:topLinePunct w:val="0"/>
        <w:autoSpaceDN/>
        <w:bidi w:val="0"/>
        <w:adjustRightInd/>
        <w:snapToGrid/>
        <w:spacing w:beforeAutospacing="0" w:afterAutospacing="0" w:line="500" w:lineRule="exact"/>
        <w:ind w:firstLine="640" w:firstLineChars="200"/>
        <w:jc w:val="left"/>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1、一般公共服务支出（201类）：21.11万元。主要用于：工会经费支出，较2022年</w:t>
      </w:r>
      <w:r>
        <w:rPr>
          <w:rFonts w:hint="eastAsia" w:ascii="仿宋" w:hAnsi="仿宋" w:eastAsia="仿宋" w:cs="仿宋"/>
          <w:color w:val="auto"/>
          <w:sz w:val="32"/>
          <w:szCs w:val="32"/>
          <w:highlight w:val="none"/>
        </w:rPr>
        <w:t>决算数</w:t>
      </w:r>
      <w:r>
        <w:rPr>
          <w:rFonts w:hint="eastAsia" w:ascii="仿宋" w:hAnsi="仿宋" w:eastAsia="仿宋" w:cs="仿宋"/>
          <w:color w:val="auto"/>
          <w:sz w:val="32"/>
          <w:szCs w:val="32"/>
          <w:highlight w:val="none"/>
          <w:lang w:val="en-US" w:eastAsia="zh-CN"/>
        </w:rPr>
        <w:t>减少0.14万元，下降0.66%，主要原因是：人员减少。</w:t>
      </w:r>
    </w:p>
    <w:p w14:paraId="76CE84DD">
      <w:pPr>
        <w:pStyle w:val="5"/>
        <w:keepNext w:val="0"/>
        <w:keepLines w:val="0"/>
        <w:pageBreakBefore w:val="0"/>
        <w:widowControl/>
        <w:suppressLineNumbers w:val="0"/>
        <w:kinsoku/>
        <w:wordWrap/>
        <w:overflowPunct/>
        <w:topLinePunct w:val="0"/>
        <w:autoSpaceDE w:val="0"/>
        <w:autoSpaceDN/>
        <w:bidi w:val="0"/>
        <w:adjustRightInd/>
        <w:snapToGrid/>
        <w:spacing w:beforeAutospacing="0" w:afterAutospacing="0" w:line="500" w:lineRule="exact"/>
        <w:ind w:left="0" w:firstLine="645"/>
        <w:textAlignment w:val="auto"/>
        <w:rPr>
          <w:rFonts w:hint="default"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val="en-US" w:eastAsia="zh-CN"/>
        </w:rPr>
        <w:t>2</w:t>
      </w:r>
      <w:r>
        <w:rPr>
          <w:rFonts w:ascii="仿宋" w:hAnsi="仿宋" w:eastAsia="仿宋" w:cs="仿宋"/>
          <w:color w:val="auto"/>
          <w:sz w:val="32"/>
          <w:u w:color="auto"/>
        </w:rPr>
        <w:t>.</w:t>
      </w:r>
      <w:r>
        <w:rPr>
          <w:rFonts w:hint="eastAsia" w:ascii="仿宋" w:hAnsi="仿宋" w:eastAsia="仿宋" w:cs="仿宋"/>
          <w:color w:val="auto"/>
          <w:sz w:val="32"/>
          <w:szCs w:val="32"/>
          <w:highlight w:val="none"/>
        </w:rPr>
        <w:t>社会保障和就业支出（208</w:t>
      </w:r>
      <w:r>
        <w:rPr>
          <w:rFonts w:ascii="Calibri" w:hAnsi="Calibri" w:eastAsia="宋体" w:cs="Times New Roman"/>
          <w:color w:val="auto"/>
          <w:highlight w:val="none"/>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rPr>
        <w:t>168.84</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ascii="仿宋" w:hAnsi="仿宋" w:eastAsia="仿宋" w:cs="仿宋"/>
          <w:color w:val="auto"/>
          <w:sz w:val="31"/>
          <w:szCs w:val="31"/>
          <w:shd w:val="clear" w:color="auto" w:fill="FFFFFF"/>
        </w:rPr>
        <w:t>机关事业单位基本养老保险支出</w:t>
      </w:r>
      <w:r>
        <w:rPr>
          <w:rFonts w:hint="eastAsia" w:ascii="仿宋" w:hAnsi="仿宋" w:eastAsia="仿宋" w:cs="仿宋"/>
          <w:color w:val="auto"/>
          <w:sz w:val="32"/>
          <w:szCs w:val="32"/>
          <w:highlight w:val="none"/>
        </w:rPr>
        <w:t>。较202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hint="eastAsia" w:ascii="仿宋" w:hAnsi="仿宋" w:eastAsia="仿宋" w:cs="仿宋"/>
          <w:color w:val="auto"/>
          <w:sz w:val="32"/>
          <w:szCs w:val="32"/>
          <w:highlight w:val="none"/>
          <w:lang w:val="en-US" w:eastAsia="zh-CN"/>
        </w:rPr>
        <w:t>增加7.10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rPr>
        <w:t>增加4.39</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rPr>
        <w:t>主要原因是：人员工资增加。</w:t>
      </w:r>
    </w:p>
    <w:p w14:paraId="6171BB0F">
      <w:pPr>
        <w:pStyle w:val="5"/>
        <w:keepNext w:val="0"/>
        <w:keepLines w:val="0"/>
        <w:pageBreakBefore w:val="0"/>
        <w:widowControl/>
        <w:suppressLineNumbers w:val="0"/>
        <w:kinsoku/>
        <w:wordWrap/>
        <w:overflowPunct/>
        <w:topLinePunct w:val="0"/>
        <w:autoSpaceDE w:val="0"/>
        <w:autoSpaceDN/>
        <w:bidi w:val="0"/>
        <w:adjustRightInd/>
        <w:snapToGrid/>
        <w:spacing w:beforeAutospacing="0" w:afterAutospacing="0" w:line="500" w:lineRule="exact"/>
        <w:ind w:left="0" w:firstLine="645"/>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sz w:val="32"/>
          <w:szCs w:val="32"/>
          <w:highlight w:val="none"/>
          <w:lang w:val="en-US" w:eastAsia="zh-CN"/>
        </w:rPr>
        <w:t>3</w:t>
      </w:r>
      <w:r>
        <w:rPr>
          <w:rFonts w:ascii="仿宋" w:hAnsi="仿宋" w:eastAsia="仿宋" w:cs="仿宋"/>
          <w:color w:val="auto"/>
          <w:sz w:val="32"/>
          <w:u w:color="auto"/>
        </w:rPr>
        <w:t>.</w:t>
      </w:r>
      <w:r>
        <w:rPr>
          <w:rFonts w:hint="eastAsia" w:ascii="仿宋" w:hAnsi="仿宋" w:eastAsia="仿宋" w:cs="仿宋"/>
          <w:color w:val="auto"/>
          <w:sz w:val="32"/>
          <w:szCs w:val="32"/>
          <w:highlight w:val="none"/>
        </w:rPr>
        <w:t>农林水支出（213</w:t>
      </w:r>
      <w:r>
        <w:rPr>
          <w:rFonts w:ascii="Calibri" w:hAnsi="Calibri" w:eastAsia="宋体" w:cs="Times New Roman"/>
          <w:color w:val="auto"/>
          <w:highlight w:val="none"/>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rPr>
        <w:t>1315.24</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ascii="仿宋" w:hAnsi="仿宋" w:eastAsia="仿宋" w:cs="仿宋"/>
          <w:color w:val="auto"/>
          <w:sz w:val="31"/>
          <w:szCs w:val="31"/>
          <w:shd w:val="clear" w:color="auto" w:fill="FFFFFF"/>
        </w:rPr>
        <w:t>农业、事业机构运行、行业业务管理运行、其他林业和草原支出。</w:t>
      </w:r>
      <w:r>
        <w:rPr>
          <w:rFonts w:hint="eastAsia" w:ascii="仿宋" w:hAnsi="仿宋" w:eastAsia="仿宋" w:cs="仿宋"/>
          <w:color w:val="auto"/>
          <w:sz w:val="32"/>
          <w:szCs w:val="32"/>
          <w:highlight w:val="none"/>
        </w:rPr>
        <w:t>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年度决算数减少</w:t>
      </w:r>
      <w:r>
        <w:rPr>
          <w:rFonts w:hint="eastAsia" w:ascii="仿宋" w:hAnsi="仿宋" w:eastAsia="仿宋" w:cs="仿宋"/>
          <w:color w:val="auto"/>
          <w:sz w:val="32"/>
          <w:szCs w:val="32"/>
          <w:highlight w:val="none"/>
          <w:lang w:val="en-US" w:eastAsia="zh-CN"/>
        </w:rPr>
        <w:t>97.04</w:t>
      </w:r>
      <w:r>
        <w:rPr>
          <w:rFonts w:hint="eastAsia" w:ascii="仿宋" w:hAnsi="仿宋" w:eastAsia="仿宋" w:cs="仿宋"/>
          <w:color w:val="auto"/>
          <w:sz w:val="32"/>
          <w:szCs w:val="32"/>
          <w:highlight w:val="none"/>
        </w:rPr>
        <w:t>万元，下降</w:t>
      </w:r>
      <w:r>
        <w:rPr>
          <w:rFonts w:hint="eastAsia" w:ascii="仿宋" w:hAnsi="仿宋" w:eastAsia="仿宋" w:cs="仿宋"/>
          <w:color w:val="auto"/>
          <w:sz w:val="32"/>
          <w:szCs w:val="32"/>
          <w:highlight w:val="none"/>
          <w:lang w:val="en-US" w:eastAsia="zh-CN"/>
        </w:rPr>
        <w:t>6.87</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rPr>
        <w:t>主要原因是：人员减少。</w:t>
      </w:r>
    </w:p>
    <w:p w14:paraId="47CC338A">
      <w:pPr>
        <w:pStyle w:val="5"/>
        <w:keepNext w:val="0"/>
        <w:keepLines w:val="0"/>
        <w:pageBreakBefore w:val="0"/>
        <w:widowControl/>
        <w:suppressLineNumbers w:val="0"/>
        <w:kinsoku/>
        <w:wordWrap/>
        <w:overflowPunct/>
        <w:topLinePunct w:val="0"/>
        <w:autoSpaceDE w:val="0"/>
        <w:autoSpaceDN/>
        <w:bidi w:val="0"/>
        <w:adjustRightInd/>
        <w:snapToGrid/>
        <w:spacing w:beforeAutospacing="0" w:afterAutospacing="0" w:line="500" w:lineRule="exact"/>
        <w:ind w:left="0" w:firstLine="645"/>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sz w:val="32"/>
          <w:szCs w:val="32"/>
          <w:highlight w:val="none"/>
          <w:lang w:val="en-US" w:eastAsia="zh-CN"/>
        </w:rPr>
        <w:t>4</w:t>
      </w:r>
      <w:r>
        <w:rPr>
          <w:rFonts w:ascii="仿宋" w:hAnsi="仿宋" w:eastAsia="仿宋" w:cs="仿宋"/>
          <w:color w:val="auto"/>
          <w:sz w:val="32"/>
          <w:u w:color="auto"/>
        </w:rPr>
        <w:t>.</w:t>
      </w:r>
      <w:r>
        <w:rPr>
          <w:rFonts w:hint="eastAsia" w:ascii="仿宋" w:hAnsi="仿宋" w:eastAsia="仿宋" w:cs="仿宋"/>
          <w:color w:val="auto"/>
          <w:sz w:val="32"/>
          <w:szCs w:val="32"/>
          <w:highlight w:val="none"/>
        </w:rPr>
        <w:t>住房保障支出（221</w:t>
      </w:r>
      <w:r>
        <w:rPr>
          <w:rFonts w:ascii="Calibri" w:hAnsi="Calibri" w:eastAsia="宋体" w:cs="Times New Roman"/>
          <w:color w:val="auto"/>
          <w:highlight w:val="none"/>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rPr>
        <w:t>117.87</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ascii="仿宋" w:hAnsi="仿宋" w:eastAsia="仿宋" w:cs="仿宋"/>
          <w:color w:val="auto"/>
          <w:sz w:val="31"/>
          <w:szCs w:val="31"/>
          <w:shd w:val="clear" w:color="auto" w:fill="FFFFFF"/>
        </w:rPr>
        <w:t>按照国家政策规定为职工缴纳的住房公积金支出</w:t>
      </w:r>
      <w:r>
        <w:rPr>
          <w:rFonts w:hint="eastAsia" w:ascii="仿宋" w:hAnsi="仿宋" w:eastAsia="仿宋" w:cs="仿宋"/>
          <w:color w:val="auto"/>
          <w:sz w:val="32"/>
          <w:szCs w:val="32"/>
          <w:highlight w:val="none"/>
        </w:rPr>
        <w:t>。较202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年度决算数减少</w:t>
      </w:r>
      <w:r>
        <w:rPr>
          <w:rFonts w:hint="eastAsia" w:ascii="仿宋" w:hAnsi="仿宋" w:eastAsia="仿宋" w:cs="仿宋"/>
          <w:color w:val="auto"/>
          <w:sz w:val="32"/>
          <w:szCs w:val="32"/>
          <w:highlight w:val="none"/>
          <w:lang w:val="en-US" w:eastAsia="zh-CN"/>
        </w:rPr>
        <w:t>4.49</w:t>
      </w:r>
      <w:r>
        <w:rPr>
          <w:rFonts w:hint="eastAsia" w:ascii="仿宋" w:hAnsi="仿宋" w:eastAsia="仿宋" w:cs="仿宋"/>
          <w:color w:val="auto"/>
          <w:sz w:val="32"/>
          <w:szCs w:val="32"/>
          <w:highlight w:val="none"/>
        </w:rPr>
        <w:t>万元，下降</w:t>
      </w:r>
      <w:r>
        <w:rPr>
          <w:rFonts w:hint="eastAsia" w:ascii="仿宋" w:hAnsi="仿宋" w:eastAsia="仿宋" w:cs="仿宋"/>
          <w:color w:val="auto"/>
          <w:sz w:val="32"/>
          <w:szCs w:val="32"/>
          <w:highlight w:val="none"/>
          <w:lang w:val="en-US" w:eastAsia="zh-CN"/>
        </w:rPr>
        <w:t>3.67</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rPr>
        <w:t>主要原因是：人员减少。</w:t>
      </w:r>
    </w:p>
    <w:p w14:paraId="283EFD6D">
      <w:pPr>
        <w:pStyle w:val="5"/>
        <w:keepNext w:val="0"/>
        <w:keepLines w:val="0"/>
        <w:pageBreakBefore w:val="0"/>
        <w:widowControl/>
        <w:suppressLineNumbers w:val="0"/>
        <w:kinsoku/>
        <w:wordWrap/>
        <w:overflowPunct/>
        <w:topLinePunct w:val="0"/>
        <w:autoSpaceDE w:val="0"/>
        <w:autoSpaceDN/>
        <w:bidi w:val="0"/>
        <w:adjustRightInd/>
        <w:snapToGrid/>
        <w:spacing w:beforeAutospacing="0" w:afterAutospacing="0" w:line="500" w:lineRule="exact"/>
        <w:ind w:left="0" w:firstLine="645"/>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kern w:val="2"/>
          <w:sz w:val="32"/>
          <w:szCs w:val="32"/>
          <w:highlight w:val="none"/>
          <w:lang w:val="en-US" w:eastAsia="zh-CN"/>
        </w:rPr>
        <w:t>5、灾害防治及应急管理支出（224类）30.00万元，主要用于久仁分场管护用房建设项目，</w:t>
      </w:r>
      <w:r>
        <w:rPr>
          <w:rFonts w:hint="eastAsia" w:ascii="仿宋" w:hAnsi="仿宋" w:eastAsia="仿宋" w:cs="仿宋"/>
          <w:color w:val="auto"/>
          <w:sz w:val="32"/>
          <w:szCs w:val="32"/>
          <w:highlight w:val="none"/>
        </w:rPr>
        <w:t>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hint="eastAsia" w:ascii="仿宋" w:hAnsi="仿宋" w:eastAsia="仿宋" w:cs="仿宋"/>
          <w:color w:val="auto"/>
          <w:sz w:val="32"/>
          <w:szCs w:val="32"/>
          <w:highlight w:val="none"/>
          <w:lang w:val="en-US" w:eastAsia="zh-CN"/>
        </w:rPr>
        <w:t>增加0.00万元，无变动。</w:t>
      </w:r>
    </w:p>
    <w:p w14:paraId="06893217">
      <w:pPr>
        <w:pStyle w:val="5"/>
        <w:keepNext w:val="0"/>
        <w:keepLines w:val="0"/>
        <w:pageBreakBefore w:val="0"/>
        <w:widowControl/>
        <w:suppressLineNumbers w:val="0"/>
        <w:kinsoku/>
        <w:wordWrap/>
        <w:overflowPunct/>
        <w:topLinePunct w:val="0"/>
        <w:autoSpaceDE w:val="0"/>
        <w:autoSpaceDN/>
        <w:bidi w:val="0"/>
        <w:adjustRightInd/>
        <w:snapToGrid/>
        <w:spacing w:beforeAutospacing="0" w:afterAutospacing="0" w:line="500" w:lineRule="exact"/>
        <w:ind w:left="0" w:firstLine="645"/>
        <w:textAlignment w:val="auto"/>
        <w:rPr>
          <w:rFonts w:hint="default"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6、其他支出（229类）226.46万元，主要用于津贴补贴、奖金、伙食补助，</w:t>
      </w:r>
      <w:r>
        <w:rPr>
          <w:rFonts w:hint="eastAsia" w:ascii="仿宋" w:hAnsi="仿宋" w:eastAsia="仿宋" w:cs="仿宋"/>
          <w:color w:val="auto"/>
          <w:sz w:val="32"/>
          <w:szCs w:val="32"/>
          <w:highlight w:val="none"/>
        </w:rPr>
        <w:t>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年度决算数减少</w:t>
      </w:r>
      <w:r>
        <w:rPr>
          <w:rFonts w:hint="eastAsia" w:ascii="仿宋" w:hAnsi="仿宋" w:eastAsia="仿宋" w:cs="仿宋"/>
          <w:color w:val="auto"/>
          <w:sz w:val="32"/>
          <w:szCs w:val="32"/>
          <w:highlight w:val="none"/>
          <w:lang w:val="en-US" w:eastAsia="zh-CN"/>
        </w:rPr>
        <w:t>23.22万元，下降9.3%，</w:t>
      </w:r>
      <w:r>
        <w:rPr>
          <w:rFonts w:hint="eastAsia" w:ascii="仿宋" w:hAnsi="仿宋" w:eastAsia="仿宋" w:cs="仿宋"/>
          <w:color w:val="auto"/>
          <w:kern w:val="2"/>
          <w:sz w:val="32"/>
          <w:szCs w:val="32"/>
          <w:highlight w:val="none"/>
          <w:lang w:val="en-US" w:eastAsia="zh-CN"/>
        </w:rPr>
        <w:t>主要原因是：人员减少。</w:t>
      </w:r>
    </w:p>
    <w:p w14:paraId="61E0FB7C">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00" w:lineRule="exact"/>
        <w:ind w:left="0" w:right="0" w:firstLine="620" w:firstLineChars="200"/>
        <w:jc w:val="left"/>
        <w:textAlignment w:val="auto"/>
        <w:rPr>
          <w:rFonts w:hint="eastAsia" w:ascii="仿宋" w:hAnsi="仿宋" w:eastAsia="仿宋_GB2312" w:cs="仿宋"/>
          <w:color w:val="auto"/>
          <w:sz w:val="32"/>
          <w:szCs w:val="32"/>
          <w:highlight w:val="none"/>
          <w:lang w:eastAsia="zh-CN"/>
        </w:rPr>
      </w:pP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7、</w:t>
      </w:r>
      <w:r>
        <w:rPr>
          <w:rFonts w:hint="default" w:ascii="仿宋_GB2312" w:hAnsi="微软雅黑" w:eastAsia="仿宋_GB2312" w:cs="仿宋_GB2312"/>
          <w:i w:val="0"/>
          <w:iCs w:val="0"/>
          <w:caps w:val="0"/>
          <w:color w:val="auto"/>
          <w:spacing w:val="0"/>
          <w:sz w:val="31"/>
          <w:szCs w:val="31"/>
          <w:highlight w:val="none"/>
          <w:shd w:val="clear" w:color="auto" w:fill="FFFFFF"/>
        </w:rPr>
        <w:t>结余分配</w:t>
      </w:r>
      <w:r>
        <w:rPr>
          <w:rFonts w:hint="eastAsia" w:ascii="仿宋_GB2312" w:hAnsi="微软雅黑" w:eastAsia="仿宋_GB2312" w:cs="仿宋_GB2312"/>
          <w:color w:val="auto"/>
          <w:sz w:val="31"/>
          <w:szCs w:val="31"/>
          <w:highlight w:val="none"/>
          <w:shd w:val="clear" w:color="auto" w:fill="FFFFFF"/>
        </w:rPr>
        <w:t>0.00</w:t>
      </w:r>
      <w:r>
        <w:rPr>
          <w:rFonts w:hint="default" w:ascii="仿宋_GB2312" w:hAnsi="微软雅黑" w:eastAsia="仿宋_GB2312" w:cs="仿宋_GB2312"/>
          <w:i w:val="0"/>
          <w:iCs w:val="0"/>
          <w:caps w:val="0"/>
          <w:color w:val="auto"/>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2</w:t>
      </w:r>
      <w:r>
        <w:rPr>
          <w:rFonts w:hint="default" w:ascii="仿宋_GB2312" w:hAnsi="微软雅黑" w:eastAsia="仿宋_GB2312" w:cs="仿宋_GB2312"/>
          <w:i w:val="0"/>
          <w:iCs w:val="0"/>
          <w:caps w:val="0"/>
          <w:color w:val="auto"/>
          <w:spacing w:val="0"/>
          <w:sz w:val="31"/>
          <w:szCs w:val="31"/>
          <w:highlight w:val="none"/>
          <w:shd w:val="clear" w:color="auto" w:fill="FFFFFF"/>
        </w:rPr>
        <w:t>年决算</w:t>
      </w:r>
      <w:r>
        <w:rPr>
          <w:rFonts w:hint="eastAsia" w:ascii="仿宋_GB2312" w:hAnsi="微软雅黑" w:eastAsia="仿宋_GB2312" w:cs="仿宋_GB2312"/>
          <w:color w:val="auto"/>
          <w:sz w:val="31"/>
          <w:szCs w:val="31"/>
          <w:highlight w:val="none"/>
          <w:shd w:val="clear" w:color="auto" w:fill="FFFFFF"/>
        </w:rPr>
        <w:t>0.00</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w:t>
      </w:r>
      <w:r>
        <w:rPr>
          <w:rFonts w:hint="eastAsia" w:ascii="仿宋_GB2312" w:hAnsi="微软雅黑" w:eastAsia="仿宋_GB2312" w:cs="仿宋_GB2312"/>
          <w:color w:val="auto"/>
          <w:sz w:val="31"/>
          <w:szCs w:val="31"/>
          <w:highlight w:val="none"/>
          <w:shd w:val="clear" w:color="auto" w:fill="FFFFFF"/>
        </w:rPr>
        <w:t>增加0.00</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_GB2312" w:hAnsi="微软雅黑" w:eastAsia="仿宋_GB2312" w:cs="仿宋_GB2312"/>
          <w:color w:val="auto"/>
          <w:sz w:val="31"/>
          <w:szCs w:val="31"/>
          <w:highlight w:val="none"/>
          <w:shd w:val="clear" w:color="auto" w:fill="FFFFFF"/>
        </w:rPr>
        <w:t>增长0%</w:t>
      </w:r>
      <w:r>
        <w:rPr>
          <w:rFonts w:hint="eastAsia" w:ascii="仿宋_GB2312" w:hAnsi="微软雅黑" w:eastAsia="仿宋_GB2312" w:cs="仿宋_GB2312"/>
          <w:i w:val="0"/>
          <w:iCs w:val="0"/>
          <w:caps w:val="0"/>
          <w:color w:val="auto"/>
          <w:spacing w:val="0"/>
          <w:sz w:val="31"/>
          <w:szCs w:val="31"/>
          <w:highlight w:val="none"/>
          <w:shd w:val="clear" w:color="auto" w:fill="FFFFFF"/>
          <w:lang w:eastAsia="zh-CN"/>
        </w:rPr>
        <w:t>。</w:t>
      </w:r>
    </w:p>
    <w:p w14:paraId="0E01A3DA">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年末结转和结余</w:t>
      </w:r>
      <w:r>
        <w:rPr>
          <w:rFonts w:hint="eastAsia" w:ascii="仿宋" w:hAnsi="仿宋" w:eastAsia="仿宋" w:cs="仿宋"/>
          <w:color w:val="auto"/>
          <w:sz w:val="32"/>
          <w:u w:color="auto"/>
          <w:lang w:val="en-US" w:eastAsia="zh-CN"/>
        </w:rPr>
        <w:t>0</w:t>
      </w:r>
      <w:r>
        <w:rPr>
          <w:rFonts w:hint="eastAsia" w:ascii="仿宋" w:hAnsi="仿宋" w:eastAsia="仿宋" w:cs="仿宋"/>
          <w:color w:val="auto"/>
          <w:sz w:val="32"/>
          <w:szCs w:val="32"/>
          <w:highlight w:val="none"/>
        </w:rPr>
        <w:t>万元，为本年度或以前年度预算安排、因客观条件发生变化无法按原计划实施，需要延迟到以后年度按有关规定继续使用的资金。较202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ascii="仿宋" w:hAnsi="仿宋" w:eastAsia="仿宋" w:cs="仿宋"/>
          <w:color w:val="auto"/>
          <w:sz w:val="32"/>
          <w:u w:color="auto"/>
        </w:rPr>
        <w:t>增加</w:t>
      </w:r>
      <w:r>
        <w:rPr>
          <w:rFonts w:hint="eastAsia" w:ascii="仿宋" w:hAnsi="仿宋" w:eastAsia="仿宋" w:cs="仿宋"/>
          <w:color w:val="auto"/>
          <w:sz w:val="32"/>
          <w:u w:color="auto"/>
          <w:lang w:val="en-US" w:eastAsia="zh-CN"/>
        </w:rPr>
        <w:t>0</w:t>
      </w:r>
      <w:r>
        <w:rPr>
          <w:rFonts w:hint="eastAsia" w:ascii="仿宋" w:hAnsi="仿宋" w:eastAsia="仿宋" w:cs="仿宋"/>
          <w:color w:val="auto"/>
          <w:sz w:val="32"/>
          <w:szCs w:val="32"/>
          <w:highlight w:val="none"/>
        </w:rPr>
        <w:t>万元，</w:t>
      </w:r>
      <w:r>
        <w:rPr>
          <w:rFonts w:ascii="仿宋" w:hAnsi="仿宋" w:eastAsia="仿宋" w:cs="仿宋"/>
          <w:color w:val="auto"/>
          <w:sz w:val="32"/>
          <w:u w:color="auto"/>
        </w:rPr>
        <w:t>增长</w:t>
      </w:r>
      <w:r>
        <w:rPr>
          <w:rFonts w:hint="eastAsia" w:ascii="仿宋" w:hAnsi="仿宋" w:eastAsia="仿宋" w:cs="仿宋"/>
          <w:color w:val="auto"/>
          <w:sz w:val="32"/>
          <w:u w:color="auto"/>
          <w:lang w:val="en-US" w:eastAsia="zh-CN"/>
        </w:rPr>
        <w:t>0</w:t>
      </w:r>
      <w:r>
        <w:rPr>
          <w:rFonts w:ascii="仿宋" w:hAnsi="仿宋" w:eastAsia="仿宋" w:cs="仿宋"/>
          <w:color w:val="auto"/>
          <w:sz w:val="32"/>
          <w:u w:color="auto"/>
        </w:rPr>
        <w:t>%</w:t>
      </w:r>
      <w:r>
        <w:rPr>
          <w:rFonts w:hint="eastAsia" w:ascii="仿宋" w:hAnsi="仿宋" w:eastAsia="仿宋" w:cs="仿宋"/>
          <w:color w:val="auto"/>
          <w:sz w:val="32"/>
          <w:szCs w:val="32"/>
          <w:highlight w:val="none"/>
          <w:lang w:eastAsia="zh-CN"/>
        </w:rPr>
        <w:t>。</w:t>
      </w:r>
    </w:p>
    <w:p w14:paraId="5434EB35">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00" w:lineRule="exact"/>
        <w:ind w:left="0" w:right="0" w:firstLine="640" w:firstLineChars="200"/>
        <w:jc w:val="left"/>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8、城乡社区支出7.00万元，为政府基金预算财政拨款支出，用于林业改革发展资金项目支出。</w:t>
      </w:r>
    </w:p>
    <w:p w14:paraId="67F134E8">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0" t="0" r="0" b="0"/>
            <wp:docPr id="1047"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C64095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rPr>
        <w:t>二、202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 xml:space="preserve"> 年度</w:t>
      </w:r>
      <w:bookmarkStart w:id="0" w:name="OLE_LINK1"/>
      <w:r>
        <w:rPr>
          <w:rFonts w:hint="eastAsia" w:ascii="黑体" w:hAnsi="黑体" w:eastAsia="黑体" w:cs="黑体"/>
          <w:sz w:val="32"/>
          <w:szCs w:val="32"/>
          <w:highlight w:val="none"/>
        </w:rPr>
        <w:t>一般公共预算财政拨款支出决算情况</w:t>
      </w:r>
      <w:bookmarkEnd w:id="0"/>
    </w:p>
    <w:p w14:paraId="4D169B17">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华山林场</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年度一般公共预算财政拨款支出</w:t>
      </w:r>
      <w:r>
        <w:rPr>
          <w:rFonts w:hint="eastAsia" w:ascii="仿宋" w:hAnsi="仿宋" w:eastAsia="仿宋" w:cs="仿宋"/>
          <w:color w:val="auto"/>
          <w:sz w:val="32"/>
          <w:u w:color="auto"/>
          <w:lang w:val="en-US" w:eastAsia="zh-CN"/>
        </w:rPr>
        <w:t>1879.51</w:t>
      </w:r>
      <w:r>
        <w:rPr>
          <w:rFonts w:hint="eastAsia" w:ascii="仿宋" w:hAnsi="仿宋" w:eastAsia="仿宋" w:cs="仿宋"/>
          <w:color w:val="auto"/>
          <w:sz w:val="32"/>
          <w:szCs w:val="32"/>
          <w:highlight w:val="none"/>
        </w:rPr>
        <w:t>万元，较202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ascii="仿宋" w:hAnsi="仿宋" w:eastAsia="仿宋" w:cs="仿宋"/>
          <w:color w:val="auto"/>
          <w:sz w:val="32"/>
          <w:szCs w:val="32"/>
          <w:u w:color="auto"/>
        </w:rPr>
        <w:t>减少</w:t>
      </w:r>
      <w:r>
        <w:rPr>
          <w:rFonts w:hint="eastAsia" w:ascii="仿宋" w:hAnsi="仿宋" w:eastAsia="仿宋" w:cs="仿宋"/>
          <w:color w:val="auto"/>
          <w:sz w:val="32"/>
          <w:szCs w:val="32"/>
          <w:highlight w:val="none"/>
          <w:u w:color="auto"/>
          <w:lang w:val="en-US" w:eastAsia="zh-CN"/>
        </w:rPr>
        <w:t>117.78</w:t>
      </w:r>
      <w:r>
        <w:rPr>
          <w:rFonts w:hint="eastAsia" w:ascii="仿宋" w:hAnsi="仿宋" w:eastAsia="仿宋" w:cs="仿宋"/>
          <w:color w:val="auto"/>
          <w:sz w:val="32"/>
          <w:szCs w:val="32"/>
          <w:highlight w:val="none"/>
        </w:rPr>
        <w:t>万元，</w:t>
      </w:r>
      <w:r>
        <w:rPr>
          <w:rFonts w:ascii="仿宋" w:hAnsi="仿宋" w:eastAsia="仿宋" w:cs="仿宋"/>
          <w:color w:val="auto"/>
          <w:sz w:val="32"/>
          <w:szCs w:val="32"/>
          <w:u w:color="auto"/>
        </w:rPr>
        <w:t>下降</w:t>
      </w:r>
      <w:r>
        <w:rPr>
          <w:rFonts w:hint="eastAsia" w:ascii="仿宋" w:hAnsi="仿宋" w:eastAsia="仿宋" w:cs="仿宋"/>
          <w:color w:val="auto"/>
          <w:sz w:val="32"/>
          <w:szCs w:val="32"/>
          <w:u w:color="auto"/>
          <w:lang w:val="en-US" w:eastAsia="zh-CN"/>
        </w:rPr>
        <w:t>5.89</w:t>
      </w:r>
      <w:r>
        <w:rPr>
          <w:rFonts w:ascii="仿宋" w:hAnsi="仿宋" w:eastAsia="仿宋" w:cs="仿宋"/>
          <w:color w:val="auto"/>
          <w:sz w:val="32"/>
          <w:szCs w:val="32"/>
          <w:u w:color="auto"/>
        </w:rPr>
        <w:t>%</w:t>
      </w:r>
      <w:r>
        <w:rPr>
          <w:rFonts w:hint="eastAsia" w:ascii="仿宋" w:hAnsi="仿宋" w:eastAsia="仿宋" w:cs="仿宋"/>
          <w:color w:val="auto"/>
          <w:sz w:val="32"/>
          <w:szCs w:val="32"/>
          <w:highlight w:val="none"/>
        </w:rPr>
        <w:t>。其中：基本支出</w:t>
      </w:r>
      <w:r>
        <w:rPr>
          <w:rFonts w:hint="eastAsia" w:ascii="仿宋" w:hAnsi="仿宋" w:eastAsia="仿宋" w:cs="仿宋"/>
          <w:color w:val="auto"/>
          <w:sz w:val="32"/>
          <w:szCs w:val="32"/>
          <w:u w:color="auto"/>
          <w:lang w:val="en-US" w:eastAsia="zh-CN"/>
        </w:rPr>
        <w:t>1596.52</w:t>
      </w:r>
      <w:r>
        <w:rPr>
          <w:rFonts w:hint="eastAsia" w:ascii="仿宋" w:hAnsi="仿宋" w:eastAsia="仿宋" w:cs="仿宋"/>
          <w:color w:val="auto"/>
          <w:sz w:val="32"/>
          <w:szCs w:val="32"/>
          <w:highlight w:val="none"/>
        </w:rPr>
        <w:t>万元，项目支出</w:t>
      </w:r>
      <w:r>
        <w:rPr>
          <w:rFonts w:hint="eastAsia" w:ascii="仿宋" w:hAnsi="仿宋" w:eastAsia="仿宋" w:cs="仿宋"/>
          <w:color w:val="auto"/>
          <w:sz w:val="32"/>
          <w:szCs w:val="32"/>
          <w:u w:color="auto"/>
          <w:lang w:val="en-US" w:eastAsia="zh-CN"/>
        </w:rPr>
        <w:t>282.99</w:t>
      </w:r>
      <w:r>
        <w:rPr>
          <w:rFonts w:hint="eastAsia" w:ascii="仿宋" w:hAnsi="仿宋" w:eastAsia="仿宋" w:cs="仿宋"/>
          <w:color w:val="auto"/>
          <w:sz w:val="32"/>
          <w:szCs w:val="32"/>
          <w:highlight w:val="none"/>
        </w:rPr>
        <w:t>万元。</w:t>
      </w:r>
    </w:p>
    <w:p w14:paraId="0F2C1C5F">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仿宋" w:hAnsi="仿宋" w:eastAsia="仿宋"/>
          <w:color w:val="auto"/>
          <w:sz w:val="32"/>
          <w:szCs w:val="32"/>
          <w:highlight w:val="none"/>
        </w:rPr>
      </w:pPr>
      <w:r>
        <w:rPr>
          <w:rFonts w:hint="eastAsia" w:ascii="仿宋" w:hAnsi="仿宋" w:eastAsia="仿宋" w:cs="仿宋"/>
          <w:color w:val="auto"/>
          <w:sz w:val="32"/>
          <w:szCs w:val="32"/>
          <w:highlight w:val="none"/>
          <w:lang w:val="en-US" w:eastAsia="zh-CN"/>
        </w:rPr>
        <w:t>华山林场</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 xml:space="preserve"> 年度一般公共预算财政拨款支出年初预算为</w:t>
      </w:r>
      <w:r>
        <w:rPr>
          <w:rFonts w:hint="eastAsia" w:ascii="仿宋" w:hAnsi="仿宋" w:eastAsia="仿宋" w:cs="仿宋"/>
          <w:color w:val="auto"/>
          <w:sz w:val="32"/>
          <w:szCs w:val="32"/>
          <w:highlight w:val="none"/>
          <w:u w:color="auto"/>
          <w:lang w:val="en-US" w:eastAsia="zh-CN"/>
        </w:rPr>
        <w:t>1449.97</w:t>
      </w:r>
      <w:r>
        <w:rPr>
          <w:rFonts w:hint="eastAsia" w:ascii="仿宋" w:hAnsi="仿宋" w:eastAsia="仿宋" w:cs="仿宋"/>
          <w:color w:val="auto"/>
          <w:sz w:val="32"/>
          <w:szCs w:val="32"/>
          <w:highlight w:val="none"/>
        </w:rPr>
        <w:t>万元，支出决算为</w:t>
      </w:r>
      <w:r>
        <w:rPr>
          <w:rFonts w:hint="eastAsia" w:ascii="仿宋" w:hAnsi="仿宋" w:eastAsia="仿宋" w:cs="仿宋"/>
          <w:color w:val="auto"/>
          <w:sz w:val="32"/>
          <w:szCs w:val="32"/>
          <w:u w:color="auto"/>
          <w:lang w:val="en-US" w:eastAsia="zh-CN"/>
        </w:rPr>
        <w:t>1879.51</w:t>
      </w:r>
      <w:r>
        <w:rPr>
          <w:rFonts w:hint="eastAsia" w:ascii="仿宋" w:hAnsi="仿宋" w:eastAsia="仿宋" w:cs="仿宋"/>
          <w:color w:val="auto"/>
          <w:sz w:val="32"/>
          <w:szCs w:val="32"/>
          <w:highlight w:val="none"/>
        </w:rPr>
        <w:t>万元，完成年初预算的</w:t>
      </w:r>
      <w:r>
        <w:rPr>
          <w:rFonts w:hint="eastAsia" w:ascii="仿宋" w:hAnsi="仿宋" w:eastAsia="仿宋" w:cs="仿宋"/>
          <w:color w:val="auto"/>
          <w:sz w:val="32"/>
          <w:szCs w:val="32"/>
          <w:u w:color="auto"/>
          <w:lang w:val="en-US" w:eastAsia="zh-CN"/>
        </w:rPr>
        <w:t>129.62</w:t>
      </w:r>
      <w:r>
        <w:rPr>
          <w:rFonts w:ascii="仿宋" w:hAnsi="仿宋" w:eastAsia="仿宋" w:cs="仿宋"/>
          <w:color w:val="auto"/>
          <w:sz w:val="32"/>
          <w:szCs w:val="32"/>
          <w:u w:color="auto"/>
        </w:rPr>
        <w:t>%</w:t>
      </w:r>
      <w:r>
        <w:rPr>
          <w:rFonts w:hint="eastAsia" w:ascii="仿宋" w:hAnsi="仿宋" w:eastAsia="仿宋" w:cs="仿宋"/>
          <w:color w:val="auto"/>
          <w:sz w:val="32"/>
          <w:szCs w:val="32"/>
          <w:highlight w:val="none"/>
        </w:rPr>
        <w:t>。</w:t>
      </w:r>
      <w:bookmarkStart w:id="1" w:name="OLE_LINK2"/>
      <w:bookmarkEnd w:id="1"/>
    </w:p>
    <w:p w14:paraId="055D8588">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0"/>
        <w:jc w:val="left"/>
        <w:textAlignment w:val="auto"/>
        <w:rPr>
          <w:rFonts w:hint="eastAsia" w:eastAsia="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一般公共服务支出</w:t>
      </w:r>
      <w:r>
        <w:rPr>
          <w:rFonts w:ascii="仿宋" w:hAnsi="仿宋" w:eastAsia="仿宋"/>
          <w:color w:val="auto"/>
          <w:sz w:val="32"/>
          <w:szCs w:val="32"/>
          <w:u w:color="auto"/>
        </w:rPr>
        <w:t>（20</w:t>
      </w:r>
      <w:r>
        <w:rPr>
          <w:rFonts w:hint="eastAsia" w:ascii="仿宋" w:hAnsi="仿宋" w:eastAsia="仿宋"/>
          <w:color w:val="auto"/>
          <w:sz w:val="32"/>
          <w:szCs w:val="32"/>
          <w:u w:color="auto"/>
          <w:lang w:val="en-US" w:eastAsia="zh-CN"/>
        </w:rPr>
        <w:t>1</w:t>
      </w:r>
      <w:r>
        <w:rPr>
          <w:rFonts w:hint="eastAsia" w:ascii="仿宋" w:hAnsi="仿宋" w:eastAsia="仿宋"/>
          <w:color w:val="auto"/>
          <w:sz w:val="32"/>
          <w:szCs w:val="32"/>
          <w:highlight w:val="none"/>
        </w:rPr>
        <w:t>类）年初预算为</w:t>
      </w:r>
      <w:r>
        <w:rPr>
          <w:rFonts w:hint="eastAsia" w:ascii="仿宋" w:hAnsi="仿宋" w:eastAsia="仿宋"/>
          <w:color w:val="auto"/>
          <w:sz w:val="32"/>
          <w:szCs w:val="32"/>
          <w:highlight w:val="none"/>
          <w:lang w:val="en-US" w:eastAsia="zh-CN"/>
        </w:rPr>
        <w:t>21.11</w:t>
      </w:r>
      <w:r>
        <w:rPr>
          <w:rFonts w:hint="eastAsia" w:ascii="仿宋" w:hAnsi="仿宋" w:eastAsia="仿宋"/>
          <w:color w:val="auto"/>
          <w:sz w:val="32"/>
          <w:szCs w:val="32"/>
          <w:highlight w:val="none"/>
        </w:rPr>
        <w:t>万元，支出决算为</w:t>
      </w:r>
      <w:r>
        <w:rPr>
          <w:rFonts w:hint="eastAsia" w:ascii="仿宋" w:hAnsi="仿宋" w:eastAsia="仿宋" w:cs="仿宋"/>
          <w:color w:val="auto"/>
          <w:sz w:val="32"/>
          <w:szCs w:val="32"/>
          <w:highlight w:val="none"/>
          <w:lang w:val="en-US" w:eastAsia="zh-CN"/>
        </w:rPr>
        <w:t>21.11</w:t>
      </w:r>
      <w:r>
        <w:rPr>
          <w:rFonts w:hint="eastAsia" w:ascii="仿宋" w:hAnsi="仿宋" w:eastAsia="仿宋"/>
          <w:color w:val="auto"/>
          <w:sz w:val="32"/>
          <w:szCs w:val="32"/>
          <w:highlight w:val="none"/>
        </w:rPr>
        <w:t>万元，完成年初预算的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4731549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24"/>
          <w:szCs w:val="24"/>
          <w:highlight w:val="none"/>
          <w:lang w:val="en-US" w:eastAsia="zh-CN"/>
        </w:rPr>
        <w:t>单位：万元</w:t>
      </w:r>
    </w:p>
    <w:tbl>
      <w:tblPr>
        <w:tblStyle w:val="6"/>
        <w:tblW w:w="85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2ABE3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3AF49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5F5B0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F6E95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28A14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DFEAB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291E8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4C6A5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原因</w:t>
            </w:r>
          </w:p>
        </w:tc>
      </w:tr>
      <w:tr w14:paraId="6EFD2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jc w:val="center"/>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6C176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AD0A0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 xml:space="preserve"> 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B02C9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21.11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451D1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21.11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6B59A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094FDA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1864E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18"/>
                <w:szCs w:val="18"/>
                <w:highlight w:val="none"/>
                <w:lang w:val="en-US" w:eastAsia="zh-CN"/>
              </w:rPr>
            </w:pPr>
          </w:p>
        </w:tc>
      </w:tr>
      <w:tr w14:paraId="147B7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jc w:val="center"/>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3696B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068D5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3428D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30317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21.11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7546F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68CD24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06EF7D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18"/>
                <w:szCs w:val="18"/>
                <w:highlight w:val="none"/>
                <w:lang w:val="en-US" w:eastAsia="zh-CN"/>
              </w:rPr>
            </w:pPr>
          </w:p>
        </w:tc>
      </w:tr>
    </w:tbl>
    <w:p w14:paraId="62B895B6">
      <w:pPr>
        <w:jc w:val="center"/>
        <w:rPr>
          <w:rFonts w:hint="eastAsia" w:ascii="仿宋" w:hAnsi="仿宋" w:eastAsia="仿宋"/>
          <w:sz w:val="32"/>
          <w:szCs w:val="32"/>
          <w:highlight w:val="none"/>
        </w:rPr>
      </w:pPr>
    </w:p>
    <w:p w14:paraId="11C6FCCD">
      <w:pPr>
        <w:jc w:val="left"/>
        <w:rPr>
          <w:rFonts w:hint="eastAsia" w:ascii="仿宋" w:hAnsi="仿宋" w:eastAsia="仿宋"/>
          <w:sz w:val="32"/>
          <w:szCs w:val="32"/>
          <w:highlight w:val="none"/>
        </w:rPr>
      </w:pP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drawing>
          <wp:inline distT="0" distB="0" distL="114300" distR="114300">
            <wp:extent cx="4474845" cy="3215640"/>
            <wp:effectExtent l="0" t="0" r="0" b="0"/>
            <wp:docPr id="1049"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7A00351">
      <w:pPr>
        <w:jc w:val="center"/>
        <w:rPr>
          <w:rFonts w:ascii="仿宋" w:hAnsi="仿宋" w:eastAsia="仿宋"/>
          <w:sz w:val="32"/>
          <w:szCs w:val="32"/>
          <w:highlight w:val="none"/>
        </w:rPr>
      </w:pPr>
    </w:p>
    <w:p w14:paraId="41734FBF">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color w:val="auto"/>
          <w:sz w:val="32"/>
          <w:szCs w:val="32"/>
          <w:highlight w:val="none"/>
        </w:rPr>
        <w:t>社会保障和就业支出</w:t>
      </w:r>
      <w:r>
        <w:rPr>
          <w:rFonts w:ascii="仿宋" w:hAnsi="仿宋" w:eastAsia="仿宋"/>
          <w:color w:val="auto"/>
          <w:sz w:val="32"/>
          <w:u w:color="auto"/>
        </w:rPr>
        <w:t>（208</w:t>
      </w:r>
      <w:r>
        <w:rPr>
          <w:rFonts w:hint="eastAsia" w:ascii="仿宋" w:hAnsi="仿宋" w:eastAsia="仿宋"/>
          <w:color w:val="auto"/>
          <w:sz w:val="32"/>
          <w:szCs w:val="32"/>
          <w:highlight w:val="none"/>
        </w:rPr>
        <w:t>类）年初预算为</w:t>
      </w:r>
      <w:r>
        <w:rPr>
          <w:rFonts w:hint="eastAsia" w:ascii="仿宋" w:hAnsi="仿宋" w:eastAsia="仿宋"/>
          <w:color w:val="auto"/>
          <w:sz w:val="32"/>
          <w:szCs w:val="32"/>
          <w:highlight w:val="none"/>
          <w:lang w:val="en-US" w:eastAsia="zh-CN"/>
        </w:rPr>
        <w:t>168.84</w:t>
      </w:r>
      <w:r>
        <w:rPr>
          <w:rFonts w:hint="eastAsia" w:ascii="仿宋" w:hAnsi="仿宋" w:eastAsia="仿宋"/>
          <w:color w:val="auto"/>
          <w:sz w:val="32"/>
          <w:szCs w:val="32"/>
          <w:highlight w:val="none"/>
        </w:rPr>
        <w:t>万元，支出决算为</w:t>
      </w:r>
      <w:r>
        <w:rPr>
          <w:rFonts w:hint="eastAsia" w:ascii="仿宋" w:hAnsi="仿宋" w:eastAsia="仿宋"/>
          <w:color w:val="auto"/>
          <w:sz w:val="32"/>
          <w:szCs w:val="32"/>
          <w:highlight w:val="none"/>
          <w:lang w:val="en-US" w:eastAsia="zh-CN"/>
        </w:rPr>
        <w:t>168.84</w:t>
      </w:r>
      <w:r>
        <w:rPr>
          <w:rFonts w:hint="eastAsia" w:ascii="仿宋" w:hAnsi="仿宋" w:eastAsia="仿宋"/>
          <w:color w:val="auto"/>
          <w:sz w:val="32"/>
          <w:szCs w:val="32"/>
          <w:highlight w:val="none"/>
        </w:rPr>
        <w:t>万元，完成年初预算的</w:t>
      </w:r>
      <w:r>
        <w:rPr>
          <w:rFonts w:hint="eastAsia" w:ascii="仿宋" w:hAnsi="仿宋" w:eastAsia="仿宋"/>
          <w:color w:val="auto"/>
          <w:sz w:val="32"/>
          <w:szCs w:val="32"/>
          <w:highlight w:val="none"/>
          <w:lang w:val="en-US" w:eastAsia="zh-CN"/>
        </w:rPr>
        <w:t xml:space="preserve"> 100 </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080FB284">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24"/>
          <w:szCs w:val="24"/>
          <w:highlight w:val="none"/>
          <w:lang w:val="en-US" w:eastAsia="zh-CN"/>
        </w:rPr>
        <w:t>单位：万元</w:t>
      </w:r>
    </w:p>
    <w:tbl>
      <w:tblPr>
        <w:tblStyle w:val="6"/>
        <w:tblW w:w="85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48C91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97A24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20C4C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1B61A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55033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A0B87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5302C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4B9BD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原因</w:t>
            </w:r>
          </w:p>
        </w:tc>
      </w:tr>
      <w:tr w14:paraId="1EEF2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8" w:hRule="atLeast"/>
          <w:jc w:val="center"/>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CB2522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78F5BF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FE611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168.84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F558C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168.84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4D2E6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5D1C7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单位基本养老保险缴费支出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249CB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14:paraId="3C2D5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9C7E5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70F65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10474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B96EC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168.84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EAE4C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52C1B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E2191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18"/>
                <w:szCs w:val="18"/>
                <w:highlight w:val="none"/>
                <w:lang w:val="en-US" w:eastAsia="zh-CN"/>
              </w:rPr>
            </w:pPr>
          </w:p>
        </w:tc>
      </w:tr>
    </w:tbl>
    <w:p w14:paraId="517DD488">
      <w:pPr>
        <w:jc w:val="left"/>
        <w:rPr>
          <w:rFonts w:ascii="仿宋" w:hAnsi="仿宋" w:eastAsia="仿宋"/>
          <w:sz w:val="32"/>
          <w:szCs w:val="32"/>
          <w:highlight w:val="none"/>
        </w:rPr>
      </w:pP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drawing>
          <wp:inline distT="0" distB="0" distL="114300" distR="114300">
            <wp:extent cx="3065780" cy="1969135"/>
            <wp:effectExtent l="0" t="0" r="0" b="0"/>
            <wp:docPr id="1051"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B484A49">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cs="仿宋"/>
          <w:color w:val="auto"/>
          <w:sz w:val="32"/>
          <w:szCs w:val="32"/>
          <w:highlight w:val="none"/>
        </w:rPr>
        <w:t>农林水支出（213</w:t>
      </w:r>
      <w:r>
        <w:rPr>
          <w:rFonts w:ascii="Calibri" w:hAnsi="Calibri" w:eastAsia="宋体" w:cs="Times New Roman"/>
          <w:color w:val="auto"/>
          <w:highlight w:val="none"/>
        </w:rPr>
        <w:t xml:space="preserve"> </w:t>
      </w:r>
      <w:r>
        <w:rPr>
          <w:rFonts w:hint="eastAsia" w:ascii="仿宋" w:hAnsi="仿宋" w:eastAsia="仿宋" w:cs="仿宋"/>
          <w:color w:val="auto"/>
          <w:sz w:val="32"/>
          <w:szCs w:val="32"/>
          <w:highlight w:val="none"/>
        </w:rPr>
        <w:t>类）</w:t>
      </w:r>
      <w:r>
        <w:rPr>
          <w:rFonts w:hint="eastAsia" w:ascii="仿宋" w:hAnsi="仿宋" w:eastAsia="仿宋"/>
          <w:color w:val="auto"/>
          <w:sz w:val="32"/>
          <w:szCs w:val="32"/>
          <w:highlight w:val="none"/>
        </w:rPr>
        <w:t>年初预算为</w:t>
      </w:r>
      <w:r>
        <w:rPr>
          <w:rFonts w:hint="eastAsia" w:ascii="仿宋" w:hAnsi="仿宋" w:eastAsia="仿宋"/>
          <w:color w:val="auto"/>
          <w:sz w:val="32"/>
          <w:szCs w:val="32"/>
          <w:highlight w:val="none"/>
          <w:lang w:val="en-US" w:eastAsia="zh-CN"/>
        </w:rPr>
        <w:t>1133.40</w:t>
      </w:r>
      <w:r>
        <w:rPr>
          <w:rFonts w:hint="eastAsia" w:ascii="仿宋" w:hAnsi="仿宋" w:eastAsia="仿宋"/>
          <w:color w:val="auto"/>
          <w:sz w:val="32"/>
          <w:szCs w:val="32"/>
          <w:highlight w:val="none"/>
        </w:rPr>
        <w:t>万元，支出决算为</w:t>
      </w:r>
      <w:r>
        <w:rPr>
          <w:rFonts w:hint="eastAsia" w:ascii="仿宋" w:hAnsi="仿宋" w:eastAsia="仿宋"/>
          <w:color w:val="auto"/>
          <w:sz w:val="32"/>
          <w:szCs w:val="32"/>
          <w:highlight w:val="none"/>
          <w:lang w:val="en-US" w:eastAsia="zh-CN"/>
        </w:rPr>
        <w:t>1315.24</w:t>
      </w:r>
      <w:r>
        <w:rPr>
          <w:rFonts w:hint="eastAsia" w:ascii="仿宋" w:hAnsi="仿宋" w:eastAsia="仿宋"/>
          <w:color w:val="auto"/>
          <w:sz w:val="32"/>
          <w:szCs w:val="32"/>
          <w:highlight w:val="none"/>
        </w:rPr>
        <w:t>万元，完成年初预算的</w:t>
      </w:r>
      <w:r>
        <w:rPr>
          <w:rFonts w:hint="eastAsia" w:ascii="仿宋" w:hAnsi="仿宋" w:eastAsia="仿宋"/>
          <w:color w:val="auto"/>
          <w:sz w:val="32"/>
          <w:szCs w:val="32"/>
          <w:highlight w:val="none"/>
          <w:lang w:val="en-US" w:eastAsia="zh-CN"/>
        </w:rPr>
        <w:t>116.04</w:t>
      </w:r>
      <w:r>
        <w:rPr>
          <w:rFonts w:ascii="仿宋" w:hAnsi="仿宋" w:eastAsia="仿宋"/>
          <w:color w:val="auto"/>
          <w:sz w:val="32"/>
          <w:szCs w:val="32"/>
          <w:highlight w:val="none"/>
        </w:rPr>
        <w:t>%</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仿宋" w:hAnsi="仿宋" w:eastAsia="仿宋" w:cs="仿宋"/>
          <w:color w:val="auto"/>
          <w:kern w:val="2"/>
          <w:sz w:val="32"/>
          <w:szCs w:val="32"/>
          <w:highlight w:val="none"/>
          <w:lang w:val="en-US" w:eastAsia="zh-CN"/>
        </w:rPr>
        <w:t>人员经费增加，年中追加项目。</w:t>
      </w:r>
    </w:p>
    <w:p w14:paraId="72B01706">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24"/>
          <w:szCs w:val="24"/>
          <w:highlight w:val="none"/>
          <w:lang w:val="en-US" w:eastAsia="zh-CN"/>
        </w:rPr>
        <w:t>单位：万元</w:t>
      </w:r>
    </w:p>
    <w:tbl>
      <w:tblPr>
        <w:tblStyle w:val="6"/>
        <w:tblW w:w="85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228"/>
        <w:gridCol w:w="945"/>
        <w:gridCol w:w="915"/>
        <w:gridCol w:w="885"/>
        <w:gridCol w:w="1783"/>
        <w:gridCol w:w="1825"/>
      </w:tblGrid>
      <w:tr w14:paraId="2D1CA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exact"/>
          <w:jc w:val="center"/>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BB61A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rPr>
              <w:t>类款项</w:t>
            </w:r>
          </w:p>
        </w:tc>
        <w:tc>
          <w:tcPr>
            <w:tcW w:w="122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6A9F1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科目名称</w:t>
            </w:r>
          </w:p>
        </w:tc>
        <w:tc>
          <w:tcPr>
            <w:tcW w:w="94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22F43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年初预算数</w:t>
            </w:r>
          </w:p>
        </w:tc>
        <w:tc>
          <w:tcPr>
            <w:tcW w:w="91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F67D1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决算</w:t>
            </w:r>
          </w:p>
        </w:tc>
        <w:tc>
          <w:tcPr>
            <w:tcW w:w="88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D20AB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FFF00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8DA1B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原因</w:t>
            </w:r>
          </w:p>
        </w:tc>
      </w:tr>
      <w:tr w14:paraId="6DBFE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exact"/>
          <w:jc w:val="center"/>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C50176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2130104</w:t>
            </w:r>
          </w:p>
        </w:tc>
        <w:tc>
          <w:tcPr>
            <w:tcW w:w="122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6D876E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事业运行</w:t>
            </w:r>
          </w:p>
        </w:tc>
        <w:tc>
          <w:tcPr>
            <w:tcW w:w="94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E213E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91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0775D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2.65</w:t>
            </w:r>
          </w:p>
        </w:tc>
        <w:tc>
          <w:tcPr>
            <w:tcW w:w="88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BF74B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1E85A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抚恤金、事业单位工作人员奖励</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68AA4E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年中下达指标，超、短收安排</w:t>
            </w:r>
          </w:p>
        </w:tc>
      </w:tr>
      <w:tr w14:paraId="4EF79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exact"/>
          <w:jc w:val="center"/>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6890EF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2130204</w:t>
            </w:r>
          </w:p>
        </w:tc>
        <w:tc>
          <w:tcPr>
            <w:tcW w:w="122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483E5E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事业机构</w:t>
            </w:r>
          </w:p>
        </w:tc>
        <w:tc>
          <w:tcPr>
            <w:tcW w:w="94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86D0F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1108.80</w:t>
            </w:r>
          </w:p>
        </w:tc>
        <w:tc>
          <w:tcPr>
            <w:tcW w:w="91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30215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1238.51</w:t>
            </w:r>
          </w:p>
        </w:tc>
        <w:tc>
          <w:tcPr>
            <w:tcW w:w="88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714CE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111.70%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2BA9D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人员经费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176EC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人员工资上调</w:t>
            </w:r>
          </w:p>
        </w:tc>
      </w:tr>
      <w:tr w14:paraId="768AA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exact"/>
          <w:jc w:val="center"/>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D262C9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2130205</w:t>
            </w:r>
          </w:p>
        </w:tc>
        <w:tc>
          <w:tcPr>
            <w:tcW w:w="122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91E57B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森林资源培育</w:t>
            </w:r>
          </w:p>
        </w:tc>
        <w:tc>
          <w:tcPr>
            <w:tcW w:w="94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6FC24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91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3EB2C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51.51</w:t>
            </w:r>
          </w:p>
        </w:tc>
        <w:tc>
          <w:tcPr>
            <w:tcW w:w="88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ED38B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10E20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default" w:ascii="宋体" w:hAnsi="宋体" w:eastAsia="宋体" w:cs="宋体"/>
                <w:i w:val="0"/>
                <w:iCs w:val="0"/>
                <w:color w:val="000000"/>
                <w:sz w:val="18"/>
                <w:szCs w:val="18"/>
                <w:highlight w:val="none"/>
                <w:u w:val="none"/>
                <w:lang w:val="en-US" w:eastAsia="zh-CN"/>
              </w:rPr>
              <w:t>林木良种基地建设项目</w:t>
            </w:r>
            <w:r>
              <w:rPr>
                <w:rFonts w:hint="eastAsia" w:ascii="宋体" w:hAnsi="宋体" w:eastAsia="宋体" w:cs="宋体"/>
                <w:i w:val="0"/>
                <w:iCs w:val="0"/>
                <w:color w:val="000000"/>
                <w:sz w:val="18"/>
                <w:szCs w:val="18"/>
                <w:highlight w:val="none"/>
                <w:u w:val="none"/>
                <w:lang w:val="en-US" w:eastAsia="zh-CN"/>
              </w:rPr>
              <w:t>、森林质量提升</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9A4B8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年中追加项目</w:t>
            </w:r>
          </w:p>
        </w:tc>
      </w:tr>
      <w:tr w14:paraId="2C9DF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exact"/>
          <w:jc w:val="center"/>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6E883A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2130206</w:t>
            </w:r>
          </w:p>
        </w:tc>
        <w:tc>
          <w:tcPr>
            <w:tcW w:w="122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2931F0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技术推广与转化</w:t>
            </w:r>
          </w:p>
        </w:tc>
        <w:tc>
          <w:tcPr>
            <w:tcW w:w="94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7540C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2.30</w:t>
            </w:r>
          </w:p>
        </w:tc>
        <w:tc>
          <w:tcPr>
            <w:tcW w:w="91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B7F9C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2.00</w:t>
            </w:r>
          </w:p>
        </w:tc>
        <w:tc>
          <w:tcPr>
            <w:tcW w:w="88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A7FF6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86.96%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816B9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default" w:ascii="宋体" w:hAnsi="宋体" w:eastAsia="宋体" w:cs="宋体"/>
                <w:i w:val="0"/>
                <w:iCs w:val="0"/>
                <w:color w:val="000000"/>
                <w:sz w:val="18"/>
                <w:szCs w:val="18"/>
                <w:highlight w:val="none"/>
                <w:u w:val="none"/>
                <w:lang w:val="en-US" w:eastAsia="zh-CN"/>
              </w:rPr>
              <w:t>技术推广与转化</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2200AD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财政支付进</w:t>
            </w:r>
            <w:r>
              <w:rPr>
                <w:rFonts w:hint="eastAsia" w:ascii="宋体" w:hAnsi="宋体" w:cs="宋体"/>
                <w:i w:val="0"/>
                <w:iCs w:val="0"/>
                <w:color w:val="auto"/>
                <w:sz w:val="18"/>
                <w:szCs w:val="18"/>
                <w:highlight w:val="none"/>
                <w:u w:val="none"/>
                <w:lang w:val="en-US" w:eastAsia="zh-CN"/>
              </w:rPr>
              <w:t>度</w:t>
            </w:r>
            <w:r>
              <w:rPr>
                <w:rFonts w:hint="eastAsia" w:ascii="宋体" w:hAnsi="宋体" w:eastAsia="宋体" w:cs="宋体"/>
                <w:i w:val="0"/>
                <w:iCs w:val="0"/>
                <w:color w:val="auto"/>
                <w:sz w:val="18"/>
                <w:szCs w:val="18"/>
                <w:highlight w:val="none"/>
                <w:u w:val="none"/>
                <w:lang w:val="en-US" w:eastAsia="zh-CN"/>
              </w:rPr>
              <w:t>慢，未支付完毕</w:t>
            </w:r>
          </w:p>
        </w:tc>
      </w:tr>
      <w:tr w14:paraId="40117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exact"/>
          <w:jc w:val="center"/>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F9C375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2130207</w:t>
            </w:r>
          </w:p>
        </w:tc>
        <w:tc>
          <w:tcPr>
            <w:tcW w:w="122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5D59D2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森林资源管理</w:t>
            </w:r>
          </w:p>
        </w:tc>
        <w:tc>
          <w:tcPr>
            <w:tcW w:w="94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30B23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4.30</w:t>
            </w:r>
          </w:p>
        </w:tc>
        <w:tc>
          <w:tcPr>
            <w:tcW w:w="91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790DD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4.3</w:t>
            </w:r>
          </w:p>
        </w:tc>
        <w:tc>
          <w:tcPr>
            <w:tcW w:w="88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212AE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9450F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default" w:ascii="宋体" w:hAnsi="宋体" w:eastAsia="宋体" w:cs="宋体"/>
                <w:i w:val="0"/>
                <w:iCs w:val="0"/>
                <w:color w:val="000000"/>
                <w:sz w:val="18"/>
                <w:szCs w:val="18"/>
                <w:highlight w:val="none"/>
                <w:u w:val="none"/>
                <w:lang w:val="en-US" w:eastAsia="zh-CN"/>
              </w:rPr>
              <w:t>营林防火生产费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7B5B0B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无差异</w:t>
            </w:r>
          </w:p>
        </w:tc>
      </w:tr>
      <w:tr w14:paraId="68FD6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exact"/>
          <w:jc w:val="center"/>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B34D08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2130213</w:t>
            </w:r>
          </w:p>
        </w:tc>
        <w:tc>
          <w:tcPr>
            <w:tcW w:w="122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FF0E9F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执法与监督</w:t>
            </w:r>
          </w:p>
        </w:tc>
        <w:tc>
          <w:tcPr>
            <w:tcW w:w="94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30E8C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9.0</w:t>
            </w:r>
          </w:p>
        </w:tc>
        <w:tc>
          <w:tcPr>
            <w:tcW w:w="91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36171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7.6</w:t>
            </w:r>
          </w:p>
        </w:tc>
        <w:tc>
          <w:tcPr>
            <w:tcW w:w="88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1088B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84.44%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BA3D7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default" w:ascii="宋体" w:hAnsi="宋体" w:eastAsia="宋体" w:cs="宋体"/>
                <w:i w:val="0"/>
                <w:iCs w:val="0"/>
                <w:color w:val="000000"/>
                <w:kern w:val="0"/>
                <w:sz w:val="18"/>
                <w:szCs w:val="18"/>
                <w:u w:val="none"/>
                <w:lang w:val="en-US" w:eastAsia="zh-CN"/>
              </w:rPr>
              <w:t>林地综合整治业务费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83860C8">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auto"/>
                <w:kern w:val="2"/>
                <w:sz w:val="18"/>
                <w:szCs w:val="18"/>
                <w:u w:val="none"/>
                <w:lang w:val="en-US" w:eastAsia="zh-CN" w:bidi="ar-SA"/>
              </w:rPr>
            </w:pPr>
            <w:r>
              <w:rPr>
                <w:rFonts w:hint="eastAsia" w:ascii="宋体" w:hAnsi="宋体" w:eastAsia="宋体" w:cs="宋体"/>
                <w:i w:val="0"/>
                <w:iCs w:val="0"/>
                <w:color w:val="auto"/>
                <w:sz w:val="18"/>
                <w:szCs w:val="18"/>
                <w:highlight w:val="none"/>
                <w:u w:val="none"/>
                <w:lang w:val="en-US" w:eastAsia="zh-CN"/>
              </w:rPr>
              <w:t>财政支付进</w:t>
            </w:r>
            <w:r>
              <w:rPr>
                <w:rFonts w:hint="eastAsia" w:ascii="宋体" w:hAnsi="宋体" w:cs="宋体"/>
                <w:i w:val="0"/>
                <w:iCs w:val="0"/>
                <w:color w:val="auto"/>
                <w:sz w:val="18"/>
                <w:szCs w:val="18"/>
                <w:highlight w:val="none"/>
                <w:u w:val="none"/>
                <w:lang w:val="en-US" w:eastAsia="zh-CN"/>
              </w:rPr>
              <w:t>度</w:t>
            </w:r>
            <w:r>
              <w:rPr>
                <w:rFonts w:hint="eastAsia" w:ascii="宋体" w:hAnsi="宋体" w:eastAsia="宋体" w:cs="宋体"/>
                <w:i w:val="0"/>
                <w:iCs w:val="0"/>
                <w:color w:val="auto"/>
                <w:sz w:val="18"/>
                <w:szCs w:val="18"/>
                <w:highlight w:val="none"/>
                <w:u w:val="none"/>
                <w:lang w:val="en-US" w:eastAsia="zh-CN"/>
              </w:rPr>
              <w:t>慢，未支付完毕</w:t>
            </w:r>
          </w:p>
        </w:tc>
      </w:tr>
      <w:tr w14:paraId="03F7D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exact"/>
          <w:jc w:val="center"/>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FE428B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2130234</w:t>
            </w:r>
          </w:p>
        </w:tc>
        <w:tc>
          <w:tcPr>
            <w:tcW w:w="122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013B17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林业草原防灾减灾</w:t>
            </w:r>
          </w:p>
        </w:tc>
        <w:tc>
          <w:tcPr>
            <w:tcW w:w="94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3A5EE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9.0</w:t>
            </w:r>
          </w:p>
        </w:tc>
        <w:tc>
          <w:tcPr>
            <w:tcW w:w="91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1DFDE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8.67</w:t>
            </w:r>
          </w:p>
        </w:tc>
        <w:tc>
          <w:tcPr>
            <w:tcW w:w="88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717F9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96.33%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B9CD4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森林防火经费、森林病虫害防治经费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1A2B22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财政支付进</w:t>
            </w:r>
            <w:r>
              <w:rPr>
                <w:rFonts w:hint="eastAsia" w:ascii="宋体" w:hAnsi="宋体" w:cs="宋体"/>
                <w:i w:val="0"/>
                <w:iCs w:val="0"/>
                <w:color w:val="auto"/>
                <w:sz w:val="18"/>
                <w:szCs w:val="18"/>
                <w:highlight w:val="none"/>
                <w:u w:val="none"/>
                <w:lang w:val="en-US" w:eastAsia="zh-CN"/>
              </w:rPr>
              <w:t>度</w:t>
            </w:r>
            <w:r>
              <w:rPr>
                <w:rFonts w:hint="eastAsia" w:ascii="宋体" w:hAnsi="宋体" w:eastAsia="宋体" w:cs="宋体"/>
                <w:i w:val="0"/>
                <w:iCs w:val="0"/>
                <w:color w:val="auto"/>
                <w:sz w:val="18"/>
                <w:szCs w:val="18"/>
                <w:highlight w:val="none"/>
                <w:u w:val="none"/>
                <w:lang w:val="en-US" w:eastAsia="zh-CN"/>
              </w:rPr>
              <w:t>慢，未支付完毕</w:t>
            </w:r>
          </w:p>
        </w:tc>
      </w:tr>
      <w:tr w14:paraId="0CE11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exact"/>
          <w:jc w:val="center"/>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21F070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w:t>
            </w:r>
          </w:p>
        </w:tc>
        <w:tc>
          <w:tcPr>
            <w:tcW w:w="122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58E76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p>
        </w:tc>
        <w:tc>
          <w:tcPr>
            <w:tcW w:w="94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B9B36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1133.4</w:t>
            </w:r>
          </w:p>
        </w:tc>
        <w:tc>
          <w:tcPr>
            <w:tcW w:w="91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166B8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1315.24</w:t>
            </w:r>
          </w:p>
        </w:tc>
        <w:tc>
          <w:tcPr>
            <w:tcW w:w="88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D2909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A9142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CCE22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tc>
      </w:tr>
    </w:tbl>
    <w:p w14:paraId="268200AD">
      <w:pPr>
        <w:jc w:val="left"/>
        <w:rPr>
          <w:rFonts w:hint="eastAsia" w:ascii="仿宋" w:hAnsi="仿宋" w:eastAsia="仿宋"/>
          <w:sz w:val="32"/>
          <w:szCs w:val="32"/>
          <w:highlight w:val="none"/>
        </w:rPr>
      </w:pPr>
    </w:p>
    <w:p w14:paraId="35917AFE">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312920" cy="2672715"/>
            <wp:effectExtent l="0" t="0" r="0" b="0"/>
            <wp:docPr id="1053"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4C239B2">
      <w:pPr>
        <w:jc w:val="center"/>
        <w:rPr>
          <w:rFonts w:hint="eastAsia" w:ascii="仿宋" w:hAnsi="仿宋" w:eastAsia="仿宋" w:cs="仿宋"/>
          <w:sz w:val="32"/>
          <w:szCs w:val="32"/>
          <w:highlight w:val="none"/>
        </w:rPr>
      </w:pPr>
    </w:p>
    <w:p w14:paraId="57543C2B">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0"/>
        <w:jc w:val="left"/>
        <w:textAlignment w:val="auto"/>
        <w:rPr>
          <w:rFonts w:hint="default" w:eastAsia="仿宋"/>
          <w:color w:val="auto"/>
          <w:highlight w:val="none"/>
          <w:lang w:val="en-US" w:eastAsia="zh-CN"/>
        </w:rPr>
      </w:pPr>
      <w:r>
        <w:rPr>
          <w:rFonts w:hint="eastAsia" w:ascii="仿宋" w:hAnsi="仿宋" w:eastAsia="仿宋" w:cs="仿宋"/>
          <w:sz w:val="32"/>
          <w:szCs w:val="32"/>
          <w:highlight w:val="none"/>
        </w:rPr>
        <w:t>住房保障支出（221</w:t>
      </w:r>
      <w:r>
        <w:rPr>
          <w:rFonts w:ascii="Calibri" w:hAnsi="Calibri" w:eastAsia="宋体" w:cs="Times New Roman"/>
          <w:highlight w:val="none"/>
        </w:rPr>
        <w:t xml:space="preserve"> </w:t>
      </w:r>
      <w:r>
        <w:rPr>
          <w:rFonts w:hint="eastAsia" w:ascii="仿宋" w:hAnsi="仿宋" w:eastAsia="仿宋" w:cs="仿宋"/>
          <w:sz w:val="32"/>
          <w:szCs w:val="32"/>
          <w:highlight w:val="none"/>
        </w:rPr>
        <w:t>类）</w:t>
      </w:r>
      <w:r>
        <w:rPr>
          <w:rFonts w:hint="eastAsia" w:ascii="仿宋" w:hAnsi="仿宋" w:eastAsia="仿宋"/>
          <w:sz w:val="32"/>
          <w:szCs w:val="32"/>
          <w:highlight w:val="none"/>
        </w:rPr>
        <w:t>年初预算为</w:t>
      </w:r>
      <w:r>
        <w:rPr>
          <w:rFonts w:hint="eastAsia" w:ascii="仿宋" w:hAnsi="仿宋" w:eastAsia="仿宋"/>
          <w:sz w:val="32"/>
          <w:szCs w:val="32"/>
          <w:highlight w:val="none"/>
          <w:lang w:val="en-US" w:eastAsia="zh-CN"/>
        </w:rPr>
        <w:t>126.63</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117.87</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93.08</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sz w:val="32"/>
          <w:szCs w:val="32"/>
          <w:highlight w:val="none"/>
        </w:rPr>
        <w:t>预决算</w:t>
      </w:r>
      <w:r>
        <w:rPr>
          <w:rFonts w:hint="eastAsia" w:ascii="仿宋" w:hAnsi="仿宋" w:eastAsia="仿宋"/>
          <w:color w:val="000000"/>
          <w:sz w:val="32"/>
          <w:szCs w:val="32"/>
          <w:highlight w:val="none"/>
          <w:lang w:val="en-US" w:eastAsia="zh-CN"/>
        </w:rPr>
        <w:t>存有</w:t>
      </w:r>
      <w:r>
        <w:rPr>
          <w:rFonts w:hint="eastAsia" w:ascii="仿宋" w:hAnsi="仿宋" w:eastAsia="仿宋"/>
          <w:color w:val="000000"/>
          <w:sz w:val="32"/>
          <w:szCs w:val="32"/>
          <w:highlight w:val="none"/>
        </w:rPr>
        <w:t>差异</w:t>
      </w:r>
      <w:r>
        <w:rPr>
          <w:rFonts w:hint="eastAsia" w:ascii="仿宋" w:hAnsi="仿宋" w:eastAsia="仿宋"/>
          <w:color w:val="000000"/>
          <w:sz w:val="32"/>
          <w:szCs w:val="32"/>
          <w:highlight w:val="none"/>
          <w:lang w:val="en-US" w:eastAsia="zh-CN"/>
        </w:rPr>
        <w:t>原因是：</w:t>
      </w:r>
      <w:r>
        <w:rPr>
          <w:rFonts w:hint="eastAsia" w:ascii="仿宋" w:hAnsi="仿宋" w:eastAsia="仿宋" w:cs="仿宋"/>
          <w:color w:val="auto"/>
          <w:kern w:val="2"/>
          <w:sz w:val="32"/>
          <w:szCs w:val="32"/>
          <w:highlight w:val="none"/>
          <w:lang w:val="en-US" w:eastAsia="zh-CN"/>
        </w:rPr>
        <w:t>人员减少。</w:t>
      </w:r>
    </w:p>
    <w:p w14:paraId="3619AB3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 xml:space="preserve">                               </w:t>
      </w:r>
      <w:r>
        <w:rPr>
          <w:rFonts w:hint="eastAsia" w:ascii="仿宋" w:hAnsi="仿宋" w:eastAsia="仿宋"/>
          <w:color w:val="auto"/>
          <w:sz w:val="24"/>
          <w:szCs w:val="24"/>
          <w:highlight w:val="none"/>
          <w:lang w:val="en-US" w:eastAsia="zh-CN"/>
        </w:rPr>
        <w:t>单位：万元</w:t>
      </w:r>
    </w:p>
    <w:tbl>
      <w:tblPr>
        <w:tblStyle w:val="6"/>
        <w:tblW w:w="85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15DB0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E11BD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BEDEE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E1FD8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77A6F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D3729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D1F7C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4E3CF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原因</w:t>
            </w:r>
          </w:p>
        </w:tc>
      </w:tr>
      <w:tr w14:paraId="0CE8A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jc w:val="center"/>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54EBDF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6BB106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 xml:space="preserve"> 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C4E34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126.63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CFF59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117.87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E0E09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93.08%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7763C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5B475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14:paraId="1095B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jc w:val="center"/>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7044BD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9D1626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9300A5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4374C3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117.87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8FA1B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A8669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B3E86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14:paraId="1354AFDB">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0" t="0" r="0" b="0"/>
            <wp:docPr id="1055"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5D0EA33">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kern w:val="2"/>
          <w:sz w:val="32"/>
          <w:szCs w:val="32"/>
          <w:highlight w:val="none"/>
          <w:lang w:val="en-US" w:eastAsia="zh-CN"/>
        </w:rPr>
        <w:t>灾害防治及应急管理支出（224类）</w:t>
      </w:r>
      <w:r>
        <w:rPr>
          <w:rFonts w:hint="eastAsia" w:ascii="仿宋" w:hAnsi="仿宋" w:eastAsia="仿宋" w:cs="仿宋"/>
          <w:color w:val="auto"/>
          <w:sz w:val="32"/>
          <w:szCs w:val="32"/>
          <w:highlight w:val="none"/>
        </w:rPr>
        <w:t>年初预算为</w:t>
      </w:r>
      <w:r>
        <w:rPr>
          <w:rFonts w:hint="eastAsia" w:ascii="仿宋" w:hAnsi="仿宋" w:eastAsia="仿宋" w:cs="仿宋"/>
          <w:color w:val="auto"/>
          <w:sz w:val="32"/>
          <w:szCs w:val="32"/>
          <w:highlight w:val="none"/>
          <w:lang w:val="en-US" w:eastAsia="zh-CN"/>
        </w:rPr>
        <w:t xml:space="preserve"> 0 </w:t>
      </w:r>
      <w:r>
        <w:rPr>
          <w:rFonts w:hint="eastAsia" w:ascii="仿宋" w:hAnsi="仿宋" w:eastAsia="仿宋" w:cs="仿宋"/>
          <w:color w:val="auto"/>
          <w:sz w:val="32"/>
          <w:szCs w:val="32"/>
          <w:highlight w:val="none"/>
        </w:rPr>
        <w:t>万元，支出决算为</w:t>
      </w:r>
      <w:r>
        <w:rPr>
          <w:rFonts w:hint="eastAsia" w:ascii="仿宋" w:hAnsi="仿宋" w:eastAsia="仿宋" w:cs="仿宋"/>
          <w:color w:val="auto"/>
          <w:sz w:val="32"/>
          <w:szCs w:val="32"/>
          <w:highlight w:val="none"/>
          <w:lang w:val="en-US" w:eastAsia="zh-CN"/>
        </w:rPr>
        <w:t>30.00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p>
    <w:p w14:paraId="65E19B6E">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 xml:space="preserve">                         </w:t>
      </w:r>
      <w:r>
        <w:rPr>
          <w:rFonts w:hint="eastAsia" w:ascii="仿宋" w:hAnsi="仿宋" w:eastAsia="仿宋"/>
          <w:color w:val="auto"/>
          <w:sz w:val="24"/>
          <w:szCs w:val="24"/>
          <w:highlight w:val="none"/>
          <w:lang w:val="en-US" w:eastAsia="zh-CN"/>
        </w:rPr>
        <w:t>单位：万元</w:t>
      </w:r>
    </w:p>
    <w:tbl>
      <w:tblPr>
        <w:tblStyle w:val="6"/>
        <w:tblW w:w="85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57D4D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F57BB9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rPr>
            </w:pPr>
            <w:r>
              <w:rPr>
                <w:rFonts w:hint="eastAsia" w:ascii="仿宋" w:hAnsi="仿宋" w:eastAsia="仿宋" w:cs="仿宋"/>
                <w:i w:val="0"/>
                <w:iCs w:val="0"/>
                <w:color w:val="000000"/>
                <w:kern w:val="0"/>
                <w:sz w:val="20"/>
                <w:szCs w:val="20"/>
                <w:highlight w:val="none"/>
                <w:u w:val="none"/>
                <w:lang w:val="en-US" w:eastAsia="zh-CN"/>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4F511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0D941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9C8D5C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75CB4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rPr>
            </w:pPr>
            <w:r>
              <w:rPr>
                <w:rFonts w:hint="eastAsia" w:ascii="仿宋" w:hAnsi="仿宋" w:eastAsia="仿宋" w:cs="仿宋"/>
                <w:i w:val="0"/>
                <w:iCs w:val="0"/>
                <w:color w:val="000000"/>
                <w:kern w:val="0"/>
                <w:sz w:val="20"/>
                <w:szCs w:val="20"/>
                <w:highlight w:val="none"/>
                <w:u w:val="none"/>
                <w:lang w:val="en-US" w:eastAsia="zh-CN"/>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410CB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52BF4C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rPr>
              <w:t>原因</w:t>
            </w:r>
          </w:p>
        </w:tc>
      </w:tr>
      <w:tr w14:paraId="4FF46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jc w:val="center"/>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0EBF5F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2249999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644B79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其他灾害防治及应急管理支出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A37114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lang w:val="en-US" w:eastAsia="zh-CN"/>
              </w:rPr>
            </w:pPr>
            <w:r>
              <w:rPr>
                <w:rFonts w:hint="eastAsia" w:ascii="仿宋" w:hAnsi="仿宋" w:eastAsia="仿宋" w:cs="仿宋"/>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61457E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18"/>
                <w:szCs w:val="18"/>
                <w:highlight w:val="none"/>
                <w:u w:val="none"/>
                <w:lang w:val="en-US" w:eastAsia="zh-CN" w:bidi="ar-SA"/>
              </w:rPr>
            </w:pPr>
            <w:r>
              <w:rPr>
                <w:rFonts w:hint="eastAsia" w:ascii="仿宋" w:hAnsi="仿宋" w:eastAsia="仿宋" w:cs="仿宋"/>
                <w:i w:val="0"/>
                <w:iCs w:val="0"/>
                <w:color w:val="000000"/>
                <w:kern w:val="2"/>
                <w:sz w:val="18"/>
                <w:szCs w:val="18"/>
                <w:highlight w:val="none"/>
                <w:u w:val="none"/>
                <w:lang w:val="en-US" w:eastAsia="zh-CN" w:bidi="ar-SA"/>
              </w:rPr>
              <w:t>30.00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1DBC3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2A1D5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color w:val="auto"/>
                <w:kern w:val="2"/>
                <w:sz w:val="20"/>
                <w:szCs w:val="20"/>
                <w:highlight w:val="none"/>
                <w:lang w:val="en-US" w:eastAsia="zh-CN"/>
              </w:rPr>
              <w:t>久仁分场管护用房建设项目</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04C862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年中下达项目指标</w:t>
            </w:r>
          </w:p>
        </w:tc>
      </w:tr>
    </w:tbl>
    <w:p w14:paraId="7722AEC0">
      <w:pPr>
        <w:jc w:val="left"/>
        <w:rPr>
          <w:rFonts w:hint="eastAsia" w:ascii="仿宋" w:hAnsi="仿宋" w:eastAsia="仿宋"/>
          <w:sz w:val="32"/>
          <w:szCs w:val="32"/>
          <w:highlight w:val="none"/>
        </w:rPr>
      </w:pPr>
    </w:p>
    <w:p w14:paraId="14A2937F">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3684270" cy="2596515"/>
            <wp:effectExtent l="0" t="0" r="0" b="0"/>
            <wp:docPr id="1057"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F483532">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0"/>
        <w:jc w:val="left"/>
        <w:textAlignment w:val="auto"/>
        <w:rPr>
          <w:rFonts w:hint="default" w:eastAsia="仿宋"/>
          <w:color w:val="auto"/>
          <w:sz w:val="32"/>
          <w:szCs w:val="32"/>
          <w:highlight w:val="none"/>
          <w:lang w:val="en-US" w:eastAsia="zh-CN"/>
        </w:rPr>
      </w:pPr>
      <w:r>
        <w:rPr>
          <w:rFonts w:hint="eastAsia" w:ascii="仿宋" w:hAnsi="仿宋" w:eastAsia="仿宋" w:cs="仿宋"/>
          <w:color w:val="auto"/>
          <w:kern w:val="2"/>
          <w:sz w:val="32"/>
          <w:szCs w:val="32"/>
          <w:highlight w:val="none"/>
          <w:lang w:val="en-US" w:eastAsia="zh-CN"/>
        </w:rPr>
        <w:t>其他支出（229类）</w:t>
      </w:r>
      <w:r>
        <w:rPr>
          <w:rFonts w:hint="eastAsia" w:ascii="仿宋" w:hAnsi="仿宋" w:eastAsia="仿宋"/>
          <w:color w:val="auto"/>
          <w:sz w:val="32"/>
          <w:szCs w:val="32"/>
          <w:highlight w:val="none"/>
        </w:rPr>
        <w:t>年初预算为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万元，支出决算为</w:t>
      </w:r>
      <w:r>
        <w:rPr>
          <w:rFonts w:hint="eastAsia" w:ascii="仿宋" w:hAnsi="仿宋" w:eastAsia="仿宋"/>
          <w:color w:val="auto"/>
          <w:sz w:val="32"/>
          <w:szCs w:val="32"/>
          <w:highlight w:val="none"/>
          <w:lang w:val="en-US" w:eastAsia="zh-CN"/>
        </w:rPr>
        <w:t>226.46</w:t>
      </w:r>
      <w:r>
        <w:rPr>
          <w:rFonts w:hint="eastAsia" w:ascii="仿宋" w:hAnsi="仿宋" w:eastAsia="仿宋"/>
          <w:color w:val="auto"/>
          <w:sz w:val="32"/>
          <w:szCs w:val="32"/>
          <w:highlight w:val="none"/>
        </w:rPr>
        <w:t>万元，完成年初预算的</w:t>
      </w:r>
      <w:r>
        <w:rPr>
          <w:rFonts w:hint="eastAsia" w:ascii="仿宋" w:hAnsi="仿宋" w:eastAsia="仿宋"/>
          <w:color w:val="auto"/>
          <w:sz w:val="32"/>
          <w:szCs w:val="32"/>
          <w:highlight w:val="none"/>
          <w:lang w:val="en-US" w:eastAsia="zh-CN"/>
        </w:rPr>
        <w:t xml:space="preserve">100 </w:t>
      </w:r>
      <w:r>
        <w:rPr>
          <w:rFonts w:ascii="仿宋" w:hAnsi="仿宋" w:eastAsia="仿宋"/>
          <w:color w:val="auto"/>
          <w:sz w:val="32"/>
          <w:szCs w:val="32"/>
          <w:highlight w:val="none"/>
        </w:rPr>
        <w:t>%</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仿宋" w:hAnsi="仿宋" w:eastAsia="仿宋" w:cs="仿宋"/>
          <w:color w:val="auto"/>
          <w:kern w:val="2"/>
          <w:sz w:val="32"/>
          <w:szCs w:val="32"/>
          <w:highlight w:val="none"/>
          <w:lang w:val="en-US" w:eastAsia="zh-CN"/>
        </w:rPr>
        <w:t>年中下达项目指标。</w:t>
      </w:r>
    </w:p>
    <w:p w14:paraId="60841B3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 w:hAnsi="仿宋" w:eastAsia="仿宋"/>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24"/>
          <w:szCs w:val="24"/>
          <w:highlight w:val="none"/>
          <w:lang w:val="en-US" w:eastAsia="zh-CN"/>
        </w:rPr>
        <w:t>单位：万元</w:t>
      </w:r>
    </w:p>
    <w:tbl>
      <w:tblPr>
        <w:tblStyle w:val="6"/>
        <w:tblW w:w="85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1F533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CB86D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30BB7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A9679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F6D3D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5E263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7D2F0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19139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原因</w:t>
            </w:r>
          </w:p>
        </w:tc>
      </w:tr>
      <w:tr w14:paraId="5F4B9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jc w:val="center"/>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3B4FDA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A58E3B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3FEA9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0D139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226.46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3651E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492DF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kern w:val="2"/>
                <w:sz w:val="20"/>
                <w:szCs w:val="20"/>
                <w:highlight w:val="none"/>
                <w:lang w:val="en-US" w:eastAsia="zh-CN"/>
              </w:rPr>
              <w:t>奖金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862AD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年中下达指标</w:t>
            </w:r>
          </w:p>
        </w:tc>
      </w:tr>
      <w:tr w14:paraId="34FC6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jc w:val="center"/>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D62E6D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A11D05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C00BE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AD9FD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226.46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7EAD1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E6514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FEFFB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p>
        </w:tc>
      </w:tr>
    </w:tbl>
    <w:p w14:paraId="459DF5B6">
      <w:pPr>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 xml:space="preserve"> </w:t>
      </w:r>
    </w:p>
    <w:p w14:paraId="17148908">
      <w:pPr>
        <w:jc w:val="left"/>
        <w:rPr>
          <w:rFonts w:hint="eastAsia" w:ascii="黑体" w:hAnsi="黑体" w:eastAsia="黑体" w:cs="黑体"/>
          <w:sz w:val="32"/>
          <w:szCs w:val="32"/>
          <w:highlight w:val="none"/>
        </w:rPr>
      </w:pP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drawing>
          <wp:inline distT="0" distB="0" distL="114300" distR="114300">
            <wp:extent cx="3437890" cy="2844800"/>
            <wp:effectExtent l="0" t="0" r="0" b="0"/>
            <wp:docPr id="1059"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5ADFAE4">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三、202</w:t>
      </w:r>
      <w:r>
        <w:rPr>
          <w:rFonts w:hint="default" w:ascii="黑体" w:hAnsi="黑体" w:eastAsia="黑体" w:cs="黑体"/>
          <w:color w:val="auto"/>
          <w:sz w:val="32"/>
          <w:szCs w:val="32"/>
          <w:highlight w:val="none"/>
          <w:lang w:val="en-US"/>
        </w:rPr>
        <w:t>3</w:t>
      </w:r>
      <w:r>
        <w:rPr>
          <w:rFonts w:hint="eastAsia" w:ascii="黑体" w:hAnsi="黑体" w:eastAsia="黑体" w:cs="黑体"/>
          <w:color w:val="auto"/>
          <w:sz w:val="32"/>
          <w:szCs w:val="32"/>
          <w:highlight w:val="none"/>
        </w:rPr>
        <w:t>年度一般公共预算财政拨款基本支出决算情况说明</w:t>
      </w:r>
    </w:p>
    <w:p w14:paraId="1781C71E">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华山林场</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年度一般公共预算财政拨款基本支出</w:t>
      </w:r>
      <w:r>
        <w:rPr>
          <w:rFonts w:hint="eastAsia" w:ascii="仿宋" w:hAnsi="仿宋" w:eastAsia="仿宋" w:cs="仿宋"/>
          <w:color w:val="auto"/>
          <w:sz w:val="32"/>
          <w:u w:color="auto"/>
          <w:lang w:val="en-US" w:eastAsia="zh-CN"/>
        </w:rPr>
        <w:t>1596.52</w:t>
      </w:r>
      <w:r>
        <w:rPr>
          <w:rFonts w:hint="eastAsia" w:ascii="仿宋" w:hAnsi="仿宋" w:eastAsia="仿宋" w:cs="仿宋"/>
          <w:color w:val="auto"/>
          <w:sz w:val="32"/>
          <w:szCs w:val="32"/>
          <w:highlight w:val="none"/>
        </w:rPr>
        <w:t>万元，</w:t>
      </w:r>
      <w:r>
        <w:rPr>
          <w:rFonts w:hint="default" w:ascii="仿宋_GB2312" w:hAnsi="微软雅黑" w:eastAsia="仿宋_GB2312" w:cs="仿宋_GB2312"/>
          <w:i w:val="0"/>
          <w:iCs w:val="0"/>
          <w:caps w:val="0"/>
          <w:color w:val="auto"/>
          <w:spacing w:val="0"/>
          <w:sz w:val="31"/>
          <w:szCs w:val="31"/>
          <w:highlight w:val="none"/>
          <w:shd w:val="clear" w:color="auto" w:fill="FFFFFF"/>
        </w:rPr>
        <w:t>其中：人员经费支出</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1548.10</w:t>
      </w:r>
      <w:r>
        <w:rPr>
          <w:rFonts w:hint="default" w:ascii="仿宋_GB2312" w:hAnsi="微软雅黑" w:eastAsia="仿宋_GB2312" w:cs="仿宋_GB2312"/>
          <w:i w:val="0"/>
          <w:iCs w:val="0"/>
          <w:caps w:val="0"/>
          <w:color w:val="auto"/>
          <w:spacing w:val="0"/>
          <w:sz w:val="31"/>
          <w:szCs w:val="31"/>
          <w:highlight w:val="none"/>
          <w:shd w:val="clear" w:color="auto" w:fill="FFFFFF"/>
        </w:rPr>
        <w:t>万元，公用经费支出</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48.42</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 w:hAnsi="仿宋" w:eastAsia="仿宋" w:cs="仿宋"/>
          <w:color w:val="auto"/>
          <w:sz w:val="32"/>
          <w:szCs w:val="32"/>
          <w:highlight w:val="none"/>
        </w:rPr>
        <w:t>支出具体情况如下：</w:t>
      </w:r>
    </w:p>
    <w:p w14:paraId="4B142B88">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500" w:lineRule="exact"/>
        <w:ind w:left="0" w:leftChars="0" w:right="0" w:firstLine="420" w:firstLineChars="0"/>
        <w:jc w:val="left"/>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工资福利支出</w:t>
      </w:r>
      <w:r>
        <w:rPr>
          <w:rFonts w:hint="eastAsia" w:ascii="仿宋" w:hAnsi="仿宋" w:eastAsia="仿宋" w:cs="仿宋"/>
          <w:color w:val="auto"/>
          <w:sz w:val="32"/>
          <w:u w:color="auto"/>
          <w:lang w:val="en-US" w:eastAsia="zh-CN"/>
        </w:rPr>
        <w:t>1369.91</w:t>
      </w:r>
      <w:r>
        <w:rPr>
          <w:rFonts w:ascii="仿宋" w:hAnsi="仿宋" w:eastAsia="仿宋" w:cs="仿宋"/>
          <w:color w:val="auto"/>
          <w:sz w:val="32"/>
          <w:u w:color="auto"/>
        </w:rPr>
        <w:t>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108.74</w:t>
      </w:r>
      <w:r>
        <w:rPr>
          <w:rFonts w:hint="eastAsia" w:ascii="仿宋" w:hAnsi="仿宋" w:eastAsia="仿宋" w:cs="仿宋"/>
          <w:color w:val="auto"/>
          <w:sz w:val="32"/>
          <w:szCs w:val="32"/>
          <w:highlight w:val="none"/>
        </w:rPr>
        <w:t>%</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rPr>
        <w:t>主要原因是：人员工资上调。</w:t>
      </w:r>
    </w:p>
    <w:p w14:paraId="01072523">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30101基本工资442.13万元，30102津贴补贴96.84万元，30103奖金240.14万元，30106伙食补助费0，30107绩效工资228.24万元，30108机关事业单位基本养老保险缴费170.1万元，30110职工基本医疗保险缴费67.01万元，30111公务员医疗补助缴费0万元，30112其他社会保障缴费7.6万元，30113住房公积金117.87万元，30199其他工资福利支出0万元。</w:t>
      </w:r>
    </w:p>
    <w:p w14:paraId="7FDF81EB">
      <w:pPr>
        <w:jc w:val="center"/>
        <w:rPr>
          <w:rFonts w:hint="eastAsia" w:ascii="仿宋" w:hAnsi="仿宋" w:eastAsia="仿宋" w:cs="仿宋"/>
          <w:color w:val="FF0000"/>
          <w:sz w:val="32"/>
          <w:szCs w:val="32"/>
          <w:highlight w:val="none"/>
        </w:rPr>
      </w:pPr>
      <w:r>
        <w:rPr>
          <w:rFonts w:hint="eastAsia" w:ascii="仿宋" w:hAnsi="仿宋" w:eastAsia="仿宋" w:cs="仿宋"/>
          <w:color w:val="FF0000"/>
          <w:sz w:val="32"/>
          <w:szCs w:val="32"/>
          <w:highlight w:val="none"/>
        </w:rPr>
        <w:drawing>
          <wp:inline distT="0" distB="0" distL="114300" distR="114300">
            <wp:extent cx="3723005" cy="2616835"/>
            <wp:effectExtent l="0" t="0" r="0" b="0"/>
            <wp:docPr id="1061"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26CF7AE8">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500" w:lineRule="exact"/>
        <w:ind w:left="0" w:leftChars="0" w:right="0" w:firstLine="420" w:firstLineChars="0"/>
        <w:jc w:val="left"/>
        <w:textAlignment w:val="auto"/>
        <w:rPr>
          <w:rFonts w:hint="default"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商品和服务支出</w:t>
      </w:r>
      <w:r>
        <w:rPr>
          <w:rFonts w:hint="eastAsia" w:ascii="仿宋" w:hAnsi="仿宋" w:eastAsia="仿宋" w:cs="仿宋"/>
          <w:color w:val="auto"/>
          <w:sz w:val="32"/>
          <w:szCs w:val="32"/>
          <w:highlight w:val="none"/>
          <w:u w:color="auto"/>
          <w:lang w:val="en-US" w:eastAsia="zh-CN"/>
        </w:rPr>
        <w:t>48.42</w:t>
      </w:r>
      <w:r>
        <w:rPr>
          <w:rFonts w:ascii="仿宋" w:hAnsi="仿宋" w:eastAsia="仿宋" w:cs="仿宋"/>
          <w:color w:val="auto"/>
          <w:sz w:val="32"/>
          <w:szCs w:val="32"/>
          <w:highlight w:val="none"/>
          <w:u w:color="auto"/>
        </w:rPr>
        <w:t>万元，</w:t>
      </w:r>
      <w:r>
        <w:rPr>
          <w:rFonts w:hint="default" w:ascii="仿宋_GB2312" w:hAnsi="微软雅黑" w:eastAsia="仿宋_GB2312" w:cs="仿宋_GB2312"/>
          <w:i w:val="0"/>
          <w:iCs w:val="0"/>
          <w:caps w:val="0"/>
          <w:color w:val="auto"/>
          <w:spacing w:val="0"/>
          <w:sz w:val="32"/>
          <w:szCs w:val="32"/>
          <w:highlight w:val="none"/>
          <w:shd w:val="clear" w:color="auto" w:fill="FFFFFF"/>
        </w:rPr>
        <w:t>完成年初预算的</w:t>
      </w:r>
      <w:r>
        <w:rPr>
          <w:rFonts w:hint="eastAsia" w:ascii="仿宋_GB2312" w:hAnsi="微软雅黑" w:eastAsia="仿宋_GB2312" w:cs="仿宋_GB2312"/>
          <w:i w:val="0"/>
          <w:iCs w:val="0"/>
          <w:caps w:val="0"/>
          <w:color w:val="auto"/>
          <w:spacing w:val="0"/>
          <w:sz w:val="32"/>
          <w:szCs w:val="32"/>
          <w:highlight w:val="none"/>
          <w:shd w:val="clear" w:color="auto" w:fill="FFFFFF"/>
          <w:lang w:val="en-US" w:eastAsia="zh-CN"/>
        </w:rPr>
        <w:t>99.10</w:t>
      </w:r>
      <w:r>
        <w:rPr>
          <w:rFonts w:hint="eastAsia" w:ascii="仿宋" w:hAnsi="仿宋" w:eastAsia="仿宋" w:cs="仿宋"/>
          <w:color w:val="auto"/>
          <w:sz w:val="32"/>
          <w:szCs w:val="32"/>
          <w:highlight w:val="none"/>
        </w:rPr>
        <w:t>%</w:t>
      </w:r>
      <w:r>
        <w:rPr>
          <w:rFonts w:hint="default" w:ascii="仿宋_GB2312" w:hAnsi="微软雅黑" w:eastAsia="仿宋_GB2312" w:cs="仿宋_GB2312"/>
          <w:i w:val="0"/>
          <w:iCs w:val="0"/>
          <w:caps w:val="0"/>
          <w:color w:val="auto"/>
          <w:spacing w:val="0"/>
          <w:sz w:val="32"/>
          <w:szCs w:val="32"/>
          <w:highlight w:val="none"/>
          <w:shd w:val="clear" w:color="auto" w:fill="FFFFFF"/>
        </w:rPr>
        <w:t>，</w:t>
      </w:r>
      <w:r>
        <w:rPr>
          <w:rFonts w:hint="eastAsia" w:ascii="仿宋" w:hAnsi="仿宋" w:eastAsia="仿宋" w:cs="仿宋"/>
          <w:color w:val="auto"/>
          <w:kern w:val="2"/>
          <w:sz w:val="32"/>
          <w:szCs w:val="32"/>
          <w:highlight w:val="none"/>
          <w:lang w:val="en-US" w:eastAsia="zh-CN"/>
        </w:rPr>
        <w:t>主要原因是：部分办公经费未支付完毕。</w:t>
      </w:r>
    </w:p>
    <w:p w14:paraId="1A6A0F4C">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30201办公费5.89万元，30205水费0.63万元，30206电费5.18万元，30207邮电费1.49万元，30211差旅费12.42万元，30215会议费0.56万元，30216培训费0万元，30226劳务费0万元，30228工会经费21.11万元，30217公务接待费0万元，30299其他商品和服务支出1.14万元。</w:t>
      </w:r>
    </w:p>
    <w:p w14:paraId="02272CFB">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3789680" cy="2579370"/>
            <wp:effectExtent l="0" t="0" r="0" b="0"/>
            <wp:docPr id="1063"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5FE6249">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500" w:lineRule="exact"/>
        <w:ind w:left="0" w:leftChars="0" w:right="0" w:firstLine="420" w:firstLineChars="0"/>
        <w:jc w:val="left"/>
        <w:textAlignment w:val="auto"/>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对个人和家庭的补助</w:t>
      </w:r>
      <w:r>
        <w:rPr>
          <w:rFonts w:hint="eastAsia" w:ascii="仿宋" w:hAnsi="仿宋" w:eastAsia="仿宋" w:cs="仿宋"/>
          <w:color w:val="auto"/>
          <w:sz w:val="32"/>
          <w:u w:color="auto"/>
          <w:lang w:val="en-US" w:eastAsia="zh-CN"/>
        </w:rPr>
        <w:t>178.19</w:t>
      </w:r>
      <w:r>
        <w:rPr>
          <w:rFonts w:hint="eastAsia" w:ascii="仿宋" w:hAnsi="仿宋" w:eastAsia="仿宋" w:cs="仿宋"/>
          <w:color w:val="auto"/>
          <w:sz w:val="32"/>
          <w:u w:color="auto"/>
        </w:rPr>
        <w:t>万元，</w:t>
      </w:r>
      <w:r>
        <w:rPr>
          <w:rFonts w:hint="eastAsia" w:ascii="仿宋" w:hAnsi="仿宋" w:eastAsia="仿宋" w:cs="仿宋"/>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lang w:val="en-US" w:eastAsia="zh-CN"/>
        </w:rPr>
        <w:t>167.96</w:t>
      </w:r>
      <w:r>
        <w:rPr>
          <w:rFonts w:hint="eastAsia" w:ascii="仿宋" w:hAnsi="仿宋" w:eastAsia="仿宋" w:cs="仿宋"/>
          <w:color w:val="auto"/>
          <w:sz w:val="32"/>
          <w:szCs w:val="32"/>
          <w:highlight w:val="none"/>
        </w:rPr>
        <w:t>%</w:t>
      </w:r>
      <w:r>
        <w:rPr>
          <w:rFonts w:hint="eastAsia" w:ascii="仿宋" w:hAnsi="仿宋" w:eastAsia="仿宋" w:cs="仿宋"/>
          <w:i w:val="0"/>
          <w:iCs w:val="0"/>
          <w:caps w:val="0"/>
          <w:color w:val="auto"/>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rPr>
        <w:t>主要原因是：退休补助费增加、抚恤金增加。</w:t>
      </w:r>
    </w:p>
    <w:p w14:paraId="1B5477D7">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30301离休费0万元，30302退休费0万元，30304抚恤金17.08万元，30305生活补助159.96万元，30307医疗费补助1.12万元，30309奖励金0万元，30399其他对个人和家庭的补助0.03万元。</w:t>
      </w:r>
    </w:p>
    <w:p w14:paraId="34652415">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055745" cy="2807335"/>
            <wp:effectExtent l="0" t="0" r="0" b="0"/>
            <wp:docPr id="1065"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6F9CC636">
      <w:pPr>
        <w:jc w:val="center"/>
        <w:rPr>
          <w:rFonts w:hint="eastAsia" w:ascii="仿宋" w:hAnsi="仿宋" w:eastAsia="仿宋" w:cs="仿宋"/>
          <w:sz w:val="32"/>
          <w:szCs w:val="32"/>
          <w:highlight w:val="none"/>
        </w:rPr>
      </w:pPr>
    </w:p>
    <w:p w14:paraId="6D982437">
      <w:pPr>
        <w:jc w:val="center"/>
        <w:rPr>
          <w:rFonts w:hint="eastAsia" w:ascii="仿宋" w:hAnsi="仿宋" w:eastAsia="仿宋" w:cs="仿宋"/>
          <w:sz w:val="32"/>
          <w:szCs w:val="32"/>
          <w:highlight w:val="none"/>
        </w:rPr>
      </w:pPr>
    </w:p>
    <w:p w14:paraId="6225C7AE">
      <w:pPr>
        <w:jc w:val="center"/>
        <w:rPr>
          <w:rFonts w:hint="eastAsia" w:ascii="仿宋" w:hAnsi="仿宋" w:eastAsia="仿宋" w:cs="仿宋"/>
          <w:sz w:val="32"/>
          <w:szCs w:val="32"/>
          <w:highlight w:val="none"/>
        </w:rPr>
      </w:pPr>
    </w:p>
    <w:p w14:paraId="45AA683B">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hint="eastAsia" w:ascii="仿宋" w:hAnsi="仿宋" w:eastAsia="仿宋" w:cs="仿宋"/>
          <w:sz w:val="32"/>
          <w:u w:color="auto"/>
        </w:rPr>
        <w:t>0.00万元，</w:t>
      </w:r>
      <w:r>
        <w:rPr>
          <w:rFonts w:hint="eastAsia" w:ascii="仿宋" w:hAnsi="仿宋" w:eastAsia="仿宋" w:cs="仿宋"/>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 w:hAnsi="仿宋" w:eastAsia="仿宋" w:cs="仿宋"/>
          <w:sz w:val="32"/>
          <w:szCs w:val="32"/>
          <w:highlight w:val="none"/>
          <w:lang w:eastAsia="zh-CN"/>
        </w:rPr>
        <w:t>。</w:t>
      </w:r>
    </w:p>
    <w:p w14:paraId="18091A8B">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0" t="0" r="0" b="0"/>
            <wp:docPr id="1067"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0F5D9A4C">
      <w:pPr>
        <w:jc w:val="both"/>
        <w:rPr>
          <w:rFonts w:hint="eastAsia" w:ascii="仿宋" w:hAnsi="仿宋" w:eastAsia="仿宋" w:cs="仿宋"/>
          <w:sz w:val="32"/>
          <w:szCs w:val="32"/>
          <w:highlight w:val="none"/>
        </w:rPr>
      </w:pPr>
    </w:p>
    <w:p w14:paraId="191D8E6D">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hint="eastAsia" w:ascii="仿宋" w:hAnsi="仿宋" w:eastAsia="仿宋" w:cs="仿宋"/>
          <w:sz w:val="32"/>
          <w:u w:color="auto"/>
        </w:rPr>
        <w:t>0.00万元，</w:t>
      </w:r>
      <w:r>
        <w:rPr>
          <w:rFonts w:hint="eastAsia" w:ascii="仿宋" w:hAnsi="仿宋" w:eastAsia="仿宋" w:cs="仿宋"/>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 w:hAnsi="仿宋" w:eastAsia="仿宋" w:cs="仿宋"/>
          <w:i w:val="0"/>
          <w:iCs w:val="0"/>
          <w:caps w:val="0"/>
          <w:color w:val="000000"/>
          <w:spacing w:val="0"/>
          <w:sz w:val="31"/>
          <w:szCs w:val="31"/>
          <w:highlight w:val="none"/>
          <w:shd w:val="clear" w:color="auto" w:fill="FFFFFF"/>
          <w:lang w:eastAsia="zh-CN"/>
        </w:rPr>
        <w:t>。</w:t>
      </w:r>
    </w:p>
    <w:p w14:paraId="259D3334">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0" t="0" r="0" b="0"/>
            <wp:docPr id="1069"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7AC49CF5">
      <w:pPr>
        <w:jc w:val="both"/>
        <w:rPr>
          <w:rFonts w:hint="eastAsia" w:ascii="仿宋" w:hAnsi="仿宋" w:eastAsia="仿宋" w:cs="仿宋"/>
          <w:sz w:val="32"/>
          <w:szCs w:val="32"/>
          <w:highlight w:val="none"/>
        </w:rPr>
      </w:pPr>
    </w:p>
    <w:p w14:paraId="04602AFC">
      <w:pPr>
        <w:jc w:val="both"/>
        <w:rPr>
          <w:rFonts w:hint="eastAsia" w:ascii="仿宋" w:hAnsi="仿宋" w:eastAsia="仿宋" w:cs="仿宋"/>
          <w:sz w:val="32"/>
          <w:szCs w:val="32"/>
          <w:highlight w:val="none"/>
        </w:rPr>
      </w:pPr>
    </w:p>
    <w:p w14:paraId="4DFE9752">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hint="eastAsia" w:ascii="仿宋" w:hAnsi="仿宋" w:eastAsia="仿宋" w:cs="仿宋"/>
          <w:sz w:val="32"/>
          <w:u w:color="auto"/>
        </w:rPr>
        <w:t>0.00万元，</w:t>
      </w:r>
      <w:r>
        <w:rPr>
          <w:rFonts w:hint="eastAsia" w:ascii="仿宋" w:hAnsi="仿宋" w:eastAsia="仿宋" w:cs="仿宋"/>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 w:hAnsi="仿宋" w:eastAsia="仿宋" w:cs="仿宋"/>
          <w:i w:val="0"/>
          <w:iCs w:val="0"/>
          <w:caps w:val="0"/>
          <w:color w:val="000000"/>
          <w:spacing w:val="0"/>
          <w:sz w:val="31"/>
          <w:szCs w:val="31"/>
          <w:highlight w:val="none"/>
          <w:shd w:val="clear" w:color="auto" w:fill="FFFFFF"/>
          <w:lang w:eastAsia="zh-CN"/>
        </w:rPr>
        <w:t>。</w:t>
      </w:r>
    </w:p>
    <w:p w14:paraId="044916EB">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0" t="0" r="0" b="0"/>
            <wp:docPr id="1071"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7F22B929">
      <w:pPr>
        <w:jc w:val="left"/>
        <w:rPr>
          <w:rFonts w:ascii="黑体" w:hAnsi="黑体" w:eastAsia="黑体" w:cs="黑体"/>
          <w:sz w:val="32"/>
          <w:szCs w:val="32"/>
          <w:highlight w:val="none"/>
        </w:rPr>
      </w:pPr>
      <w:r>
        <w:rPr>
          <w:rFonts w:hint="eastAsia" w:ascii="黑体" w:hAnsi="黑体" w:eastAsia="黑体" w:cs="黑体"/>
          <w:sz w:val="32"/>
          <w:szCs w:val="32"/>
          <w:highlight w:val="none"/>
        </w:rPr>
        <w:t>四、202</w:t>
      </w:r>
      <w:r>
        <w:rPr>
          <w:rFonts w:hint="default" w:ascii="黑体" w:hAnsi="黑体" w:eastAsia="黑体" w:cs="黑体"/>
          <w:sz w:val="32"/>
          <w:szCs w:val="32"/>
          <w:highlight w:val="none"/>
          <w:lang w:val="en-US"/>
        </w:rPr>
        <w:t>3</w:t>
      </w:r>
      <w:r>
        <w:rPr>
          <w:rFonts w:hint="eastAsia" w:ascii="黑体" w:hAnsi="黑体" w:eastAsia="黑体" w:cs="黑体"/>
          <w:sz w:val="32"/>
          <w:szCs w:val="32"/>
          <w:highlight w:val="none"/>
        </w:rPr>
        <w:t>年度政府性基金支出决算情况</w:t>
      </w:r>
    </w:p>
    <w:p w14:paraId="7B970F0F">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华山林场</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年度政府性基金支出</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.00万元，较202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年度决算数增加</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.00万元，增长</w:t>
      </w:r>
      <w:r>
        <w:rPr>
          <w:rFonts w:hint="eastAsia" w:ascii="仿宋" w:hAnsi="仿宋" w:eastAsia="仿宋" w:cs="仿宋"/>
          <w:color w:val="auto"/>
          <w:sz w:val="32"/>
          <w:szCs w:val="32"/>
          <w:highlight w:val="none"/>
          <w:lang w:val="en-US" w:eastAsia="zh-CN"/>
        </w:rPr>
        <w:t>7.0万元。</w:t>
      </w:r>
      <w:r>
        <w:rPr>
          <w:rFonts w:hint="eastAsia" w:ascii="仿宋" w:hAnsi="仿宋" w:eastAsia="仿宋" w:cs="仿宋"/>
          <w:color w:val="auto"/>
          <w:sz w:val="32"/>
          <w:szCs w:val="32"/>
          <w:highlight w:val="none"/>
        </w:rPr>
        <w:t>其中：基本支出0.00万元，项目支出</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.00万元。</w:t>
      </w:r>
    </w:p>
    <w:p w14:paraId="4878F069">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FF0000"/>
          <w:sz w:val="32"/>
          <w:szCs w:val="32"/>
          <w:highlight w:val="none"/>
          <w:lang w:eastAsia="zh-CN"/>
        </w:rPr>
      </w:pPr>
      <w:r>
        <w:rPr>
          <w:rFonts w:hint="eastAsia" w:ascii="仿宋" w:hAnsi="仿宋" w:eastAsia="仿宋" w:cs="仿宋"/>
          <w:color w:val="auto"/>
          <w:sz w:val="32"/>
          <w:szCs w:val="32"/>
          <w:highlight w:val="none"/>
          <w:lang w:val="en-US" w:eastAsia="zh-CN"/>
        </w:rPr>
        <w:t>华山林场</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年度政府性基金支出年初预算为0.00万元，支出决算为</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.00万元</w:t>
      </w:r>
      <w:r>
        <w:rPr>
          <w:rFonts w:hint="eastAsia" w:ascii="仿宋" w:hAnsi="仿宋" w:eastAsia="仿宋" w:cs="仿宋"/>
          <w:color w:val="auto"/>
          <w:sz w:val="32"/>
          <w:szCs w:val="32"/>
          <w:highlight w:val="none"/>
          <w:lang w:eastAsia="zh-CN"/>
        </w:rPr>
        <w:t>。</w:t>
      </w:r>
    </w:p>
    <w:p w14:paraId="785C946A">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u w:color="auto"/>
        </w:rPr>
        <w:t>政府性基金</w:t>
      </w:r>
      <w:r>
        <w:rPr>
          <w:rFonts w:hint="eastAsia" w:ascii="仿宋" w:hAnsi="仿宋" w:eastAsia="仿宋" w:cs="仿宋"/>
          <w:color w:val="auto"/>
          <w:sz w:val="32"/>
          <w:u w:color="auto"/>
          <w:lang w:val="en-US" w:eastAsia="zh-CN"/>
        </w:rPr>
        <w:t>为</w:t>
      </w:r>
      <w:r>
        <w:rPr>
          <w:rFonts w:hint="eastAsia" w:ascii="仿宋" w:hAnsi="仿宋" w:eastAsia="仿宋" w:cs="仿宋"/>
          <w:color w:val="auto"/>
          <w:sz w:val="32"/>
          <w:u w:color="auto"/>
        </w:rPr>
        <w:t>新增政府专项债券（财政林业改革发展资金）</w:t>
      </w:r>
      <w:r>
        <w:rPr>
          <w:rFonts w:hint="eastAsia" w:ascii="仿宋" w:hAnsi="仿宋" w:eastAsia="仿宋" w:cs="仿宋"/>
          <w:color w:val="auto"/>
          <w:sz w:val="32"/>
          <w:u w:color="auto"/>
          <w:lang w:val="en-US" w:eastAsia="zh-CN"/>
        </w:rPr>
        <w:t>支出</w:t>
      </w:r>
      <w:r>
        <w:rPr>
          <w:rFonts w:hint="eastAsia" w:ascii="仿宋" w:hAnsi="仿宋" w:eastAsia="仿宋" w:cs="仿宋"/>
          <w:color w:val="auto"/>
          <w:sz w:val="32"/>
          <w:u w:color="auto"/>
          <w:lang w:eastAsia="zh-CN"/>
        </w:rPr>
        <w:t>。</w:t>
      </w:r>
    </w:p>
    <w:p w14:paraId="7299BA9F">
      <w:pPr>
        <w:jc w:val="left"/>
        <w:rPr>
          <w:rFonts w:ascii="仿宋" w:hAnsi="仿宋" w:eastAsia="仿宋" w:cs="仿宋"/>
          <w:sz w:val="32"/>
          <w:szCs w:val="32"/>
          <w:highlight w:val="none"/>
        </w:rPr>
      </w:pPr>
      <w:r>
        <w:rPr>
          <w:rFonts w:hint="eastAsia" w:ascii="黑体" w:hAnsi="黑体" w:eastAsia="黑体" w:cs="黑体"/>
          <w:sz w:val="32"/>
          <w:szCs w:val="32"/>
          <w:highlight w:val="none"/>
          <w:lang w:val="en-US" w:eastAsia="zh-CN"/>
        </w:rPr>
        <w:t>五、</w:t>
      </w:r>
      <w:r>
        <w:rPr>
          <w:rFonts w:hint="eastAsia" w:ascii="黑体" w:hAnsi="黑体" w:eastAsia="黑体" w:cs="黑体"/>
          <w:sz w:val="32"/>
          <w:szCs w:val="32"/>
          <w:highlight w:val="none"/>
        </w:rPr>
        <w:t>202</w:t>
      </w:r>
      <w:r>
        <w:rPr>
          <w:rFonts w:hint="default" w:ascii="黑体" w:hAnsi="黑体" w:eastAsia="黑体" w:cs="黑体"/>
          <w:sz w:val="32"/>
          <w:szCs w:val="32"/>
          <w:highlight w:val="none"/>
          <w:lang w:val="en-US"/>
        </w:rPr>
        <w:t>3</w:t>
      </w:r>
      <w:r>
        <w:rPr>
          <w:rFonts w:hint="eastAsia" w:ascii="黑体" w:hAnsi="黑体" w:eastAsia="黑体" w:cs="黑体"/>
          <w:sz w:val="32"/>
          <w:szCs w:val="32"/>
          <w:highlight w:val="none"/>
        </w:rPr>
        <w:t>年度国有资本经营预算支出决算情况</w:t>
      </w:r>
    </w:p>
    <w:p w14:paraId="00B5B374">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华山林场</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年度国有资本经营预算支出0.00万元。其中：基本支出0.00万元，项目支出0.00万元。</w:t>
      </w:r>
    </w:p>
    <w:p w14:paraId="62041E49">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华山林场</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 xml:space="preserve"> 年度国有资本经营预算支出年初预算为0.00万元，支出决算为0.00万元，完成年初预算的0%。</w:t>
      </w:r>
    </w:p>
    <w:p w14:paraId="46180446">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华山林场</w:t>
      </w:r>
      <w:r>
        <w:rPr>
          <w:rFonts w:hint="eastAsia" w:ascii="仿宋" w:hAnsi="仿宋" w:eastAsia="仿宋" w:cs="仿宋"/>
          <w:color w:val="auto"/>
          <w:sz w:val="32"/>
          <w:highlight w:val="none"/>
          <w:u w:color="auto"/>
        </w:rPr>
        <w:t>没有国有资本经营预算收入，也没有国有资本经营预算收入</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安排的支出</w:t>
      </w:r>
      <w:r>
        <w:rPr>
          <w:rFonts w:hint="eastAsia" w:ascii="仿宋" w:hAnsi="仿宋" w:eastAsia="仿宋" w:cs="仿宋"/>
          <w:color w:val="auto"/>
          <w:sz w:val="32"/>
          <w:szCs w:val="32"/>
          <w:highlight w:val="none"/>
          <w:lang w:eastAsia="zh-CN"/>
        </w:rPr>
        <w:t>。</w:t>
      </w:r>
    </w:p>
    <w:p w14:paraId="58CB85C1">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六、一般公共预算财政拨款安排的“三公”经费支出决算情况说明</w:t>
      </w:r>
    </w:p>
    <w:p w14:paraId="3C17B8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年度一般公共预算财政拨款安排的“三公”经费支出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万元，完成年初预算的</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%，比上年增加</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万元，其中：因公出国（境）费支出决算0.00万元，公务用车购置及运行费支出决算0.00万元，公务接待费支出决算</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14:paraId="7865EA17">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具体情况如下：</w:t>
      </w:r>
    </w:p>
    <w:p w14:paraId="52365088">
      <w:pPr>
        <w:keepNext w:val="0"/>
        <w:keepLines w:val="0"/>
        <w:pageBreakBefore w:val="0"/>
        <w:numPr>
          <w:ilvl w:val="0"/>
          <w:numId w:val="3"/>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highlight w:val="none"/>
        </w:rPr>
        <w:t>因公出国（境）费支出0.00万元，完成年初预算的0%，比上年增加0.00 万元。</w:t>
      </w:r>
      <w:r>
        <w:rPr>
          <w:rFonts w:hint="eastAsia" w:ascii="仿宋" w:hAnsi="仿宋" w:eastAsia="仿宋" w:cs="仿宋"/>
          <w:color w:val="auto"/>
          <w:sz w:val="32"/>
          <w:szCs w:val="32"/>
          <w:highlight w:val="none"/>
          <w:lang w:val="en-US" w:eastAsia="zh-CN"/>
        </w:rPr>
        <w:t>原因是：</w:t>
      </w:r>
      <w:r>
        <w:rPr>
          <w:rFonts w:hint="eastAsia" w:ascii="仿宋" w:hAnsi="仿宋" w:eastAsia="仿宋" w:cs="仿宋"/>
          <w:color w:val="auto"/>
          <w:sz w:val="32"/>
          <w:szCs w:val="32"/>
          <w:lang w:val="en-US" w:eastAsia="zh-CN"/>
        </w:rPr>
        <w:t>无因公出国（境）人员。</w:t>
      </w:r>
    </w:p>
    <w:p w14:paraId="65788B6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highlight w:val="none"/>
        </w:rPr>
        <w:t>（二）公务用车购置及运行维护费</w:t>
      </w:r>
      <w:r>
        <w:rPr>
          <w:rFonts w:hint="eastAsia" w:ascii="仿宋" w:hAnsi="仿宋" w:eastAsia="仿宋" w:cs="仿宋"/>
          <w:color w:val="auto"/>
          <w:sz w:val="32"/>
          <w:u w:color="auto"/>
        </w:rPr>
        <w:t>0.00</w:t>
      </w:r>
      <w:r>
        <w:rPr>
          <w:rFonts w:hint="eastAsia" w:ascii="仿宋" w:hAnsi="仿宋" w:eastAsia="仿宋" w:cs="仿宋"/>
          <w:color w:val="auto"/>
          <w:sz w:val="32"/>
          <w:szCs w:val="32"/>
          <w:highlight w:val="none"/>
        </w:rPr>
        <w:t>万元。其中：公务用车购置支出</w:t>
      </w:r>
      <w:r>
        <w:rPr>
          <w:rFonts w:hint="eastAsia" w:ascii="仿宋" w:hAnsi="仿宋" w:eastAsia="仿宋" w:cs="仿宋"/>
          <w:color w:val="auto"/>
          <w:sz w:val="32"/>
          <w:u w:color="auto"/>
        </w:rPr>
        <w:t>0.00</w:t>
      </w:r>
      <w:r>
        <w:rPr>
          <w:rFonts w:hint="eastAsia" w:ascii="仿宋" w:hAnsi="仿宋" w:eastAsia="仿宋" w:cs="仿宋"/>
          <w:color w:val="auto"/>
          <w:sz w:val="32"/>
          <w:szCs w:val="32"/>
          <w:highlight w:val="none"/>
        </w:rPr>
        <w:t>万元，完成年初预算的</w:t>
      </w:r>
      <w:r>
        <w:rPr>
          <w:rFonts w:hint="eastAsia" w:ascii="仿宋" w:hAnsi="仿宋" w:eastAsia="仿宋" w:cs="仿宋"/>
          <w:color w:val="auto"/>
          <w:sz w:val="32"/>
          <w:u w:color="auto"/>
        </w:rPr>
        <w:t>0%</w:t>
      </w:r>
      <w:r>
        <w:rPr>
          <w:rFonts w:hint="eastAsia" w:ascii="仿宋" w:hAnsi="仿宋" w:eastAsia="仿宋" w:cs="仿宋"/>
          <w:color w:val="auto"/>
          <w:sz w:val="32"/>
          <w:szCs w:val="32"/>
          <w:highlight w:val="none"/>
        </w:rPr>
        <w:t>，比上年</w:t>
      </w:r>
      <w:r>
        <w:rPr>
          <w:rFonts w:hint="eastAsia" w:ascii="仿宋" w:hAnsi="仿宋" w:eastAsia="仿宋" w:cs="仿宋"/>
          <w:color w:val="auto"/>
          <w:sz w:val="32"/>
          <w:u w:color="auto"/>
        </w:rPr>
        <w:t>增加0.00</w:t>
      </w:r>
      <w:r>
        <w:rPr>
          <w:rFonts w:hint="eastAsia" w:ascii="仿宋" w:hAnsi="仿宋" w:eastAsia="仿宋" w:cs="仿宋"/>
          <w:color w:val="auto"/>
          <w:sz w:val="32"/>
          <w:szCs w:val="32"/>
          <w:highlight w:val="none"/>
        </w:rPr>
        <w:t xml:space="preserve"> 万元。</w:t>
      </w:r>
      <w:r>
        <w:rPr>
          <w:rFonts w:hint="eastAsia" w:ascii="仿宋" w:hAnsi="仿宋" w:eastAsia="仿宋" w:cs="仿宋"/>
          <w:color w:val="auto"/>
          <w:sz w:val="32"/>
          <w:szCs w:val="32"/>
        </w:rPr>
        <w:t>主要原因是</w:t>
      </w:r>
      <w:bookmarkStart w:id="2" w:name="PO_part3A6B2IncReason1"/>
      <w:r>
        <w:rPr>
          <w:rFonts w:hint="eastAsia" w:ascii="仿宋" w:hAnsi="仿宋" w:eastAsia="仿宋" w:cs="仿宋"/>
          <w:color w:val="auto"/>
          <w:sz w:val="32"/>
          <w:szCs w:val="32"/>
        </w:rPr>
        <w:t>本部门无公务用车购置</w:t>
      </w:r>
      <w:bookmarkEnd w:id="2"/>
      <w:r>
        <w:rPr>
          <w:rFonts w:hint="eastAsia" w:ascii="仿宋" w:hAnsi="仿宋" w:eastAsia="仿宋" w:cs="仿宋"/>
          <w:color w:val="auto"/>
          <w:sz w:val="32"/>
          <w:szCs w:val="32"/>
        </w:rPr>
        <w:t>。</w:t>
      </w:r>
    </w:p>
    <w:p w14:paraId="5AB453EE">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公务用车运行维护支出</w:t>
      </w:r>
      <w:r>
        <w:rPr>
          <w:rFonts w:hint="eastAsia" w:ascii="仿宋" w:hAnsi="仿宋" w:eastAsia="仿宋" w:cs="仿宋"/>
          <w:color w:val="auto"/>
          <w:sz w:val="32"/>
          <w:u w:color="auto"/>
        </w:rPr>
        <w:t>0.00</w:t>
      </w:r>
      <w:r>
        <w:rPr>
          <w:rFonts w:hint="eastAsia" w:ascii="仿宋" w:hAnsi="仿宋" w:eastAsia="仿宋" w:cs="仿宋"/>
          <w:color w:val="auto"/>
          <w:sz w:val="32"/>
          <w:szCs w:val="32"/>
          <w:highlight w:val="none"/>
        </w:rPr>
        <w:t>万元，完成年初预算的</w:t>
      </w:r>
      <w:r>
        <w:rPr>
          <w:rFonts w:hint="eastAsia" w:ascii="仿宋" w:hAnsi="仿宋" w:eastAsia="仿宋" w:cs="仿宋"/>
          <w:color w:val="auto"/>
          <w:sz w:val="32"/>
          <w:u w:color="auto"/>
        </w:rPr>
        <w:t>0%</w:t>
      </w:r>
      <w:r>
        <w:rPr>
          <w:rFonts w:hint="eastAsia" w:ascii="仿宋" w:hAnsi="仿宋" w:eastAsia="仿宋" w:cs="仿宋"/>
          <w:color w:val="auto"/>
          <w:sz w:val="32"/>
          <w:szCs w:val="32"/>
          <w:highlight w:val="none"/>
        </w:rPr>
        <w:t>，比上年</w:t>
      </w:r>
      <w:r>
        <w:rPr>
          <w:rFonts w:hint="eastAsia" w:ascii="仿宋" w:hAnsi="仿宋" w:eastAsia="仿宋" w:cs="仿宋"/>
          <w:color w:val="auto"/>
          <w:sz w:val="32"/>
          <w:u w:color="auto"/>
        </w:rPr>
        <w:t>增加0.00</w:t>
      </w:r>
      <w:r>
        <w:rPr>
          <w:rFonts w:hint="eastAsia" w:ascii="仿宋" w:hAnsi="仿宋" w:eastAsia="仿宋" w:cs="仿宋"/>
          <w:color w:val="auto"/>
          <w:sz w:val="32"/>
          <w:szCs w:val="32"/>
          <w:highlight w:val="none"/>
        </w:rPr>
        <w:t>万元。202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w:t>
      </w:r>
      <w:r>
        <w:rPr>
          <w:rFonts w:hint="eastAsia" w:ascii="仿宋" w:hAnsi="仿宋" w:eastAsia="仿宋" w:cs="仿宋"/>
          <w:color w:val="auto"/>
          <w:sz w:val="32"/>
          <w:u w:color="auto"/>
          <w:lang w:val="en-US" w:eastAsia="zh-CN"/>
        </w:rPr>
        <w:t>华山林场</w:t>
      </w:r>
      <w:r>
        <w:rPr>
          <w:rFonts w:hint="eastAsia" w:ascii="仿宋" w:hAnsi="仿宋" w:eastAsia="仿宋" w:cs="仿宋"/>
          <w:color w:val="auto"/>
          <w:sz w:val="32"/>
          <w:szCs w:val="32"/>
          <w:highlight w:val="none"/>
        </w:rPr>
        <w:t>开支财政拨款的公务用车保有量为</w:t>
      </w:r>
      <w:r>
        <w:rPr>
          <w:rFonts w:hint="eastAsia" w:ascii="仿宋" w:hAnsi="仿宋" w:eastAsia="仿宋" w:cs="仿宋"/>
          <w:color w:val="auto"/>
          <w:sz w:val="32"/>
          <w:u w:color="auto"/>
        </w:rPr>
        <w:t>0</w:t>
      </w:r>
      <w:r>
        <w:rPr>
          <w:rFonts w:hint="eastAsia" w:ascii="仿宋" w:hAnsi="仿宋" w:eastAsia="仿宋" w:cs="仿宋"/>
          <w:color w:val="auto"/>
          <w:sz w:val="32"/>
          <w:szCs w:val="32"/>
          <w:highlight w:val="none"/>
        </w:rPr>
        <w:t>辆，全年运行费支出</w:t>
      </w:r>
      <w:r>
        <w:rPr>
          <w:rFonts w:hint="eastAsia" w:ascii="仿宋" w:hAnsi="仿宋" w:eastAsia="仿宋" w:cs="仿宋"/>
          <w:color w:val="auto"/>
          <w:sz w:val="32"/>
          <w:u w:color="auto"/>
        </w:rPr>
        <w:t>0.00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14:paraId="21BADF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（三）公务接待费支出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万元，完成年初预算的</w:t>
      </w:r>
      <w:r>
        <w:rPr>
          <w:rFonts w:hint="eastAsia" w:ascii="仿宋" w:hAnsi="仿宋" w:eastAsia="仿宋" w:cs="仿宋"/>
          <w:color w:val="auto"/>
          <w:sz w:val="32"/>
          <w:szCs w:val="32"/>
          <w:highlight w:val="none"/>
          <w:lang w:val="en-US" w:eastAsia="zh-CN"/>
        </w:rPr>
        <w:t>100</w:t>
      </w:r>
      <w:r>
        <w:rPr>
          <w:rFonts w:hint="eastAsia" w:ascii="仿宋" w:hAnsi="仿宋" w:eastAsia="仿宋" w:cs="仿宋"/>
          <w:color w:val="auto"/>
          <w:sz w:val="32"/>
          <w:szCs w:val="32"/>
          <w:highlight w:val="none"/>
        </w:rPr>
        <w:t>%， 比上年增加</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p>
    <w:p w14:paraId="0E933F9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七、其他重要事项情况说明</w:t>
      </w:r>
    </w:p>
    <w:p w14:paraId="6245D24C">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 机关运行经费支出情况说明</w:t>
      </w:r>
    </w:p>
    <w:p w14:paraId="6EB74C42">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eastAsia="仿宋_GB2312" w:cs="仿宋_GB2312"/>
          <w:b w:val="0"/>
          <w:bCs/>
          <w:kern w:val="0"/>
          <w:sz w:val="32"/>
          <w:szCs w:val="32"/>
        </w:rPr>
      </w:pPr>
      <w:r>
        <w:rPr>
          <w:rFonts w:hint="eastAsia" w:ascii="仿宋_GB2312" w:eastAsia="仿宋_GB2312" w:cs="仿宋_GB2312"/>
          <w:b w:val="0"/>
          <w:bCs/>
          <w:kern w:val="0"/>
          <w:sz w:val="32"/>
          <w:szCs w:val="32"/>
        </w:rPr>
        <w:t>本部门无机关运行经费支出</w:t>
      </w:r>
    </w:p>
    <w:p w14:paraId="22FF5938">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（二）政府采购支出情况说明</w:t>
      </w:r>
    </w:p>
    <w:p w14:paraId="69C97E5B">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本部门202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年度政府采购支出总额</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万元，其中：政府采购货物支出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万元、政府采购工程支出0.00万元、政府采购服务支出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万元。授予中小企业合同金额0.00万元，占政府采购支出总额的0.00%，其中：授予小微企业合同金额0.00万元，占授予中小企业合同金额的0%。</w:t>
      </w:r>
    </w:p>
    <w:p w14:paraId="4C5751D3">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（三）国有资产占用情况说明</w:t>
      </w:r>
    </w:p>
    <w:p w14:paraId="6C143DBE">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截至202</w:t>
      </w:r>
      <w:r>
        <w:rPr>
          <w:rFonts w:hint="default" w:ascii="仿宋" w:hAnsi="仿宋" w:eastAsia="仿宋" w:cs="仿宋"/>
          <w:color w:val="auto"/>
          <w:sz w:val="32"/>
          <w:szCs w:val="32"/>
          <w:highlight w:val="none"/>
          <w:lang w:val="en-US"/>
        </w:rPr>
        <w:t>3</w:t>
      </w:r>
      <w:r>
        <w:rPr>
          <w:rFonts w:hint="eastAsia" w:ascii="仿宋" w:hAnsi="仿宋" w:eastAsia="仿宋" w:cs="仿宋"/>
          <w:color w:val="auto"/>
          <w:sz w:val="32"/>
          <w:szCs w:val="32"/>
          <w:highlight w:val="none"/>
        </w:rPr>
        <w:t>年12月31日，本部门共有车辆0辆，其中：副部（省）级领导干部用车0辆、机要通信用车0辆、应急保障用车0辆、执法执勤用车0辆、特种专业技术用车0辆、其他用车0辆；单位价值50万元以上通用设备0台（套）；单位价值</w:t>
      </w:r>
      <w:r>
        <w:rPr>
          <w:rFonts w:hint="eastAsia" w:ascii="仿宋" w:hAnsi="仿宋" w:eastAsia="仿宋" w:cs="仿宋"/>
          <w:color w:val="auto"/>
          <w:sz w:val="32"/>
          <w:szCs w:val="32"/>
          <w:highlight w:val="none"/>
          <w:lang w:val="en-US" w:eastAsia="zh-CN"/>
        </w:rPr>
        <w:t>100万</w:t>
      </w:r>
      <w:r>
        <w:rPr>
          <w:rFonts w:hint="eastAsia" w:ascii="仿宋" w:hAnsi="仿宋" w:eastAsia="仿宋" w:cs="仿宋"/>
          <w:color w:val="auto"/>
          <w:sz w:val="32"/>
          <w:szCs w:val="32"/>
          <w:highlight w:val="none"/>
        </w:rPr>
        <w:t>元以上专用设备0台（套）。</w:t>
      </w:r>
    </w:p>
    <w:p w14:paraId="3566C45E">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（四）预算绩效管理工作开展情况</w:t>
      </w:r>
    </w:p>
    <w:p w14:paraId="574AEB40">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1.绩效管理工作开展情况。</w:t>
      </w:r>
    </w:p>
    <w:p w14:paraId="621FB195">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根据财政预算管理要求，本部门组织对</w:t>
      </w: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rPr>
        <w:t>度一般公共预算项目支出全面开展绩效自评。其中，一</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项目</w:t>
      </w: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rPr>
        <w:t>个，二</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项目</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个，共涉及资金</w:t>
      </w:r>
      <w:r>
        <w:rPr>
          <w:rFonts w:hint="eastAsia" w:ascii="仿宋" w:hAnsi="仿宋" w:eastAsia="仿宋" w:cs="仿宋"/>
          <w:color w:val="auto"/>
          <w:sz w:val="32"/>
          <w:szCs w:val="32"/>
          <w:lang w:val="en-US" w:eastAsia="zh-CN"/>
        </w:rPr>
        <w:t>333.24</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组织对</w:t>
      </w: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rPr>
        <w:t>度</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等</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个政府性基金预算项目支出开展绩效自评，共涉及资金</w:t>
      </w:r>
      <w:r>
        <w:rPr>
          <w:rFonts w:hint="eastAsia" w:ascii="仿宋" w:hAnsi="仿宋" w:eastAsia="仿宋" w:cs="仿宋"/>
          <w:color w:val="auto"/>
          <w:sz w:val="32"/>
          <w:szCs w:val="32"/>
          <w:lang w:val="en-US" w:eastAsia="zh-CN"/>
        </w:rPr>
        <w:t>7.00</w:t>
      </w:r>
      <w:r>
        <w:rPr>
          <w:rFonts w:hint="eastAsia" w:ascii="仿宋" w:hAnsi="仿宋" w:eastAsia="仿宋" w:cs="仿宋"/>
          <w:color w:val="auto"/>
          <w:sz w:val="32"/>
          <w:szCs w:val="32"/>
        </w:rPr>
        <w:t>万元，占政府性基金预算项目支出总额的</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%。组织对</w:t>
      </w: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rPr>
        <w:t>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等</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个国有资本经营预算项目支出开展绩效自评，共涉及资金</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万元，占国有资本经营预算项目支出总额的</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w:t>
      </w:r>
    </w:p>
    <w:p w14:paraId="51279DD8">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组织对</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等</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个项目进行了部门评价，涉及一般公共预算支出</w:t>
      </w:r>
      <w:r>
        <w:rPr>
          <w:rFonts w:hint="eastAsia" w:ascii="仿宋" w:hAnsi="仿宋" w:eastAsia="仿宋" w:cs="仿宋"/>
          <w:color w:val="auto"/>
          <w:sz w:val="32"/>
          <w:szCs w:val="32"/>
          <w:lang w:val="en-US" w:eastAsia="zh-CN"/>
        </w:rPr>
        <w:t>18</w:t>
      </w:r>
      <w:r>
        <w:rPr>
          <w:rFonts w:hint="default" w:ascii="仿宋" w:hAnsi="仿宋" w:eastAsia="仿宋" w:cs="仿宋"/>
          <w:color w:val="auto"/>
          <w:sz w:val="32"/>
          <w:szCs w:val="32"/>
          <w:lang w:val="en-US" w:eastAsia="zh-CN"/>
        </w:rPr>
        <w:t>79</w:t>
      </w:r>
      <w:r>
        <w:rPr>
          <w:rFonts w:hint="eastAsia" w:ascii="仿宋" w:hAnsi="仿宋" w:eastAsia="仿宋" w:cs="仿宋"/>
          <w:color w:val="auto"/>
          <w:sz w:val="32"/>
          <w:szCs w:val="32"/>
          <w:lang w:val="en-US" w:eastAsia="zh-CN"/>
        </w:rPr>
        <w:t>.51</w:t>
      </w:r>
      <w:r>
        <w:rPr>
          <w:rFonts w:hint="eastAsia" w:ascii="仿宋" w:hAnsi="仿宋" w:eastAsia="仿宋" w:cs="仿宋"/>
          <w:color w:val="auto"/>
          <w:sz w:val="32"/>
          <w:szCs w:val="32"/>
        </w:rPr>
        <w:t>万元，政府性基金预算支出</w:t>
      </w:r>
      <w:r>
        <w:rPr>
          <w:rFonts w:hint="default" w:ascii="仿宋" w:hAnsi="仿宋" w:eastAsia="仿宋" w:cs="仿宋"/>
          <w:color w:val="auto"/>
          <w:sz w:val="32"/>
          <w:szCs w:val="32"/>
          <w:lang w:val="en-US"/>
        </w:rPr>
        <w:t>7.0</w:t>
      </w:r>
      <w:r>
        <w:rPr>
          <w:rFonts w:hint="eastAsia" w:ascii="仿宋" w:hAnsi="仿宋" w:eastAsia="仿宋" w:cs="仿宋"/>
          <w:color w:val="auto"/>
          <w:sz w:val="32"/>
          <w:szCs w:val="32"/>
        </w:rPr>
        <w:t>万元，国有资本经营预算支出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万元。组织对</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个部门（单位）开展整体支出绩效评价试点，涉及一般公共预算支出</w:t>
      </w:r>
      <w:r>
        <w:rPr>
          <w:rFonts w:hint="eastAsia" w:ascii="仿宋" w:hAnsi="仿宋" w:eastAsia="仿宋" w:cs="仿宋"/>
          <w:color w:val="auto"/>
          <w:sz w:val="32"/>
          <w:szCs w:val="32"/>
          <w:lang w:val="en-US" w:eastAsia="zh-CN"/>
        </w:rPr>
        <w:t>18</w:t>
      </w:r>
      <w:r>
        <w:rPr>
          <w:rFonts w:hint="default" w:ascii="仿宋" w:hAnsi="仿宋" w:eastAsia="仿宋" w:cs="仿宋"/>
          <w:color w:val="auto"/>
          <w:sz w:val="32"/>
          <w:szCs w:val="32"/>
          <w:lang w:val="en-US" w:eastAsia="zh-CN"/>
        </w:rPr>
        <w:t>79</w:t>
      </w:r>
      <w:r>
        <w:rPr>
          <w:rFonts w:hint="eastAsia" w:ascii="仿宋" w:hAnsi="仿宋" w:eastAsia="仿宋" w:cs="仿宋"/>
          <w:color w:val="auto"/>
          <w:sz w:val="32"/>
          <w:szCs w:val="32"/>
          <w:lang w:val="en-US" w:eastAsia="zh-CN"/>
        </w:rPr>
        <w:t>.51</w:t>
      </w:r>
      <w:r>
        <w:rPr>
          <w:rFonts w:hint="eastAsia" w:ascii="仿宋" w:hAnsi="仿宋" w:eastAsia="仿宋" w:cs="仿宋"/>
          <w:color w:val="auto"/>
          <w:sz w:val="32"/>
          <w:szCs w:val="32"/>
        </w:rPr>
        <w:t>万元，政府性基金预算支出</w:t>
      </w:r>
      <w:r>
        <w:rPr>
          <w:rFonts w:hint="default" w:ascii="仿宋" w:hAnsi="仿宋" w:eastAsia="仿宋" w:cs="仿宋"/>
          <w:color w:val="auto"/>
          <w:sz w:val="32"/>
          <w:szCs w:val="32"/>
          <w:lang w:val="en-US"/>
        </w:rPr>
        <w:t>7.0</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万元。从评价情况来看，</w:t>
      </w:r>
      <w:r>
        <w:rPr>
          <w:rFonts w:hint="eastAsia" w:ascii="仿宋" w:hAnsi="仿宋" w:eastAsia="仿宋" w:cs="仿宋"/>
          <w:color w:val="auto"/>
          <w:sz w:val="32"/>
          <w:szCs w:val="32"/>
          <w:lang w:val="en-US" w:eastAsia="zh-CN"/>
        </w:rPr>
        <w:t>部门整体绩效自评得分100分，自评等级一等。完成年初基本支出、项目支出预算目标，完成年度生产任务及县委、县政府及上级主管部门交办的其他事项。</w:t>
      </w:r>
    </w:p>
    <w:p w14:paraId="2ECB90CD">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2.部门决算中项目绩效自评结果</w:t>
      </w:r>
    </w:p>
    <w:p w14:paraId="269AE6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 w:hAnsi="仿宋" w:eastAsia="仿宋" w:cs="仿宋"/>
          <w:kern w:val="0"/>
          <w:sz w:val="32"/>
          <w:szCs w:val="32"/>
          <w:shd w:val="clear" w:color="auto" w:fill="auto"/>
          <w:lang w:val="en-US" w:eastAsia="zh-CN"/>
        </w:rPr>
      </w:pPr>
      <w:r>
        <w:rPr>
          <w:rFonts w:hint="eastAsia" w:ascii="仿宋" w:hAnsi="仿宋" w:eastAsia="仿宋" w:cs="仿宋"/>
          <w:color w:val="000000"/>
          <w:sz w:val="32"/>
          <w:szCs w:val="32"/>
        </w:rPr>
        <w:t>我部门根据年初设定的绩效目标</w:t>
      </w:r>
      <w:r>
        <w:rPr>
          <w:rFonts w:hint="eastAsia" w:ascii="仿宋" w:hAnsi="仿宋" w:eastAsia="仿宋" w:cs="仿宋"/>
          <w:color w:val="000000"/>
          <w:sz w:val="32"/>
          <w:szCs w:val="32"/>
          <w:shd w:val="clear" w:color="auto" w:fill="auto"/>
        </w:rPr>
        <w:t>，</w:t>
      </w:r>
      <w:r>
        <w:rPr>
          <w:rFonts w:hint="eastAsia" w:ascii="仿宋" w:hAnsi="仿宋" w:eastAsia="仿宋" w:cs="仿宋"/>
          <w:kern w:val="0"/>
          <w:sz w:val="32"/>
          <w:szCs w:val="32"/>
          <w:shd w:val="clear" w:color="auto" w:fill="auto"/>
          <w:lang w:val="en-US" w:eastAsia="zh-CN"/>
        </w:rPr>
        <w:t>对13个项目开展了绩效自评，结果如下：</w:t>
      </w: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6"/>
        <w:gridCol w:w="1908"/>
        <w:gridCol w:w="1170"/>
        <w:gridCol w:w="1001"/>
        <w:gridCol w:w="728"/>
        <w:gridCol w:w="591"/>
        <w:gridCol w:w="531"/>
        <w:gridCol w:w="1379"/>
        <w:gridCol w:w="1860"/>
      </w:tblGrid>
      <w:tr w14:paraId="7D1F8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7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2C1861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5"/>
                <w:szCs w:val="15"/>
                <w:u w:val="none"/>
                <w:shd w:val="clear" w:color="auto" w:fill="auto"/>
              </w:rPr>
            </w:pPr>
            <w:r>
              <w:rPr>
                <w:rFonts w:hint="eastAsia" w:ascii="宋体" w:hAnsi="宋体" w:eastAsia="宋体" w:cs="宋体"/>
                <w:b/>
                <w:bCs/>
                <w:i w:val="0"/>
                <w:iCs w:val="0"/>
                <w:color w:val="000000"/>
                <w:kern w:val="0"/>
                <w:sz w:val="15"/>
                <w:szCs w:val="15"/>
                <w:u w:val="none"/>
                <w:shd w:val="clear" w:color="auto" w:fill="auto"/>
                <w:lang w:val="en-US" w:eastAsia="zh-CN"/>
              </w:rPr>
              <w:t>序号</w:t>
            </w:r>
          </w:p>
        </w:tc>
        <w:tc>
          <w:tcPr>
            <w:tcW w:w="1908"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4709C3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5"/>
                <w:szCs w:val="15"/>
                <w:u w:val="none"/>
                <w:shd w:val="clear" w:color="auto" w:fill="auto"/>
              </w:rPr>
            </w:pPr>
            <w:r>
              <w:rPr>
                <w:rFonts w:hint="eastAsia" w:ascii="宋体" w:hAnsi="宋体" w:eastAsia="宋体" w:cs="宋体"/>
                <w:b/>
                <w:bCs/>
                <w:i w:val="0"/>
                <w:iCs w:val="0"/>
                <w:color w:val="000000"/>
                <w:kern w:val="0"/>
                <w:sz w:val="15"/>
                <w:szCs w:val="15"/>
                <w:u w:val="none"/>
                <w:shd w:val="clear" w:color="auto" w:fill="auto"/>
                <w:lang w:val="en-US" w:eastAsia="zh-CN"/>
              </w:rPr>
              <w:t>名称</w:t>
            </w:r>
          </w:p>
        </w:tc>
        <w:tc>
          <w:tcPr>
            <w:tcW w:w="1170"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297D9E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5"/>
                <w:szCs w:val="15"/>
                <w:u w:val="none"/>
                <w:shd w:val="clear" w:color="auto" w:fill="auto"/>
              </w:rPr>
            </w:pPr>
            <w:r>
              <w:rPr>
                <w:rFonts w:hint="eastAsia" w:ascii="宋体" w:hAnsi="宋体" w:eastAsia="宋体" w:cs="宋体"/>
                <w:b/>
                <w:bCs/>
                <w:i w:val="0"/>
                <w:iCs w:val="0"/>
                <w:color w:val="000000"/>
                <w:kern w:val="0"/>
                <w:sz w:val="15"/>
                <w:szCs w:val="15"/>
                <w:u w:val="none"/>
                <w:shd w:val="clear" w:color="auto" w:fill="auto"/>
                <w:lang w:val="en-US" w:eastAsia="zh-CN"/>
              </w:rPr>
              <w:t>当年预算数</w:t>
            </w:r>
          </w:p>
        </w:tc>
        <w:tc>
          <w:tcPr>
            <w:tcW w:w="1001"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2C1D91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5"/>
                <w:szCs w:val="15"/>
                <w:u w:val="none"/>
                <w:shd w:val="clear" w:color="auto" w:fill="auto"/>
              </w:rPr>
            </w:pPr>
            <w:r>
              <w:rPr>
                <w:rFonts w:hint="eastAsia" w:ascii="宋体" w:hAnsi="宋体" w:eastAsia="宋体" w:cs="宋体"/>
                <w:b/>
                <w:bCs/>
                <w:i w:val="0"/>
                <w:iCs w:val="0"/>
                <w:color w:val="000000"/>
                <w:kern w:val="0"/>
                <w:sz w:val="15"/>
                <w:szCs w:val="15"/>
                <w:u w:val="none"/>
                <w:shd w:val="clear" w:color="auto" w:fill="auto"/>
                <w:lang w:val="en-US" w:eastAsia="zh-CN"/>
              </w:rPr>
              <w:t>全年执行数</w:t>
            </w:r>
          </w:p>
        </w:tc>
        <w:tc>
          <w:tcPr>
            <w:tcW w:w="728"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1B7783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5"/>
                <w:szCs w:val="15"/>
                <w:u w:val="none"/>
                <w:shd w:val="clear" w:color="auto" w:fill="auto"/>
              </w:rPr>
            </w:pPr>
            <w:r>
              <w:rPr>
                <w:rFonts w:hint="eastAsia" w:ascii="宋体" w:hAnsi="宋体" w:eastAsia="宋体" w:cs="宋体"/>
                <w:b/>
                <w:bCs/>
                <w:i w:val="0"/>
                <w:iCs w:val="0"/>
                <w:color w:val="000000"/>
                <w:kern w:val="0"/>
                <w:sz w:val="15"/>
                <w:szCs w:val="15"/>
                <w:u w:val="none"/>
                <w:shd w:val="clear" w:color="auto" w:fill="auto"/>
                <w:lang w:val="en-US" w:eastAsia="zh-CN"/>
              </w:rPr>
              <w:t>预算执行率</w:t>
            </w:r>
          </w:p>
        </w:tc>
        <w:tc>
          <w:tcPr>
            <w:tcW w:w="591"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31718A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5"/>
                <w:szCs w:val="15"/>
                <w:u w:val="none"/>
                <w:shd w:val="clear" w:color="auto" w:fill="auto"/>
              </w:rPr>
            </w:pPr>
            <w:r>
              <w:rPr>
                <w:rFonts w:hint="eastAsia" w:ascii="宋体" w:hAnsi="宋体" w:eastAsia="宋体" w:cs="宋体"/>
                <w:b/>
                <w:bCs/>
                <w:i w:val="0"/>
                <w:iCs w:val="0"/>
                <w:color w:val="000000"/>
                <w:kern w:val="0"/>
                <w:sz w:val="15"/>
                <w:szCs w:val="15"/>
                <w:u w:val="none"/>
                <w:shd w:val="clear" w:color="auto" w:fill="auto"/>
                <w:lang w:val="en-US" w:eastAsia="zh-CN"/>
              </w:rPr>
              <w:t>得分</w:t>
            </w:r>
          </w:p>
        </w:tc>
        <w:tc>
          <w:tcPr>
            <w:tcW w:w="531"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6B5EC5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5"/>
                <w:szCs w:val="15"/>
                <w:u w:val="none"/>
                <w:shd w:val="clear" w:color="auto" w:fill="auto"/>
              </w:rPr>
            </w:pPr>
            <w:r>
              <w:rPr>
                <w:rFonts w:hint="eastAsia" w:ascii="宋体" w:hAnsi="宋体" w:eastAsia="宋体" w:cs="宋体"/>
                <w:b/>
                <w:bCs/>
                <w:i w:val="0"/>
                <w:iCs w:val="0"/>
                <w:color w:val="000000"/>
                <w:kern w:val="0"/>
                <w:sz w:val="15"/>
                <w:szCs w:val="15"/>
                <w:u w:val="none"/>
                <w:shd w:val="clear" w:color="auto" w:fill="auto"/>
                <w:lang w:val="en-US" w:eastAsia="zh-CN"/>
              </w:rPr>
              <w:t>自评结论</w:t>
            </w:r>
          </w:p>
        </w:tc>
        <w:tc>
          <w:tcPr>
            <w:tcW w:w="1379"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6F9733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5"/>
                <w:szCs w:val="15"/>
                <w:u w:val="none"/>
                <w:shd w:val="clear" w:color="auto" w:fill="auto"/>
              </w:rPr>
            </w:pPr>
            <w:r>
              <w:rPr>
                <w:rFonts w:hint="eastAsia" w:ascii="宋体" w:hAnsi="宋体" w:eastAsia="宋体" w:cs="宋体"/>
                <w:b/>
                <w:bCs/>
                <w:i w:val="0"/>
                <w:iCs w:val="0"/>
                <w:color w:val="000000"/>
                <w:kern w:val="0"/>
                <w:sz w:val="15"/>
                <w:szCs w:val="15"/>
                <w:u w:val="none"/>
                <w:shd w:val="clear" w:color="auto" w:fill="auto"/>
                <w:lang w:val="en-US" w:eastAsia="zh-CN"/>
              </w:rPr>
              <w:t>一级项目名称</w:t>
            </w:r>
          </w:p>
        </w:tc>
        <w:tc>
          <w:tcPr>
            <w:tcW w:w="1860"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67520B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5"/>
                <w:szCs w:val="15"/>
                <w:u w:val="none"/>
                <w:shd w:val="clear" w:color="auto" w:fill="auto"/>
              </w:rPr>
            </w:pPr>
            <w:r>
              <w:rPr>
                <w:rFonts w:hint="eastAsia" w:ascii="宋体" w:hAnsi="宋体" w:eastAsia="宋体" w:cs="宋体"/>
                <w:b/>
                <w:bCs/>
                <w:i w:val="0"/>
                <w:iCs w:val="0"/>
                <w:color w:val="000000"/>
                <w:kern w:val="0"/>
                <w:sz w:val="15"/>
                <w:szCs w:val="15"/>
                <w:u w:val="none"/>
                <w:shd w:val="clear" w:color="auto" w:fill="auto"/>
                <w:lang w:val="en-US" w:eastAsia="zh-CN"/>
              </w:rPr>
              <w:t>一级项目编码</w:t>
            </w:r>
          </w:p>
        </w:tc>
      </w:tr>
      <w:tr w14:paraId="599C4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79B15E">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1</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BCB3F3">
            <w:pPr>
              <w:keepNext w:val="0"/>
              <w:keepLines w:val="0"/>
              <w:widowControl/>
              <w:suppressLineNumbers w:val="0"/>
              <w:spacing w:before="0" w:beforeAutospacing="0" w:after="0" w:afterAutospacing="0"/>
              <w:ind w:left="0" w:right="0" w:firstLine="300" w:firstLineChars="20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营林防火生产费</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99CC5A">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43,000.00</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09D49C">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43,000.00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86225D">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100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ECDC24">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100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145D06">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一等</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2F0D87">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专线资金项目</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7A9B12">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451226210000000004001</w:t>
            </w:r>
          </w:p>
        </w:tc>
      </w:tr>
      <w:tr w14:paraId="720D9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997DAA">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2</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AC913D">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党支部组织生活费</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82AC4C">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5,300.00</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07CC11">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5,300.00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180C03">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100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247D60">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100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BCEF4E">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一等</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9AC8CD">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运行维护项目</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66E232">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451226210000000004000</w:t>
            </w:r>
          </w:p>
        </w:tc>
      </w:tr>
      <w:tr w14:paraId="25D42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BE7635">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3</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E6C706">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各分场、场部基础建设费</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874B3E">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50,000.00</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F43A06">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31,762.86</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B99E3D">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63.53</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27D3E1">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96.35</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A3BFCF">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一等</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45B7CD">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专线资金项目</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16F3C3">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451226210000000004001</w:t>
            </w:r>
          </w:p>
        </w:tc>
      </w:tr>
      <w:tr w14:paraId="6558F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802B11">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4</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3B1983">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久仁分场管护用房建设</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8D0FBC">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50,000.00</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A29E45">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50,000.00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6A27F0">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100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9D912B">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100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0A5C4D">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一等</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BFCC45">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本级财政资金(项目经费)</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16D2A3">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451226220000000004241</w:t>
            </w:r>
          </w:p>
        </w:tc>
      </w:tr>
      <w:tr w14:paraId="597F9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C6EF4B">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5</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CA51F7">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林地综合治理费</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D0FBC4">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88,600.00</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5F21CB">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76,000.00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D009A3">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85.78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6E8F6C">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95.49</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8F4F1E">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一等</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901CD5">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专项资金项目1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571B2D">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451226220000000004060</w:t>
            </w:r>
          </w:p>
        </w:tc>
      </w:tr>
      <w:tr w14:paraId="07F29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E481A4">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6</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7A5D08">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2023年环江县华山林场林木良种基地建设项目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DFE874">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600,000.00</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47AE9B">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385,030.00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9F9259">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64.17</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531B90">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92.84</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89EFA9">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一等</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F5E15B">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自治区财政林业改革发展资金—林木良种补助</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4BF33D">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451226230400000004121</w:t>
            </w:r>
          </w:p>
        </w:tc>
      </w:tr>
      <w:tr w14:paraId="2B4A0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8AD2F2">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7</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0E4227">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病虫害防治经费</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8ABAC9">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30,000.00</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E25131">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26,988.90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A6DFA1">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89.96</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48F95F">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99</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92A286">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一等</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B93042">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专项资金项目1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C713AA">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451226220000000004060</w:t>
            </w:r>
          </w:p>
        </w:tc>
      </w:tr>
      <w:tr w14:paraId="5E070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AC33B8">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8</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A0079F">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自治区财政林业改革发展资金(林木良种补助2022)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4CDD6C">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70,000.00</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D1CD59">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70,000.00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64D9F7">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100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28F4DB">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100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5878D5">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一等</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33A9D1">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自治区财政林业改革发展资金(林木良种补助)</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05F377">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451226220000000004087</w:t>
            </w:r>
          </w:p>
        </w:tc>
      </w:tr>
      <w:tr w14:paraId="567FC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4EAA0C">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9</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A80924">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林业技术推广与转化</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A59F44">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22,700.00</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72898B">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20,000.00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92CF92">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88.11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4E8CF9">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98.81</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C9F140">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一等</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8CA28D">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专线资金项目</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7ADB02">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451226210000000004001</w:t>
            </w:r>
          </w:p>
        </w:tc>
      </w:tr>
      <w:tr w14:paraId="7CE6B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66C450">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kern w:val="0"/>
                <w:sz w:val="15"/>
                <w:szCs w:val="15"/>
                <w:u w:val="none"/>
                <w:lang w:val="en-US" w:eastAsia="zh-CN"/>
              </w:rPr>
              <w:t>10</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FF5AD4">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环江县华山林场久仁分场2023年管护用房建设项目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2060DD">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300,000.00</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BBDF54">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300,000.00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A5D382">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100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E82E7C">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100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D8C5A7">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一等</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BC77A4">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项目类运转经费</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00D6AA">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451226220000000004314</w:t>
            </w:r>
          </w:p>
        </w:tc>
      </w:tr>
      <w:tr w14:paraId="45F66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B7C820">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kern w:val="0"/>
                <w:sz w:val="15"/>
                <w:szCs w:val="15"/>
                <w:u w:val="none"/>
                <w:lang w:val="en-US" w:eastAsia="zh-CN"/>
              </w:rPr>
              <w:t>11</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6D7015">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森林防火经费</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57359C">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60,000.00</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DD9F70">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59,746.31</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90B726">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99.58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82A72E">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99.96</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DD1463">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一等</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361AC6">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专线资金项目</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C8DD1C">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rPr>
              <w:t>451226210000000004001</w:t>
            </w:r>
          </w:p>
        </w:tc>
      </w:tr>
      <w:tr w14:paraId="167EE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767D7F">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i w:val="0"/>
                <w:iCs w:val="0"/>
                <w:color w:val="000000"/>
                <w:kern w:val="0"/>
                <w:sz w:val="15"/>
                <w:szCs w:val="15"/>
                <w:u w:val="none"/>
                <w:lang w:val="en-US" w:eastAsia="zh-CN"/>
              </w:rPr>
            </w:pPr>
            <w:r>
              <w:rPr>
                <w:rFonts w:hint="eastAsia" w:ascii="宋体" w:hAnsi="宋体" w:eastAsia="宋体" w:cs="宋体"/>
                <w:i w:val="0"/>
                <w:iCs w:val="0"/>
                <w:color w:val="000000"/>
                <w:kern w:val="0"/>
                <w:sz w:val="15"/>
                <w:szCs w:val="15"/>
                <w:u w:val="none"/>
                <w:lang w:val="en-US" w:eastAsia="zh-CN"/>
              </w:rPr>
              <w:t>12</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261F38">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kern w:val="0"/>
                <w:sz w:val="15"/>
                <w:szCs w:val="15"/>
                <w:u w:val="none"/>
                <w:lang w:val="en-US" w:eastAsia="zh-CN"/>
              </w:rPr>
            </w:pPr>
            <w:r>
              <w:rPr>
                <w:rFonts w:hint="eastAsia" w:ascii="宋体" w:hAnsi="宋体" w:eastAsia="宋体" w:cs="宋体"/>
                <w:i w:val="0"/>
                <w:iCs w:val="0"/>
                <w:color w:val="000000"/>
                <w:kern w:val="0"/>
                <w:sz w:val="15"/>
                <w:szCs w:val="15"/>
                <w:u w:val="none"/>
                <w:lang w:val="en-US" w:eastAsia="zh-CN"/>
              </w:rPr>
              <w:t>奖励性补贴</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7BF5D9">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kern w:val="0"/>
                <w:sz w:val="15"/>
                <w:szCs w:val="15"/>
                <w:u w:val="none"/>
                <w:lang w:val="en-US" w:eastAsia="zh-CN"/>
              </w:rPr>
            </w:pPr>
            <w:r>
              <w:rPr>
                <w:rFonts w:hint="eastAsia" w:ascii="宋体" w:hAnsi="宋体" w:eastAsia="宋体" w:cs="宋体"/>
                <w:i w:val="0"/>
                <w:iCs w:val="0"/>
                <w:color w:val="000000"/>
                <w:kern w:val="0"/>
                <w:sz w:val="15"/>
                <w:szCs w:val="15"/>
                <w:u w:val="none"/>
                <w:lang w:val="en-US" w:eastAsia="zh-CN"/>
              </w:rPr>
              <w:t>1163620</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05751B">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kern w:val="0"/>
                <w:sz w:val="15"/>
                <w:szCs w:val="15"/>
                <w:u w:val="none"/>
                <w:lang w:val="en-US" w:eastAsia="zh-CN"/>
              </w:rPr>
            </w:pPr>
            <w:r>
              <w:rPr>
                <w:rFonts w:hint="eastAsia" w:ascii="宋体" w:hAnsi="宋体" w:eastAsia="宋体" w:cs="宋体"/>
                <w:i w:val="0"/>
                <w:iCs w:val="0"/>
                <w:color w:val="000000"/>
                <w:kern w:val="0"/>
                <w:sz w:val="15"/>
                <w:szCs w:val="15"/>
                <w:u w:val="none"/>
                <w:lang w:val="en-US" w:eastAsia="zh-CN"/>
              </w:rPr>
              <w:t>1163620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9444BC">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i w:val="0"/>
                <w:iCs w:val="0"/>
                <w:color w:val="000000"/>
                <w:kern w:val="0"/>
                <w:sz w:val="15"/>
                <w:szCs w:val="15"/>
                <w:u w:val="none"/>
                <w:lang w:val="en-US" w:eastAsia="zh-CN"/>
              </w:rPr>
            </w:pPr>
            <w:r>
              <w:rPr>
                <w:rFonts w:hint="eastAsia" w:ascii="宋体" w:hAnsi="宋体" w:eastAsia="宋体" w:cs="宋体"/>
                <w:i w:val="0"/>
                <w:iCs w:val="0"/>
                <w:color w:val="000000"/>
                <w:kern w:val="0"/>
                <w:sz w:val="15"/>
                <w:szCs w:val="15"/>
                <w:u w:val="none"/>
                <w:lang w:val="en-US" w:eastAsia="zh-CN"/>
              </w:rPr>
              <w:t>100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23DCCB">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i w:val="0"/>
                <w:iCs w:val="0"/>
                <w:color w:val="000000"/>
                <w:kern w:val="0"/>
                <w:sz w:val="15"/>
                <w:szCs w:val="15"/>
                <w:u w:val="none"/>
                <w:lang w:val="en-US" w:eastAsia="zh-CN"/>
              </w:rPr>
            </w:pPr>
            <w:r>
              <w:rPr>
                <w:rFonts w:hint="eastAsia" w:ascii="宋体" w:hAnsi="宋体" w:eastAsia="宋体" w:cs="宋体"/>
                <w:i w:val="0"/>
                <w:iCs w:val="0"/>
                <w:color w:val="000000"/>
                <w:kern w:val="0"/>
                <w:sz w:val="15"/>
                <w:szCs w:val="15"/>
                <w:u w:val="none"/>
                <w:lang w:val="en-US" w:eastAsia="zh-CN"/>
              </w:rPr>
              <w:t>100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45B4BE">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i w:val="0"/>
                <w:iCs w:val="0"/>
                <w:color w:val="000000"/>
                <w:kern w:val="0"/>
                <w:sz w:val="15"/>
                <w:szCs w:val="15"/>
                <w:u w:val="none"/>
                <w:lang w:val="en-US" w:eastAsia="zh-CN"/>
              </w:rPr>
            </w:pPr>
            <w:r>
              <w:rPr>
                <w:rFonts w:hint="eastAsia" w:ascii="宋体" w:hAnsi="宋体" w:eastAsia="宋体" w:cs="宋体"/>
                <w:i w:val="0"/>
                <w:iCs w:val="0"/>
                <w:color w:val="000000"/>
                <w:kern w:val="0"/>
                <w:sz w:val="15"/>
                <w:szCs w:val="15"/>
                <w:u w:val="none"/>
                <w:lang w:val="en-US" w:eastAsia="zh-CN"/>
              </w:rPr>
              <w:t>一等</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2ADF08">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i w:val="0"/>
                <w:iCs w:val="0"/>
                <w:color w:val="000000"/>
                <w:kern w:val="0"/>
                <w:sz w:val="15"/>
                <w:szCs w:val="15"/>
                <w:u w:val="none"/>
                <w:lang w:val="en-US" w:eastAsia="zh-CN"/>
              </w:rPr>
            </w:pPr>
            <w:r>
              <w:rPr>
                <w:rFonts w:hint="eastAsia" w:ascii="宋体" w:hAnsi="宋体" w:eastAsia="宋体" w:cs="宋体"/>
                <w:i w:val="0"/>
                <w:iCs w:val="0"/>
                <w:color w:val="000000"/>
                <w:kern w:val="0"/>
                <w:sz w:val="15"/>
                <w:szCs w:val="15"/>
                <w:u w:val="none"/>
                <w:lang w:val="en-US" w:eastAsia="zh-CN"/>
              </w:rPr>
              <w:t>奖励性补贴</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C21FBC">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kern w:val="0"/>
                <w:sz w:val="15"/>
                <w:szCs w:val="15"/>
                <w:u w:val="none"/>
                <w:lang w:val="en-US" w:eastAsia="zh-CN"/>
              </w:rPr>
            </w:pPr>
            <w:r>
              <w:rPr>
                <w:rFonts w:hint="eastAsia" w:ascii="宋体" w:hAnsi="宋体" w:eastAsia="宋体" w:cs="宋体"/>
                <w:i w:val="0"/>
                <w:iCs w:val="0"/>
                <w:color w:val="000000"/>
                <w:kern w:val="0"/>
                <w:sz w:val="15"/>
                <w:szCs w:val="15"/>
                <w:u w:val="none"/>
                <w:lang w:val="en-US" w:eastAsia="zh-CN"/>
              </w:rPr>
              <w:t>451226220000000004233</w:t>
            </w:r>
          </w:p>
        </w:tc>
      </w:tr>
      <w:tr w14:paraId="1FB6A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214618">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i w:val="0"/>
                <w:iCs w:val="0"/>
                <w:color w:val="000000"/>
                <w:kern w:val="0"/>
                <w:sz w:val="15"/>
                <w:szCs w:val="15"/>
                <w:u w:val="none"/>
                <w:lang w:val="en-US" w:eastAsia="zh-CN"/>
              </w:rPr>
            </w:pPr>
            <w:r>
              <w:rPr>
                <w:rFonts w:hint="eastAsia" w:ascii="宋体" w:hAnsi="宋体" w:eastAsia="宋体" w:cs="宋体"/>
                <w:i w:val="0"/>
                <w:iCs w:val="0"/>
                <w:color w:val="000000"/>
                <w:kern w:val="0"/>
                <w:sz w:val="15"/>
                <w:szCs w:val="15"/>
                <w:u w:val="none"/>
                <w:lang w:val="en-US" w:eastAsia="zh-CN"/>
              </w:rPr>
              <w:t>13</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2A4B4B">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kern w:val="0"/>
                <w:sz w:val="15"/>
                <w:szCs w:val="15"/>
                <w:u w:val="none"/>
                <w:lang w:val="en-US" w:eastAsia="zh-CN"/>
              </w:rPr>
            </w:pPr>
            <w:r>
              <w:rPr>
                <w:rFonts w:hint="eastAsia" w:ascii="宋体" w:hAnsi="宋体" w:eastAsia="宋体" w:cs="宋体"/>
                <w:i w:val="0"/>
                <w:iCs w:val="0"/>
                <w:color w:val="000000"/>
                <w:kern w:val="0"/>
                <w:sz w:val="15"/>
                <w:szCs w:val="15"/>
                <w:u w:val="none"/>
                <w:lang w:val="en-US" w:eastAsia="zh-CN"/>
              </w:rPr>
              <w:t>奖励性补贴(非三保)</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D029D5">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kern w:val="0"/>
                <w:sz w:val="15"/>
                <w:szCs w:val="15"/>
                <w:u w:val="none"/>
                <w:lang w:val="en-US" w:eastAsia="zh-CN"/>
              </w:rPr>
            </w:pPr>
            <w:r>
              <w:rPr>
                <w:rFonts w:hint="eastAsia" w:ascii="宋体" w:hAnsi="宋体" w:eastAsia="宋体" w:cs="宋体"/>
                <w:i w:val="0"/>
                <w:iCs w:val="0"/>
                <w:color w:val="000000"/>
                <w:kern w:val="0"/>
                <w:sz w:val="15"/>
                <w:szCs w:val="15"/>
                <w:u w:val="none"/>
                <w:lang w:val="en-US" w:eastAsia="zh-CN"/>
              </w:rPr>
              <w:t>1100995</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E1984D">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kern w:val="0"/>
                <w:sz w:val="15"/>
                <w:szCs w:val="15"/>
                <w:u w:val="none"/>
                <w:lang w:val="en-US" w:eastAsia="zh-CN"/>
              </w:rPr>
            </w:pPr>
            <w:r>
              <w:rPr>
                <w:rFonts w:hint="eastAsia" w:ascii="宋体" w:hAnsi="宋体" w:eastAsia="宋体" w:cs="宋体"/>
                <w:i w:val="0"/>
                <w:iCs w:val="0"/>
                <w:color w:val="000000"/>
                <w:kern w:val="0"/>
                <w:sz w:val="15"/>
                <w:szCs w:val="15"/>
                <w:u w:val="none"/>
                <w:lang w:val="en-US" w:eastAsia="zh-CN"/>
              </w:rPr>
              <w:t>1100995</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4C198E">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i w:val="0"/>
                <w:iCs w:val="0"/>
                <w:color w:val="000000"/>
                <w:kern w:val="0"/>
                <w:sz w:val="15"/>
                <w:szCs w:val="15"/>
                <w:u w:val="none"/>
                <w:lang w:val="en-US" w:eastAsia="zh-CN"/>
              </w:rPr>
            </w:pPr>
            <w:r>
              <w:rPr>
                <w:rFonts w:hint="eastAsia" w:ascii="宋体" w:hAnsi="宋体" w:eastAsia="宋体" w:cs="宋体"/>
                <w:i w:val="0"/>
                <w:iCs w:val="0"/>
                <w:color w:val="000000"/>
                <w:kern w:val="0"/>
                <w:sz w:val="15"/>
                <w:szCs w:val="15"/>
                <w:u w:val="none"/>
                <w:lang w:val="en-US" w:eastAsia="zh-CN"/>
              </w:rPr>
              <w:t>100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B5630E">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i w:val="0"/>
                <w:iCs w:val="0"/>
                <w:color w:val="000000"/>
                <w:kern w:val="0"/>
                <w:sz w:val="15"/>
                <w:szCs w:val="15"/>
                <w:u w:val="none"/>
                <w:lang w:val="en-US" w:eastAsia="zh-CN"/>
              </w:rPr>
            </w:pPr>
            <w:r>
              <w:rPr>
                <w:rFonts w:hint="eastAsia" w:ascii="宋体" w:hAnsi="宋体" w:eastAsia="宋体" w:cs="宋体"/>
                <w:i w:val="0"/>
                <w:iCs w:val="0"/>
                <w:color w:val="000000"/>
                <w:kern w:val="0"/>
                <w:sz w:val="15"/>
                <w:szCs w:val="15"/>
                <w:u w:val="none"/>
                <w:lang w:val="en-US" w:eastAsia="zh-CN"/>
              </w:rPr>
              <w:t>100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C7B78B">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i w:val="0"/>
                <w:iCs w:val="0"/>
                <w:color w:val="000000"/>
                <w:kern w:val="0"/>
                <w:sz w:val="15"/>
                <w:szCs w:val="15"/>
                <w:u w:val="none"/>
                <w:lang w:val="en-US" w:eastAsia="zh-CN"/>
              </w:rPr>
            </w:pPr>
            <w:r>
              <w:rPr>
                <w:rFonts w:hint="eastAsia" w:ascii="宋体" w:hAnsi="宋体" w:eastAsia="宋体" w:cs="宋体"/>
                <w:i w:val="0"/>
                <w:iCs w:val="0"/>
                <w:color w:val="000000"/>
                <w:kern w:val="0"/>
                <w:sz w:val="15"/>
                <w:szCs w:val="15"/>
                <w:u w:val="none"/>
                <w:lang w:val="en-US" w:eastAsia="zh-CN"/>
              </w:rPr>
              <w:t>一等</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B14564">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kern w:val="0"/>
                <w:sz w:val="15"/>
                <w:szCs w:val="15"/>
                <w:u w:val="none"/>
                <w:lang w:val="en-US" w:eastAsia="zh-CN"/>
              </w:rPr>
            </w:pPr>
            <w:r>
              <w:rPr>
                <w:rFonts w:hint="eastAsia" w:ascii="宋体" w:hAnsi="宋体" w:eastAsia="宋体" w:cs="宋体"/>
                <w:i w:val="0"/>
                <w:iCs w:val="0"/>
                <w:color w:val="000000"/>
                <w:kern w:val="0"/>
                <w:sz w:val="15"/>
                <w:szCs w:val="15"/>
                <w:u w:val="none"/>
                <w:lang w:val="en-US" w:eastAsia="zh-CN"/>
              </w:rPr>
              <w:t>奖励性补贴(非三保)</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D1907D">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kern w:val="0"/>
                <w:sz w:val="15"/>
                <w:szCs w:val="15"/>
                <w:u w:val="none"/>
                <w:lang w:val="en-US" w:eastAsia="zh-CN"/>
              </w:rPr>
            </w:pPr>
            <w:r>
              <w:rPr>
                <w:rFonts w:hint="eastAsia" w:ascii="宋体" w:hAnsi="宋体" w:eastAsia="宋体" w:cs="宋体"/>
                <w:i w:val="0"/>
                <w:iCs w:val="0"/>
                <w:color w:val="000000"/>
                <w:kern w:val="0"/>
                <w:sz w:val="15"/>
                <w:szCs w:val="15"/>
                <w:u w:val="none"/>
                <w:lang w:val="en-US" w:eastAsia="zh-CN"/>
              </w:rPr>
              <w:t>451226230000000004045</w:t>
            </w:r>
          </w:p>
        </w:tc>
      </w:tr>
    </w:tbl>
    <w:p w14:paraId="7ACBAA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firstLineChars="200"/>
        <w:jc w:val="left"/>
        <w:textAlignment w:val="auto"/>
        <w:rPr>
          <w:rFonts w:hint="default" w:ascii="Helvetica" w:hAnsi="Helvetica" w:eastAsia="Helvetica" w:cs="Helvetica"/>
          <w:kern w:val="0"/>
          <w:sz w:val="21"/>
          <w:szCs w:val="21"/>
          <w:shd w:val="clear" w:color="auto" w:fill="D6E6FF"/>
          <w:lang w:val="en-US" w:eastAsia="zh-CN"/>
        </w:rPr>
      </w:pPr>
    </w:p>
    <w:p w14:paraId="5281F414">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FF0000"/>
          <w:sz w:val="32"/>
          <w:szCs w:val="32"/>
        </w:rPr>
        <w:sectPr>
          <w:pgSz w:w="11906" w:h="16838"/>
          <w:pgMar w:top="1440" w:right="1236" w:bottom="1440" w:left="952" w:header="851" w:footer="992" w:gutter="0"/>
          <w:cols w:space="0" w:num="1"/>
          <w:docGrid w:type="lines" w:linePitch="312" w:charSpace="0"/>
        </w:sectPr>
      </w:pPr>
      <w:r>
        <w:rPr>
          <w:rFonts w:hint="eastAsia" w:ascii="仿宋" w:hAnsi="仿宋" w:eastAsia="仿宋" w:cs="仿宋"/>
          <w:color w:val="000000"/>
          <w:sz w:val="32"/>
          <w:szCs w:val="32"/>
        </w:rPr>
        <w:t>发现的主要问题及原因：</w:t>
      </w:r>
      <w:r>
        <w:rPr>
          <w:rFonts w:hint="eastAsia" w:ascii="仿宋" w:hAnsi="仿宋" w:eastAsia="仿宋" w:cs="仿宋"/>
          <w:color w:val="000000"/>
          <w:sz w:val="32"/>
          <w:szCs w:val="32"/>
          <w:lang w:val="en-US" w:eastAsia="zh-CN"/>
        </w:rPr>
        <w:t>部分项目预算执行率未达100%。原因：</w:t>
      </w:r>
      <w:r>
        <w:rPr>
          <w:rFonts w:hint="eastAsia" w:ascii="仿宋" w:hAnsi="仿宋" w:eastAsia="仿宋" w:cs="仿宋"/>
          <w:color w:val="000000"/>
          <w:sz w:val="32"/>
          <w:szCs w:val="32"/>
        </w:rPr>
        <w:t>一是</w:t>
      </w:r>
      <w:r>
        <w:rPr>
          <w:rFonts w:hint="eastAsia" w:ascii="仿宋" w:hAnsi="仿宋" w:eastAsia="仿宋" w:cs="仿宋"/>
          <w:color w:val="000000"/>
          <w:sz w:val="32"/>
          <w:szCs w:val="32"/>
          <w:lang w:val="en-US" w:eastAsia="zh-CN"/>
        </w:rPr>
        <w:t>项目进度缓慢，未及时做好报帐手续。</w:t>
      </w:r>
      <w:r>
        <w:rPr>
          <w:rFonts w:hint="eastAsia" w:ascii="仿宋" w:hAnsi="仿宋" w:eastAsia="仿宋" w:cs="仿宋"/>
          <w:color w:val="000000"/>
          <w:sz w:val="32"/>
          <w:szCs w:val="32"/>
        </w:rPr>
        <w:t>二是</w:t>
      </w:r>
      <w:r>
        <w:rPr>
          <w:rFonts w:hint="eastAsia" w:ascii="仿宋" w:hAnsi="仿宋" w:eastAsia="仿宋" w:cs="仿宋"/>
          <w:color w:val="000000"/>
          <w:sz w:val="32"/>
          <w:szCs w:val="32"/>
          <w:lang w:val="en-US" w:eastAsia="zh-CN"/>
        </w:rPr>
        <w:t>财政资金紧张，部分资金未完成支付，导致执行率未达100%</w:t>
      </w:r>
      <w:r>
        <w:rPr>
          <w:rFonts w:hint="eastAsia" w:ascii="仿宋" w:hAnsi="仿宋" w:eastAsia="仿宋" w:cs="仿宋"/>
          <w:color w:val="000000"/>
          <w:sz w:val="32"/>
          <w:szCs w:val="32"/>
        </w:rPr>
        <w:t>；下一步改进措施：一是</w:t>
      </w:r>
      <w:r>
        <w:rPr>
          <w:rFonts w:hint="eastAsia" w:ascii="仿宋" w:hAnsi="仿宋" w:eastAsia="仿宋" w:cs="仿宋"/>
          <w:color w:val="000000"/>
          <w:sz w:val="32"/>
          <w:szCs w:val="32"/>
          <w:lang w:val="en-US" w:eastAsia="zh-CN"/>
        </w:rPr>
        <w:t>及时做好项目验收结算报帐</w:t>
      </w:r>
      <w:r>
        <w:rPr>
          <w:rFonts w:hint="eastAsia" w:ascii="仿宋" w:hAnsi="仿宋" w:eastAsia="仿宋" w:cs="仿宋"/>
          <w:color w:val="000000"/>
          <w:sz w:val="32"/>
          <w:szCs w:val="32"/>
        </w:rPr>
        <w:t>；二是</w:t>
      </w:r>
      <w:r>
        <w:rPr>
          <w:rFonts w:hint="eastAsia" w:ascii="仿宋" w:hAnsi="仿宋" w:eastAsia="仿宋" w:cs="仿宋"/>
          <w:color w:val="000000"/>
          <w:sz w:val="32"/>
          <w:szCs w:val="32"/>
          <w:lang w:val="en-US" w:eastAsia="zh-CN"/>
        </w:rPr>
        <w:t>财政加快支付进度，保障项目资金执行率达100%。</w:t>
      </w:r>
    </w:p>
    <w:p w14:paraId="37E75EC6">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14:paraId="5FFDAE1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u w:color="auto"/>
          <w:lang w:val="en-US" w:eastAsia="zh-CN"/>
        </w:rPr>
        <w:t>河池市</w:t>
      </w:r>
      <w:r>
        <w:rPr>
          <w:rFonts w:ascii="仿宋" w:hAnsi="仿宋" w:eastAsia="仿宋" w:cs="仿宋"/>
          <w:sz w:val="32"/>
          <w:u w:color="auto"/>
        </w:rPr>
        <w:t>财政部门当年拨付的资金。</w:t>
      </w:r>
    </w:p>
    <w:p w14:paraId="6C91671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14:paraId="2EFE30A7">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14:paraId="4A5DD45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14:paraId="7D0005D6">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14:paraId="78266CC0">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14:paraId="31ABA9A3">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14:paraId="1CFCCA0F">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14:paraId="028D94E6">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14:paraId="625F7DD5">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14:paraId="0AB2F18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14:paraId="4805AA42">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河池市财政预决算管理的“三公”经费，是指河池市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55F780D5">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1D3479C">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32"/>
          <w:szCs w:val="32"/>
          <w:highlight w:val="none"/>
        </w:rPr>
      </w:pPr>
    </w:p>
    <w:p w14:paraId="4D2C9E64">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32"/>
          <w:szCs w:val="32"/>
          <w:highlight w:val="none"/>
        </w:rPr>
      </w:pPr>
    </w:p>
    <w:p w14:paraId="697CEFA7">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rPr>
          <w:rFonts w:hint="eastAsia" w:ascii="仿宋" w:hAnsi="仿宋" w:eastAsia="仿宋" w:cs="仿宋"/>
          <w:sz w:val="32"/>
          <w:szCs w:val="32"/>
          <w:highlight w:val="none"/>
          <w:lang w:val="en-US" w:eastAsia="zh-CN"/>
        </w:rPr>
      </w:pPr>
    </w:p>
    <w:p w14:paraId="5F41A3E1">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rPr>
          <w:rFonts w:hint="default" w:ascii="仿宋" w:hAnsi="仿宋" w:eastAsia="仿宋" w:cs="仿宋"/>
          <w:color w:val="FF0000"/>
          <w:sz w:val="32"/>
          <w:szCs w:val="32"/>
          <w:highlight w:val="none"/>
          <w:lang w:val="en-US" w:eastAsia="zh-CN"/>
        </w:rPr>
      </w:pPr>
      <w:bookmarkStart w:id="3" w:name="_GoBack"/>
      <w:bookmarkEnd w:id="3"/>
    </w:p>
    <w:sectPr>
      <w:pgSz w:w="11906" w:h="16838"/>
      <w:pgMar w:top="1440" w:right="1236" w:bottom="1440" w:left="952"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20B0504020000030204"/>
    <w:charset w:val="00"/>
    <w:family w:val="auto"/>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D9344">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715C1">
    <w:pPr>
      <w:pStyle w:val="3"/>
    </w:pPr>
    <w:r>
      <w:rPr>
        <w:sz w:val="18"/>
      </w:rPr>
      <w:pict>
        <v:rect id="4097" o:spid="_x0000_s4097" o:spt="1"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v:textbox inset="0mm,0mm,0mm,0mm" style="mso-fit-shape-to-text:t;">
            <w:txbxContent>
              <w:p w14:paraId="1B80DBBB">
                <w:pPr>
                  <w:pStyle w:val="3"/>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00000001"/>
    <w:multiLevelType w:val="singleLevel"/>
    <w:tmpl w:val="00000001"/>
    <w:lvl w:ilvl="0" w:tentative="0">
      <w:start w:val="1"/>
      <w:numFmt w:val="chineseCounting"/>
      <w:suff w:val="nothing"/>
      <w:lvlText w:val="（%1）"/>
      <w:lvlJc w:val="left"/>
      <w:pPr>
        <w:ind w:left="0" w:firstLine="420"/>
      </w:pPr>
      <w:rPr>
        <w:rFonts w:hint="eastAsia"/>
        <w:color w:val="auto"/>
      </w:rPr>
    </w:lvl>
  </w:abstractNum>
  <w:abstractNum w:abstractNumId="2">
    <w:nsid w:val="00000002"/>
    <w:multiLevelType w:val="singleLevel"/>
    <w:tmpl w:val="00000002"/>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yZTM0NWI2OTRiMzM2OTRjMjg0YzJmNDA3Y2Y1NDEifQ=="/>
  </w:docVars>
  <w:rsids>
    <w:rsidRoot w:val="00000000"/>
    <w:rsid w:val="117B5A32"/>
    <w:rsid w:val="11E36611"/>
    <w:rsid w:val="15CE3B81"/>
    <w:rsid w:val="16C02B7B"/>
    <w:rsid w:val="19476AF1"/>
    <w:rsid w:val="21050673"/>
    <w:rsid w:val="219F32C2"/>
    <w:rsid w:val="220D3175"/>
    <w:rsid w:val="25451016"/>
    <w:rsid w:val="269E134D"/>
    <w:rsid w:val="2DF215C9"/>
    <w:rsid w:val="304765B2"/>
    <w:rsid w:val="32F63E13"/>
    <w:rsid w:val="354E2190"/>
    <w:rsid w:val="3D567E34"/>
    <w:rsid w:val="40215D52"/>
    <w:rsid w:val="40F03A28"/>
    <w:rsid w:val="43325F6A"/>
    <w:rsid w:val="4379487C"/>
    <w:rsid w:val="445C26EF"/>
    <w:rsid w:val="45375398"/>
    <w:rsid w:val="473070C1"/>
    <w:rsid w:val="485C3B54"/>
    <w:rsid w:val="57ED6890"/>
    <w:rsid w:val="60600A87"/>
    <w:rsid w:val="60E66A7A"/>
    <w:rsid w:val="64511325"/>
    <w:rsid w:val="6B863F8C"/>
    <w:rsid w:val="710F6AA8"/>
    <w:rsid w:val="71B903B6"/>
    <w:rsid w:val="7950692B"/>
    <w:rsid w:val="7A5C1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qFormat/>
    <w:uiPriority w:val="1"/>
  </w:style>
  <w:style w:type="table" w:default="1" w:styleId="6">
    <w:name w:val="Normal Table"/>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FollowedHyperlink"/>
    <w:basedOn w:val="7"/>
    <w:qFormat/>
    <w:uiPriority w:val="0"/>
    <w:rPr>
      <w:color w:val="333333"/>
      <w:u w:val="none"/>
    </w:rPr>
  </w:style>
  <w:style w:type="character" w:styleId="9">
    <w:name w:val="Emphasis"/>
    <w:basedOn w:val="7"/>
    <w:qFormat/>
    <w:uiPriority w:val="0"/>
    <w:rPr>
      <w:i/>
    </w:rPr>
  </w:style>
  <w:style w:type="character" w:styleId="10">
    <w:name w:val="Hyperlink"/>
    <w:basedOn w:val="7"/>
    <w:qFormat/>
    <w:uiPriority w:val="0"/>
    <w:rPr>
      <w:color w:val="333333"/>
      <w:u w:val="none"/>
    </w:rPr>
  </w:style>
  <w:style w:type="character" w:customStyle="1" w:styleId="11">
    <w:name w:val="页眉 Char"/>
    <w:basedOn w:val="7"/>
    <w:link w:val="4"/>
    <w:qFormat/>
    <w:uiPriority w:val="0"/>
    <w:rPr>
      <w:rFonts w:ascii="Calibri" w:hAnsi="Calibri" w:eastAsia="宋体" w:cs="宋体"/>
      <w:kern w:val="2"/>
      <w:sz w:val="18"/>
      <w:szCs w:val="18"/>
    </w:rPr>
  </w:style>
  <w:style w:type="character" w:customStyle="1" w:styleId="12">
    <w:name w:val="页脚 Char"/>
    <w:basedOn w:val="7"/>
    <w:link w:val="3"/>
    <w:qFormat/>
    <w:uiPriority w:val="0"/>
    <w:rPr>
      <w:rFonts w:ascii="Calibri" w:hAnsi="Calibri" w:eastAsia="宋体" w:cs="宋体"/>
      <w:kern w:val="2"/>
      <w:sz w:val="18"/>
      <w:szCs w:val="18"/>
    </w:rPr>
  </w:style>
  <w:style w:type="paragraph" w:styleId="13">
    <w:name w:val="List Paragraph"/>
    <w:basedOn w:val="1"/>
    <w:qFormat/>
    <w:uiPriority w:val="99"/>
    <w:pPr>
      <w:ind w:firstLine="420" w:firstLineChars="200"/>
    </w:pPr>
  </w:style>
  <w:style w:type="character" w:customStyle="1" w:styleId="14">
    <w:name w:val="pages"/>
    <w:basedOn w:val="7"/>
    <w:qFormat/>
    <w:uiPriority w:val="0"/>
    <w:rPr>
      <w:color w:val="222222"/>
      <w:bdr w:val="single" w:color="DFDFDF" w:sz="6" w:space="0"/>
      <w:shd w:val="clear" w:color="auto" w:fill="F9F9F9"/>
    </w:rPr>
  </w:style>
  <w:style w:type="character" w:customStyle="1" w:styleId="15">
    <w:name w:val="current"/>
    <w:basedOn w:val="7"/>
    <w:qFormat/>
    <w:uiPriority w:val="0"/>
    <w:rPr>
      <w:bdr w:val="single" w:color="BBBBBB" w:sz="6" w:space="0"/>
      <w:shd w:val="clear" w:color="auto" w:fill="EEEEEE"/>
    </w:rPr>
  </w:style>
  <w:style w:type="character" w:customStyle="1" w:styleId="16">
    <w:name w:val="current1"/>
    <w:basedOn w:val="7"/>
    <w:qFormat/>
    <w:uiPriority w:val="0"/>
    <w:rPr>
      <w:color w:val="FFFFFF"/>
      <w:shd w:val="clear" w:color="auto" w:fill="00B2EE"/>
    </w:rPr>
  </w:style>
  <w:style w:type="character" w:customStyle="1" w:styleId="17">
    <w:name w:val="extend"/>
    <w:basedOn w:val="7"/>
    <w:qFormat/>
    <w:uiPriority w:val="0"/>
    <w:rPr>
      <w:b/>
      <w:bCs/>
    </w:rPr>
  </w:style>
  <w:style w:type="character" w:customStyle="1" w:styleId="18">
    <w:name w:val="current2"/>
    <w:basedOn w:val="7"/>
    <w:qFormat/>
    <w:uiPriority w:val="0"/>
    <w:rPr>
      <w:color w:val="FFFFFF"/>
      <w:shd w:val="clear" w:color="auto" w:fill="00B2EE"/>
    </w:rPr>
  </w:style>
  <w:style w:type="character" w:customStyle="1" w:styleId="19">
    <w:name w:val="rbtn"/>
    <w:basedOn w:val="7"/>
    <w:qFormat/>
    <w:uiPriority w:val="0"/>
    <w:rPr>
      <w:color w:val="469DEA"/>
      <w:bdr w:val="single" w:color="E5E5E5" w:sz="6" w:space="0"/>
    </w:rPr>
  </w:style>
  <w:style w:type="character" w:customStyle="1" w:styleId="20">
    <w:name w:val="rbtn1"/>
    <w:basedOn w:val="7"/>
    <w:qFormat/>
    <w:uiPriority w:val="0"/>
    <w:rPr>
      <w:color w:val="469DEA"/>
      <w:bdr w:val="single" w:color="E5E5E5" w:sz="6" w:space="0"/>
    </w:rPr>
  </w:style>
  <w:style w:type="character" w:customStyle="1" w:styleId="21">
    <w:name w:val="hilite6"/>
    <w:basedOn w:val="7"/>
    <w:qFormat/>
    <w:uiPriority w:val="0"/>
    <w:rPr>
      <w:color w:val="FFFFFF"/>
      <w:shd w:val="clear" w:color="auto" w:fill="666677"/>
    </w:rPr>
  </w:style>
  <w:style w:type="character" w:customStyle="1" w:styleId="22">
    <w:name w:val="layui-laypage-curr"/>
    <w:basedOn w:val="7"/>
    <w:qFormat/>
    <w:uiPriority w:val="0"/>
  </w:style>
  <w:style w:type="character" w:customStyle="1" w:styleId="23">
    <w:name w:val="active6"/>
    <w:basedOn w:val="7"/>
    <w:qFormat/>
    <w:uiPriority w:val="0"/>
    <w:rPr>
      <w:color w:val="00FF00"/>
      <w:shd w:val="clear" w:color="auto" w:fill="000000"/>
    </w:rPr>
  </w:style>
  <w:style w:type="character" w:customStyle="1" w:styleId="24">
    <w:name w:val="layui-this2"/>
    <w:basedOn w:val="7"/>
    <w:qFormat/>
    <w:uiPriority w:val="0"/>
    <w:rPr>
      <w:bdr w:val="single" w:color="EEEEEE" w:sz="6" w:space="0"/>
      <w:shd w:val="clear" w:color="auto" w:fill="FFFFFF"/>
    </w:rPr>
  </w:style>
  <w:style w:type="character" w:customStyle="1" w:styleId="25">
    <w:name w:val="first-child"/>
    <w:basedOn w:val="7"/>
    <w:qFormat/>
    <w:uiPriority w:val="0"/>
  </w:style>
  <w:style w:type="character" w:customStyle="1" w:styleId="26">
    <w:name w:val="font11"/>
    <w:basedOn w:val="7"/>
    <w:qFormat/>
    <w:uiPriority w:val="0"/>
    <w:rPr>
      <w:rFonts w:hint="eastAsia" w:ascii="宋体" w:hAnsi="宋体" w:eastAsia="宋体" w:cs="宋体"/>
      <w:b/>
      <w:bCs/>
      <w:color w:val="000000"/>
      <w:sz w:val="36"/>
      <w:szCs w:val="36"/>
      <w:u w:val="none"/>
    </w:rPr>
  </w:style>
  <w:style w:type="character" w:customStyle="1" w:styleId="27">
    <w:name w:val="font21"/>
    <w:basedOn w:val="7"/>
    <w:qFormat/>
    <w:uiPriority w:val="0"/>
    <w:rPr>
      <w:rFonts w:hint="eastAsia" w:ascii="宋体" w:hAnsi="宋体" w:eastAsia="宋体" w:cs="宋体"/>
      <w:b/>
      <w:bCs/>
      <w:color w:val="000000"/>
      <w:sz w:val="36"/>
      <w:szCs w:val="36"/>
      <w:u w:val="none"/>
    </w:rPr>
  </w:style>
  <w:style w:type="character" w:customStyle="1" w:styleId="28">
    <w:name w:val="font31"/>
    <w:basedOn w:val="7"/>
    <w:qFormat/>
    <w:uiPriority w:val="0"/>
    <w:rPr>
      <w:rFonts w:hint="eastAsia"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package" Target="embeddings/Workbook2.xlsx"/><Relationship Id="rId7" Type="http://schemas.openxmlformats.org/officeDocument/2006/relationships/image" Target="media/image1.emf"/><Relationship Id="rId6" Type="http://schemas.openxmlformats.org/officeDocument/2006/relationships/package" Target="embeddings/Workbook1.xlsx"/><Relationship Id="rId5" Type="http://schemas.openxmlformats.org/officeDocument/2006/relationships/theme" Target="theme/theme1.xml"/><Relationship Id="rId40" Type="http://schemas.openxmlformats.org/officeDocument/2006/relationships/fontTable" Target="fontTable.xml"/><Relationship Id="rId4" Type="http://schemas.openxmlformats.org/officeDocument/2006/relationships/footer" Target="footer2.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chart" Target="charts/chart14.xml"/><Relationship Id="rId36" Type="http://schemas.openxmlformats.org/officeDocument/2006/relationships/chart" Target="charts/chart13.xml"/><Relationship Id="rId35" Type="http://schemas.openxmlformats.org/officeDocument/2006/relationships/chart" Target="charts/chart12.xml"/><Relationship Id="rId34" Type="http://schemas.openxmlformats.org/officeDocument/2006/relationships/chart" Target="charts/chart11.xml"/><Relationship Id="rId33" Type="http://schemas.openxmlformats.org/officeDocument/2006/relationships/chart" Target="charts/chart10.xml"/><Relationship Id="rId32" Type="http://schemas.openxmlformats.org/officeDocument/2006/relationships/chart" Target="charts/chart9.xml"/><Relationship Id="rId31" Type="http://schemas.openxmlformats.org/officeDocument/2006/relationships/chart" Target="charts/chart8.xml"/><Relationship Id="rId30" Type="http://schemas.openxmlformats.org/officeDocument/2006/relationships/chart" Target="charts/chart7.xml"/><Relationship Id="rId3" Type="http://schemas.openxmlformats.org/officeDocument/2006/relationships/footer" Target="footer1.xml"/><Relationship Id="rId29" Type="http://schemas.openxmlformats.org/officeDocument/2006/relationships/chart" Target="charts/chart6.xml"/><Relationship Id="rId28" Type="http://schemas.openxmlformats.org/officeDocument/2006/relationships/chart" Target="charts/chart5.xml"/><Relationship Id="rId27" Type="http://schemas.openxmlformats.org/officeDocument/2006/relationships/chart" Target="charts/chart4.xml"/><Relationship Id="rId26" Type="http://schemas.openxmlformats.org/officeDocument/2006/relationships/chart" Target="charts/chart3.xml"/><Relationship Id="rId25" Type="http://schemas.openxmlformats.org/officeDocument/2006/relationships/chart" Target="charts/chart2.xml"/><Relationship Id="rId24" Type="http://schemas.openxmlformats.org/officeDocument/2006/relationships/chart" Target="charts/chart1.xml"/><Relationship Id="rId23" Type="http://schemas.openxmlformats.org/officeDocument/2006/relationships/image" Target="media/image9.emf"/><Relationship Id="rId22" Type="http://schemas.openxmlformats.org/officeDocument/2006/relationships/package" Target="embeddings/Workbook9.xlsx"/><Relationship Id="rId21" Type="http://schemas.openxmlformats.org/officeDocument/2006/relationships/image" Target="media/image8.emf"/><Relationship Id="rId20" Type="http://schemas.openxmlformats.org/officeDocument/2006/relationships/package" Target="embeddings/Workbook8.xlsx"/><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package" Target="embeddings/Workbook7.xlsx"/><Relationship Id="rId17" Type="http://schemas.openxmlformats.org/officeDocument/2006/relationships/image" Target="media/image6.emf"/><Relationship Id="rId16" Type="http://schemas.openxmlformats.org/officeDocument/2006/relationships/package" Target="embeddings/Workbook6.xlsx"/><Relationship Id="rId15" Type="http://schemas.openxmlformats.org/officeDocument/2006/relationships/image" Target="media/image5.emf"/><Relationship Id="rId14" Type="http://schemas.openxmlformats.org/officeDocument/2006/relationships/package" Target="embeddings/Workbook5.xlsx"/><Relationship Id="rId13" Type="http://schemas.openxmlformats.org/officeDocument/2006/relationships/image" Target="media/image4.emf"/><Relationship Id="rId12" Type="http://schemas.openxmlformats.org/officeDocument/2006/relationships/package" Target="embeddings/Workbook4.xlsx"/><Relationship Id="rId11" Type="http://schemas.openxmlformats.org/officeDocument/2006/relationships/image" Target="media/image3.emf"/><Relationship Id="rId10" Type="http://schemas.openxmlformats.org/officeDocument/2006/relationships/package" Target="embeddings/Workbook3.xlsx"/><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0.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4.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5.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6.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Workbook23.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0.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8.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7.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9.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22.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其他收入</c:v>
                </c:pt>
              </c:strCache>
            </c:strRef>
          </c:cat>
          <c:val>
            <c:numRef>
              <c:f>Sheet1!$B$2:$B$3</c:f>
              <c:numCache>
                <c:formatCode>General</c:formatCode>
                <c:ptCount val="2"/>
                <c:pt idx="0">
                  <c:v>1886.51</c:v>
                </c:pt>
                <c:pt idx="1">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Sheet1!$A$4:$A$30</c:f>
              <c:strCache>
                <c:ptCount val="25"/>
                <c:pt idx="0">
                  <c:v>30203</c:v>
                </c:pt>
                <c:pt idx="1">
                  <c:v>30204</c:v>
                </c:pt>
                <c:pt idx="2">
                  <c:v>30205</c:v>
                </c:pt>
                <c:pt idx="3">
                  <c:v>30206</c:v>
                </c:pt>
                <c:pt idx="4">
                  <c:v>30207</c:v>
                </c:pt>
                <c:pt idx="5">
                  <c:v>30208</c:v>
                </c:pt>
                <c:pt idx="6">
                  <c:v>30209</c:v>
                </c:pt>
                <c:pt idx="7">
                  <c:v>30211</c:v>
                </c:pt>
                <c:pt idx="8">
                  <c:v>30212</c:v>
                </c:pt>
                <c:pt idx="9">
                  <c:v>30213</c:v>
                </c:pt>
                <c:pt idx="10">
                  <c:v>30214</c:v>
                </c:pt>
                <c:pt idx="11">
                  <c:v>30215</c:v>
                </c:pt>
                <c:pt idx="12">
                  <c:v>30216</c:v>
                </c:pt>
                <c:pt idx="13">
                  <c:v>30217</c:v>
                </c:pt>
                <c:pt idx="14">
                  <c:v>30218</c:v>
                </c:pt>
                <c:pt idx="15">
                  <c:v>30224</c:v>
                </c:pt>
                <c:pt idx="16">
                  <c:v>30225</c:v>
                </c:pt>
                <c:pt idx="17">
                  <c:v>30226</c:v>
                </c:pt>
                <c:pt idx="18">
                  <c:v>30227</c:v>
                </c:pt>
                <c:pt idx="19">
                  <c:v>30228</c:v>
                </c:pt>
                <c:pt idx="20">
                  <c:v>30229</c:v>
                </c:pt>
                <c:pt idx="21">
                  <c:v>30231</c:v>
                </c:pt>
                <c:pt idx="22">
                  <c:v>30239</c:v>
                </c:pt>
                <c:pt idx="23">
                  <c:v>30240</c:v>
                </c:pt>
                <c:pt idx="24">
                  <c:v>30299</c:v>
                </c:pt>
              </c:strCache>
            </c:strRef>
          </c:cat>
          <c:val>
            <c:numRef>
              <c:f>Sheet1!$B$4:$B$30</c:f>
              <c:numCache>
                <c:formatCode>General</c:formatCode>
                <c:ptCount val="27"/>
                <c:pt idx="2" c:formatCode="#,##0.00">
                  <c:v>0.63</c:v>
                </c:pt>
                <c:pt idx="3" c:formatCode="#,##0.00">
                  <c:v>5.18</c:v>
                </c:pt>
                <c:pt idx="4" c:formatCode="#,##0.00">
                  <c:v>1.49</c:v>
                </c:pt>
                <c:pt idx="7" c:formatCode="#,##0.00">
                  <c:v>12.42</c:v>
                </c:pt>
                <c:pt idx="11" c:formatCode="#,##0.00">
                  <c:v>0.56</c:v>
                </c:pt>
                <c:pt idx="19" c:formatCode="#,##0.00">
                  <c:v>21.11</c:v>
                </c:pt>
                <c:pt idx="24" c:formatCode="#,##0.00">
                  <c:v>1.14</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Sheet1!$A$2:$A$13</c:f>
              <c:strCach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strCache>
            </c:strRef>
          </c:cat>
          <c:val>
            <c:numRef>
              <c:f>Sheet1!$B$2:$B$13</c:f>
              <c:numCache>
                <c:formatCode>General</c:formatCode>
                <c:ptCount val="12"/>
                <c:pt idx="3" c:formatCode="#,##0.00">
                  <c:v>17.08</c:v>
                </c:pt>
                <c:pt idx="4" c:formatCode="#,##0.00">
                  <c:v>159.96</c:v>
                </c:pt>
                <c:pt idx="6" c:formatCode="#,##0.00">
                  <c:v>1.12</c:v>
                </c:pt>
                <c:pt idx="11" c:formatCode="#,##0.00">
                  <c:v>0.03</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Sheet1!$A$2:$A$6</c:f>
              <c:strCache>
                <c:ptCount val="5"/>
                <c:pt idx="0">
                  <c:v>一般公共服务支出</c:v>
                </c:pt>
                <c:pt idx="1">
                  <c:v>农林水支出
</c:v>
                </c:pt>
                <c:pt idx="2">
                  <c:v>社会保障和就业支出</c:v>
                </c:pt>
                <c:pt idx="3">
                  <c:v>灾害防治及应急管理支出</c:v>
                </c:pt>
                <c:pt idx="4">
                  <c:v>住房保障支出</c:v>
                </c:pt>
              </c:strCache>
            </c:strRef>
          </c:cat>
          <c:val>
            <c:numRef>
              <c:f>Sheet1!$B$2:$B$6</c:f>
              <c:numCache>
                <c:formatCode>General</c:formatCode>
                <c:ptCount val="5"/>
                <c:pt idx="0">
                  <c:v>21.25</c:v>
                </c:pt>
                <c:pt idx="1">
                  <c:v>1412.28</c:v>
                </c:pt>
                <c:pt idx="2">
                  <c:v>169.97</c:v>
                </c:pt>
                <c:pt idx="3">
                  <c:v>30</c:v>
                </c:pt>
                <c:pt idx="4">
                  <c:v>122.36</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Sheet1!$A$2:$A$6</c:f>
              <c:strCache>
                <c:ptCount val="5"/>
                <c:pt idx="0">
                  <c:v>一般公共服务支出</c:v>
                </c:pt>
                <c:pt idx="1">
                  <c:v>农林水支出
</c:v>
                </c:pt>
                <c:pt idx="2">
                  <c:v>社会保障和就业支出</c:v>
                </c:pt>
                <c:pt idx="3">
                  <c:v>灾害防治及应急管理支出</c:v>
                </c:pt>
                <c:pt idx="4">
                  <c:v>住房保障支出</c:v>
                </c:pt>
              </c:strCache>
            </c:strRef>
          </c:cat>
          <c:val>
            <c:numRef>
              <c:f>Sheet1!$C$2:$C$6</c:f>
              <c:numCache>
                <c:formatCode>General</c:formatCode>
                <c:ptCount val="5"/>
                <c:pt idx="0">
                  <c:v>21.11</c:v>
                </c:pt>
                <c:pt idx="1">
                  <c:v>1315.24</c:v>
                </c:pt>
                <c:pt idx="2">
                  <c:v>168.84</c:v>
                </c:pt>
                <c:pt idx="3">
                  <c:v>30</c:v>
                </c:pt>
                <c:pt idx="4">
                  <c:v>117.87</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21.11</c:v>
                </c:pt>
                <c:pt idx="1">
                  <c:v>21.11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manualLayout>
          <c:layoutTarget val="inner"/>
          <c:xMode val="edge"/>
          <c:yMode val="edge"/>
          <c:x val="0.108450704225352"/>
          <c:y val="0.276684940341825"/>
          <c:w val="0.842874896437448"/>
          <c:h val="0.421283456949371"/>
        </c:manualLayout>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168.84</c:v>
                </c:pt>
                <c:pt idx="1">
                  <c:v>168.84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sz="1100"/>
              <a:t>农林水支出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Sheet1!$A$2:$A$5</c:f>
              <c:numCache>
                <c:formatCode>General</c:formatCode>
                <c:ptCount val="4"/>
                <c:pt idx="0">
                  <c:v>2130104</c:v>
                </c:pt>
                <c:pt idx="1">
                  <c:v>2130112</c:v>
                </c:pt>
                <c:pt idx="2">
                  <c:v>2130204</c:v>
                </c:pt>
                <c:pt idx="3">
                  <c:v>2130205</c:v>
                </c:pt>
              </c:numCache>
            </c:numRef>
          </c:cat>
          <c:val>
            <c:numRef>
              <c:f>Sheet1!$B$2:$B$5</c:f>
              <c:numCache>
                <c:formatCode>General</c:formatCode>
                <c:ptCount val="4"/>
                <c:pt idx="0">
                  <c:v>2.65</c:v>
                </c:pt>
                <c:pt idx="2">
                  <c:v>1238.51</c:v>
                </c:pt>
                <c:pt idx="3">
                  <c:v>51.51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住房公积金</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117.87</c:v>
                </c:pt>
                <c:pt idx="1">
                  <c:v>117.87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sz="1100"/>
              <a:t>灾害防治及应急管理支出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2249999</c:v>
                </c:pt>
              </c:numCache>
            </c:numRef>
          </c:cat>
          <c:val>
            <c:numRef>
              <c:f>Sheet1!$B$2:$B$3</c:f>
              <c:numCache>
                <c:formatCode>General</c:formatCode>
                <c:ptCount val="2"/>
                <c:pt idx="0">
                  <c:v>30</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sz="1100"/>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226.46</c:v>
                </c:pt>
                <c:pt idx="1">
                  <c:v>226.46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Sheet1!$A$2:$A$14</c:f>
              <c:strCach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strCache>
            </c:strRef>
          </c:cat>
          <c:val>
            <c:numRef>
              <c:f>Sheet1!$B$2:$B$14</c:f>
              <c:numCache>
                <c:formatCode>General</c:formatCode>
                <c:ptCount val="13"/>
                <c:pt idx="0">
                  <c:v>442.13</c:v>
                </c:pt>
                <c:pt idx="1">
                  <c:v>96.84</c:v>
                </c:pt>
                <c:pt idx="2">
                  <c:v>240.14</c:v>
                </c:pt>
                <c:pt idx="3">
                  <c:v>0</c:v>
                </c:pt>
                <c:pt idx="4">
                  <c:v>228.24</c:v>
                </c:pt>
                <c:pt idx="5">
                  <c:v>170.1</c:v>
                </c:pt>
                <c:pt idx="7">
                  <c:v>67.01</c:v>
                </c:pt>
                <c:pt idx="8">
                  <c:v>0</c:v>
                </c:pt>
                <c:pt idx="9">
                  <c:v>7.6</c:v>
                </c:pt>
                <c:pt idx="10">
                  <c:v>117.87</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6845</Words>
  <Characters>8508</Characters>
  <Paragraphs>576</Paragraphs>
  <TotalTime>11</TotalTime>
  <ScaleCrop>false</ScaleCrop>
  <LinksUpToDate>false</LinksUpToDate>
  <CharactersWithSpaces>9029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Ran</cp:lastModifiedBy>
  <cp:lastPrinted>2023-11-20T00:34:00Z</cp:lastPrinted>
  <dcterms:modified xsi:type="dcterms:W3CDTF">2024-12-25T10:37:58Z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98C154F406674B118A4DDF3140B8C389_13</vt:lpwstr>
  </property>
</Properties>
</file>