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w:t>
      </w:r>
      <w:r>
        <w:rPr>
          <w:rFonts w:hint="eastAsia" w:ascii="黑体" w:hAnsi="黑体" w:eastAsia="黑体" w:cs="黑体"/>
          <w:b/>
          <w:bCs/>
          <w:sz w:val="52"/>
          <w:szCs w:val="52"/>
          <w:highlight w:val="none"/>
          <w:lang w:eastAsia="zh-CN"/>
        </w:rPr>
        <w:t>卫生健康局</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表一：收入支出决算总表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表二：收入决算表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表三：支出决算表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表四：财政拨款收入支出决算总表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表五：一般公共预算财政拨款支出决算表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表六：一般公共预算财政拨款基本支出决算明细表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表七：政府性基金预算财政拨款收入支出决算表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表八：国有资本经营预算财政拨款支出决算表</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表九：财政拨款安排的“三公”经费支出决算表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年度收入支出决算总体情况。</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年度一般公共预算财政拨款支出决算情况。</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年度一般公共预算财政拨款基本支出决算情况说明。</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年度政府性基金支出决算情况。</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年度国有资本经营预算支出决算情况</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六、财政拨款安排的“三公”经费支出决算情况说明。</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七、其他重要事项情况说明。</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八、</w:t>
      </w:r>
      <w:r>
        <w:rPr>
          <w:rFonts w:hint="eastAsia" w:ascii="仿宋" w:hAnsi="仿宋" w:eastAsia="仿宋" w:cs="仿宋"/>
          <w:sz w:val="32"/>
          <w:szCs w:val="32"/>
          <w:highlight w:val="none"/>
        </w:rPr>
        <w:t>预算绩效管理工作开展情况。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卫生健康局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根据《环江毛南族自治县人民政府办公室关于印发环江毛南族自治县卫生和计划生育委员会主要职责内设机构和人员编制规定的通知》（环政办发[2015]168号）文件规定，本部门主要职责是： </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贯彻落实党和国家、自治区、河池市和自治县关于卫生和计划生育、中医药民族医药事业发展的法律法规和方针政策。起草卫生和计划生育、中医药民族医药事业发展的规范性文件草案，拟定自治县卫生和计划生育规划和政策措施。配合推进全县医药卫生体制改革，负责统筹规划全县卫生和计划生育服务资源配置，负责全县卫生和计划生育规划的编制和实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负责制定全县疾病预防控制规划、免疫规划、严重危害人民健康的公共卫生问题的干预措施并组织实施，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3.负责制定职责范围内的职业卫生、放射卫生、环境卫生、学校卫生、公共场所卫生、饮用水卫生管理规范、标准和政策措施，组织开展相关监测、调查、评估和监督，负责传染病防治等工作。组织开展食品安全风险监测和风险评估，组织开展食品安全重大事故流行病学调查处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4.负责组织拟订并实施基层卫生和计划生育服务、妇幼卫生发展规划和政策措施，推进基层卫生和计划生育、妇幼卫生服务体系建设，推进基本公共卫生和计划生育服务均等化，完善基层运行新机制和乡村医生管理制度。</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5.负责制定全县医疗机构和医疗服务全行业管理办法并监督实施。组织实施国家、自治区和河池市制定的医疗机构及其医疗服务、医疗技术、医疗质量、医疗安全以及采供血机构管理的规范和标准，会同有关部门组织实施卫生专业技术人员准入制度，组织实施卫生专业技术执业规则和服务规范，建立医疗服务评价和监督管理体系。</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6.负责组织推进公立医院改革，建立公益性为导向的绩效考核和评价运行机制，建设和谐医患关系，提出医疗服务和药品价格政策的建议。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7.组织实施国家药物政策和基本药物制度，提出基本药物目录内药品生产的鼓励扶持政策和基本药物价格政策的建议。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8.贯彻落实国家计划生育政策，组织实施促进出生人口性别平衡的政策措施，组织监测计划生育发展动态，提出发布计划生育安全预警预报信息建议。落实计划生育技术服务管理和监督工作。组织实施优生优育和提高出生人口素质的政策措施，推动实施计划生育健康促进计划，降低出生缺陷人口数量。</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9.组织建立计划生育利益导向、计划生育特殊困难家庭扶助和促进计划生育家庭发展等机制。负责协调推进有关部门、群众团体履行计划生育工作相关职责，建立与经济社会政策的衔接机制，提出稳定低生育水平政策措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10.制定流动人口计划生育服务管理制度并组织落实，推动建立流动人口卫生和计划生育信息共享和公共服务工作机制。</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11.组织拟订全县卫生和计划生育人才发展规划，指导卫生和计划生育人才队伍建设。加强全科医生等急需紧缺专业人才培养，建立完善住院医师和专科医师规范化培训制度并指导实施。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12.组织拟订全县卫生和计划生育科技发展规划，组织实施卫生和计划生育相关科研项目。组织实施毕业后医学教育和继续医学教育。</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13.指导全县卫生和计划生育工作，完善综合监督执法体系，规范执法行为，监督检查法律法规和政策措施的落实，组织查处重大违法行为。组织实施人口和计划生育目标管理责任制的考评工作。落实计划生育一票否决制。</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14.负责卫生和计划生育宣传、健康教育和健康促进等工作。组织指导卫生和计划生育涉外工作的交流与合作。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15.负责拟订全县卫生和计划生育信息化发展规划，负责组织指导全县卫生和计划生育信息化建设，做好信息平台建设与运行维护管理，依法组织实施统计调查，做好全县人口基础信息库建设。</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16.指导制定中医药民族医药中长期发展规划，并纳入卫生和计划生育事业发展总体规划和战略目标。</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17.协调有关部门对全县艾滋病实施防控和干预，控制艾滋病的发生和蔓延。</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18.负责全县保健对象的医疗保健工作和有关部门干部医疗管理工作，负责重要会议和重大活动的医疗卫生保障工作。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19.承担自治县爱国卫生运动委员会、自治县艾滋病防治工作委员会、自治县初级卫生保健工作委员会的日常工作。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20.承担老龄服务工作。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21.承办自治县人民政府交办的其他事项。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hint="default"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Calibri" w:eastAsia="仿宋_GB2312" w:cs="Times New Roman"/>
          <w:sz w:val="32"/>
          <w:szCs w:val="32"/>
          <w:lang w:eastAsia="zh-CN"/>
        </w:rPr>
        <w:t>2023年</w:t>
      </w:r>
      <w:r>
        <w:rPr>
          <w:rFonts w:hint="eastAsia" w:ascii="仿宋_GB2312" w:hAnsi="Calibri" w:eastAsia="仿宋_GB2312" w:cs="Times New Roman"/>
          <w:sz w:val="32"/>
          <w:szCs w:val="32"/>
        </w:rPr>
        <w:t>部门决算共</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个，</w:t>
      </w:r>
      <w:r>
        <w:rPr>
          <w:rFonts w:hint="eastAsia" w:ascii="仿宋_GB2312" w:hAnsi="Calibri" w:eastAsia="仿宋_GB2312" w:cs="Times New Roman"/>
          <w:sz w:val="32"/>
          <w:szCs w:val="32"/>
          <w:lang w:eastAsia="zh-CN"/>
        </w:rPr>
        <w:t>为</w:t>
      </w:r>
      <w:r>
        <w:rPr>
          <w:rFonts w:hint="eastAsia" w:ascii="仿宋_GB2312" w:hAnsi="Calibri" w:eastAsia="仿宋_GB2312" w:cs="Times New Roman"/>
          <w:sz w:val="32"/>
          <w:szCs w:val="32"/>
        </w:rPr>
        <w:t>卫</w:t>
      </w:r>
      <w:r>
        <w:rPr>
          <w:rFonts w:hint="eastAsia" w:ascii="仿宋_GB2312" w:hAnsi="Calibri" w:eastAsia="仿宋_GB2312" w:cs="Times New Roman"/>
          <w:sz w:val="32"/>
          <w:szCs w:val="32"/>
          <w:lang w:eastAsia="zh-CN"/>
        </w:rPr>
        <w:t>健局</w:t>
      </w:r>
      <w:r>
        <w:rPr>
          <w:rFonts w:hint="eastAsia" w:ascii="仿宋_GB2312" w:hAnsi="Calibri" w:eastAsia="仿宋_GB2312" w:cs="Times New Roman"/>
          <w:sz w:val="32"/>
          <w:szCs w:val="32"/>
        </w:rPr>
        <w:t>本级行政单位</w:t>
      </w:r>
      <w:r>
        <w:rPr>
          <w:rFonts w:hint="eastAsia" w:ascii="仿宋_GB2312" w:hAnsi="Calibri" w:eastAsia="仿宋_GB2312" w:cs="Times New Roman"/>
          <w:sz w:val="32"/>
          <w:szCs w:val="32"/>
          <w:lang w:eastAsia="zh-CN"/>
        </w:rPr>
        <w:t>。按照部门决算编报要求，单独编制本部门决算。</w: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24"/>
        <w:gridCol w:w="829"/>
        <w:gridCol w:w="1386"/>
        <w:gridCol w:w="4446"/>
        <w:gridCol w:w="829"/>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1" w:type="dxa"/>
            <w:gridSpan w:val="6"/>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pPr>
        <w:pStyle w:val="2"/>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37"/>
        <w:gridCol w:w="4170"/>
        <w:gridCol w:w="1455"/>
        <w:gridCol w:w="1920"/>
        <w:gridCol w:w="1155"/>
        <w:gridCol w:w="840"/>
        <w:gridCol w:w="885"/>
        <w:gridCol w:w="1425"/>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907" w:type="pct"/>
            <w:gridSpan w:val="2"/>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7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0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907" w:type="pct"/>
            <w:gridSpan w:val="2"/>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51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7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0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9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47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9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7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9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8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9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2,596.41</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2,596.41</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群众团体事务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其他群众团体事务支出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卫生健康管理事务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661.42</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661.42</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2100101</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558.07</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558.07</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其他卫生健康管理事务支出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103.35</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103.35</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306.34</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306.34</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2100402</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卫生监督机构</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2100408</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重大公共卫生服务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突发公共卫生事件应急处理</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179.65</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179.65</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计划生育事务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1,341.31</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1,341.31</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2100717</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计划生育服务</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1,195.80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1,195.80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其他计划生育事务支出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145.51</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145.51</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1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pPr>
        <w:rPr>
          <w:rFonts w:ascii="宋体" w:hAnsi="宋体" w:eastAsia="宋体" w:cs="宋体"/>
          <w:color w:val="000000"/>
          <w:kern w:val="0"/>
          <w:sz w:val="30"/>
          <w:szCs w:val="30"/>
          <w:highlight w:val="none"/>
          <w:lang w:bidi="ar"/>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62"/>
        <w:gridCol w:w="4230"/>
        <w:gridCol w:w="1620"/>
        <w:gridCol w:w="1485"/>
        <w:gridCol w:w="1530"/>
        <w:gridCol w:w="930"/>
        <w:gridCol w:w="906"/>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174" w:type="dxa"/>
            <w:gridSpan w:val="8"/>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4174" w:type="dxa"/>
            <w:gridSpan w:val="8"/>
            <w:tcBorders>
              <w:top w:val="nil"/>
              <w:left w:val="nil"/>
              <w:bottom w:val="nil"/>
              <w:right w:val="nil"/>
            </w:tcBorders>
            <w:shd w:val="clear"/>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992" w:type="dxa"/>
            <w:gridSpan w:val="2"/>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162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906"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99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42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99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6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1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99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2,596.41</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670.11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1,926.30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群众团体事务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其他群众团体事务支出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518.49</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1,790.59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661.42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518.49</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2100101</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558.07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469.13</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88.94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其他卫生健康管理事务支出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306.34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2100402</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卫生监督机构</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2100408</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重大公共卫生服务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计划生育事务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1,341.31</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1,341.31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2100717</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计划生育服务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1,195.80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1,195.80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其他计划生育事务支出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145.51</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4174"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pStyle w:val="2"/>
        <w:rPr>
          <w:rFonts w:ascii="仿宋" w:hAnsi="仿宋" w:eastAsia="仿宋" w:cs="仿宋"/>
          <w:sz w:val="24"/>
          <w:highlight w:val="none"/>
        </w:rPr>
      </w:pPr>
    </w:p>
    <w:p>
      <w:pPr>
        <w:rPr>
          <w:rFonts w:ascii="仿宋" w:hAnsi="仿宋" w:eastAsia="仿宋" w:cs="仿宋"/>
          <w:sz w:val="24"/>
          <w:highlight w:val="none"/>
        </w:rPr>
      </w:pPr>
    </w:p>
    <w:p>
      <w:pPr>
        <w:pStyle w:val="2"/>
        <w:rPr>
          <w:rFonts w:ascii="仿宋" w:hAnsi="仿宋" w:eastAsia="仿宋" w:cs="仿宋"/>
          <w:sz w:val="24"/>
          <w:highlight w:val="none"/>
        </w:rPr>
      </w:pPr>
    </w:p>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357"/>
        <w:gridCol w:w="568"/>
        <w:gridCol w:w="1125"/>
        <w:gridCol w:w="3580"/>
        <w:gridCol w:w="568"/>
        <w:gridCol w:w="1125"/>
        <w:gridCol w:w="1348"/>
        <w:gridCol w:w="1013"/>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0" w:type="auto"/>
            <w:gridSpan w:val="9"/>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2,596.41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58"/>
        <w:gridCol w:w="4127"/>
        <w:gridCol w:w="2252"/>
        <w:gridCol w:w="2865"/>
        <w:gridCol w:w="3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000" w:type="pct"/>
            <w:gridSpan w:val="5"/>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881" w:type="pct"/>
            <w:gridSpan w:val="4"/>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18"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5" w:type="pct"/>
            <w:gridSpan w:val="2"/>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79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10"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18"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07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292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7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11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7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7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07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7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07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2,596.41</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670.11</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群众团体事务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其他群众团体事务支出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2,309.08</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518.49</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卫生健康管理事务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661.42</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518.49</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2100101</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558.07</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469.13</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2100199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其他卫生健康管理事务支出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103.35</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49.35</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306.34</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2100402</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卫生监督机构</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2100408</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重大公共卫生服务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突发公共卫生事件应急处理</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179.65</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计划生育事务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1,341.31</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2100717</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计划生育服务</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1,195.80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2100799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其他计划生育事务支出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145.51</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21.67</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21.67</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14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w:t>
            </w:r>
          </w:p>
        </w:tc>
        <w:tc>
          <w:tcPr>
            <w:tcW w:w="10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21.67</w:t>
            </w:r>
          </w:p>
        </w:tc>
        <w:tc>
          <w:tcPr>
            <w:tcW w:w="1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00" w:type="pct"/>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W w:w="142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09"/>
        <w:gridCol w:w="2745"/>
        <w:gridCol w:w="1088"/>
        <w:gridCol w:w="1027"/>
        <w:gridCol w:w="2011"/>
        <w:gridCol w:w="1064"/>
        <w:gridCol w:w="825"/>
        <w:gridCol w:w="3762"/>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269" w:type="dxa"/>
            <w:gridSpan w:val="9"/>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09"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74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88"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27"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1"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0" w:type="dxa"/>
            <w:gridSpan w:val="2"/>
            <w:tcBorders>
              <w:top w:val="nil"/>
              <w:left w:val="nil"/>
              <w:bottom w:val="nil"/>
              <w:right w:val="nil"/>
            </w:tcBorders>
            <w:shd w:val="clear"/>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869" w:type="dxa"/>
            <w:gridSpan w:val="4"/>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2011"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0" w:type="dxa"/>
            <w:gridSpan w:val="2"/>
            <w:tcBorders>
              <w:top w:val="nil"/>
              <w:left w:val="nil"/>
              <w:bottom w:val="nil"/>
              <w:right w:val="nil"/>
            </w:tcBorders>
            <w:shd w:val="clear"/>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4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942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7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591.61</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31.38</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190.39</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72.93</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77.22</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100.07</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69.15</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3.41</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28.10</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51.88</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47.12</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45.59</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0.04</w:t>
            </w: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201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75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638.73</w:t>
            </w:r>
          </w:p>
        </w:tc>
        <w:tc>
          <w:tcPr>
            <w:tcW w:w="868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4269"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96"/>
        <w:gridCol w:w="222"/>
        <w:gridCol w:w="222"/>
        <w:gridCol w:w="1096"/>
        <w:gridCol w:w="436"/>
        <w:gridCol w:w="6318"/>
        <w:gridCol w:w="436"/>
        <w:gridCol w:w="436"/>
        <w:gridCol w:w="43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000" w:type="pct"/>
            <w:gridSpan w:val="10"/>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05"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60"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40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05"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7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60"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40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21"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24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60"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6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6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21"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21"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6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96"/>
        <w:gridCol w:w="222"/>
        <w:gridCol w:w="222"/>
        <w:gridCol w:w="1096"/>
        <w:gridCol w:w="7043"/>
        <w:gridCol w:w="953"/>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3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1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国有资本经营预算财政拨款支出决算表</w:t>
            </w:r>
          </w:p>
        </w:tc>
        <w:tc>
          <w:tcPr>
            <w:tcW w:w="76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3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1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34"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1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1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57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242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57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7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57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pStyle w:val="2"/>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96"/>
        <w:gridCol w:w="876"/>
        <w:gridCol w:w="766"/>
        <w:gridCol w:w="436"/>
        <w:gridCol w:w="766"/>
        <w:gridCol w:w="3477"/>
        <w:gridCol w:w="656"/>
        <w:gridCol w:w="876"/>
        <w:gridCol w:w="656"/>
        <w:gridCol w:w="436"/>
        <w:gridCol w:w="656"/>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000" w:type="pct"/>
            <w:gridSpan w:val="12"/>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6"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79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部门：环江毛南族自治县卫生健康局</w:t>
            </w:r>
          </w:p>
        </w:tc>
        <w:tc>
          <w:tcPr>
            <w:tcW w:w="26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792"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0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557"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1442"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60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7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541"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23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7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20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9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0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0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3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13.30</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w:t>
            </w:r>
          </w:p>
        </w:tc>
        <w:tc>
          <w:tcPr>
            <w:tcW w:w="1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2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9.29</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5000" w:type="pct"/>
            <w:gridSpan w:val="12"/>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u w:color="auto"/>
          <w:lang w:val="en-US" w:eastAsia="zh-CN"/>
        </w:rPr>
        <w:t>2596.41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增加17.19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增长0.7</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2596.41</w:t>
      </w:r>
      <w:r>
        <w:rPr>
          <w:rFonts w:hint="eastAsia" w:ascii="仿宋" w:hAnsi="仿宋" w:eastAsia="仿宋" w:cs="仿宋"/>
          <w:kern w:val="2"/>
          <w:sz w:val="32"/>
          <w:szCs w:val="32"/>
          <w:highlight w:val="none"/>
          <w:lang w:val="en-US" w:eastAsia="zh-CN" w:bidi="ar"/>
        </w:rPr>
        <w:t>万元，为本级财政当年拨付的资金。较2022年度决算数</w:t>
      </w:r>
      <w:r>
        <w:rPr>
          <w:rFonts w:hint="eastAsia" w:ascii="仿宋" w:hAnsi="仿宋" w:eastAsia="仿宋" w:cs="仿宋"/>
          <w:sz w:val="32"/>
          <w:u w:color="auto"/>
          <w:lang w:val="en-US" w:eastAsia="zh-CN"/>
        </w:rPr>
        <w:t>增加17.19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highlight w:val="none"/>
          <w:lang w:val="en-US" w:eastAsia="zh-CN"/>
        </w:rPr>
        <w:t>增长0.7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主要原因：人员变动增加</w:t>
      </w:r>
      <w:r>
        <w:rPr>
          <w:rFonts w:hint="eastAsia" w:ascii="仿宋_GB2312" w:hAns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w:t>
      </w:r>
      <w:r>
        <w:rPr>
          <w:rFonts w:hint="eastAsia" w:ascii="仿宋" w:hAnsi="仿宋" w:eastAsia="仿宋" w:cs="仿宋"/>
          <w:color w:val="auto"/>
          <w:kern w:val="2"/>
          <w:sz w:val="32"/>
          <w:szCs w:val="32"/>
          <w:highlight w:val="none"/>
          <w:lang w:val="en-US" w:eastAsia="zh-CN" w:bidi="ar"/>
        </w:rPr>
        <w:t>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，主要原因：本部门2023年度没有政府性基金预算财政拨款收入，也没有政府性基金预算财政拨款安排的支出。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，主要原因是：本部门2023年度没有国有资本经营预算财政拨款收入，也没有国有资本经营预算财政拨款安排的支出。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color w:val="auto"/>
          <w:kern w:val="2"/>
          <w:sz w:val="32"/>
          <w:szCs w:val="32"/>
          <w:highlight w:val="none"/>
          <w:lang w:val="en-US" w:eastAsia="zh-CN" w:bidi="ar"/>
        </w:rPr>
        <w:t>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8.上年结转和结余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万元，较2022年度决算数</w:t>
      </w:r>
      <w:r>
        <w:rPr>
          <w:rFonts w:hint="eastAsia" w:ascii="仿宋" w:hAnsi="仿宋" w:eastAsia="仿宋" w:cs="仿宋"/>
          <w:sz w:val="32"/>
          <w:u w:color="auto"/>
          <w:lang w:val="en-US" w:eastAsia="zh-CN"/>
        </w:rPr>
        <w:t>增减0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增减0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：年度内项目已在本年执行完毕，不需要结转至下年继续执行。</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val="en-US" w:eastAsia="zh-CN"/>
        </w:rPr>
        <w:t>2596.41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增加17.19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增长0.7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1</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8.94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单位工会预算活动支出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val="en-US" w:eastAsia="zh-CN" w:bidi="ar"/>
        </w:rPr>
        <w:t>减少107.93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减少92.35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主要原因是：2022年工会经费预算由卫健局做卫健系统二层预算，2023年由各单位自行新增该项目。</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u w:color="auto"/>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7</w:t>
      </w:r>
      <w:r>
        <w:rPr>
          <w:rFonts w:ascii="Calibri" w:hAnsi="Calibri" w:eastAsia="宋体" w:cs="Times New Roman"/>
          <w:highlight w:val="none"/>
          <w:lang w:bidi="ar"/>
        </w:rPr>
        <w:t xml:space="preserve"> </w:t>
      </w:r>
      <w:r>
        <w:rPr>
          <w:rFonts w:hint="eastAsia" w:ascii="Calibri" w:hAnsi="Calibri" w:eastAsia="宋体" w:cs="Times New Roman"/>
          <w:highlight w:val="none"/>
          <w:lang w:eastAsia="zh-CN" w:bidi="ar"/>
        </w:rPr>
        <w:t>）</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卫生健康科普基地宣传、摄制费用</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是：本年新增项目支出。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69.15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增加0.87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是：年中人员变动。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2309.08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方面的支出；二是卫生计生项目类支出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增加125.98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增加5.77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年内人员及计生项目支出增加。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u w:color="auto"/>
          <w:lang w:val="en-US" w:eastAsia="zh-CN"/>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69.37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卫生健康人才能力提升培训支出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val="en-US" w:eastAsia="zh-CN" w:bidi="ar"/>
        </w:rPr>
        <w:t>增加39.37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增加131.23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主要原因是：2023年该项目培训费增加。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51.88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w:t>
      </w:r>
      <w:r>
        <w:rPr>
          <w:rFonts w:hint="eastAsia" w:ascii="仿宋" w:hAnsi="仿宋" w:eastAsia="仿宋" w:cs="仿宋"/>
          <w:color w:val="auto"/>
          <w:sz w:val="32"/>
          <w:szCs w:val="32"/>
          <w:highlight w:val="none"/>
        </w:rPr>
        <w:t>算数</w:t>
      </w:r>
      <w:r>
        <w:rPr>
          <w:rFonts w:hint="eastAsia" w:ascii="仿宋" w:hAnsi="仿宋" w:eastAsia="仿宋" w:cs="仿宋"/>
          <w:color w:val="auto"/>
          <w:sz w:val="32"/>
          <w:szCs w:val="32"/>
          <w:highlight w:val="none"/>
          <w:lang w:val="en-US" w:eastAsia="zh-CN" w:bidi="ar"/>
        </w:rPr>
        <w:t>增加1.12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增加2.2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主要原因是：人员变动及基数调整。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lang w:val="en-US"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卫生健康局2023年</w:t>
      </w:r>
      <w:r>
        <w:rPr>
          <w:rFonts w:hint="eastAsia" w:ascii="仿宋" w:hAnsi="仿宋" w:eastAsia="仿宋" w:cs="仿宋"/>
          <w:sz w:val="32"/>
          <w:szCs w:val="32"/>
          <w:highlight w:val="none"/>
        </w:rPr>
        <w:t>度一般公共预算财政拨款支</w:t>
      </w:r>
      <w:r>
        <w:rPr>
          <w:rFonts w:hint="eastAsia" w:ascii="仿宋" w:hAnsi="仿宋" w:eastAsia="仿宋" w:cs="仿宋"/>
          <w:sz w:val="32"/>
          <w:u w:color="auto"/>
          <w:lang w:val="en-US" w:eastAsia="zh-CN"/>
        </w:rPr>
        <w:t>2596.41</w:t>
      </w:r>
      <w:r>
        <w:rPr>
          <w:rFonts w:hint="eastAsia" w:ascii="仿宋" w:hAnsi="仿宋" w:eastAsia="仿宋" w:cs="仿宋"/>
          <w:sz w:val="32"/>
          <w:szCs w:val="32"/>
          <w:highlight w:val="none"/>
        </w:rPr>
        <w:t>万元，较2022年度决算数增加17.19万元，增长0.7%。其中：基本支出</w:t>
      </w:r>
      <w:r>
        <w:rPr>
          <w:rFonts w:hint="eastAsia" w:ascii="仿宋" w:hAnsi="仿宋" w:eastAsia="仿宋" w:cs="仿宋"/>
          <w:sz w:val="32"/>
          <w:u w:color="auto"/>
          <w:lang w:val="en-US" w:eastAsia="zh-CN"/>
        </w:rPr>
        <w:t>670.11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1926.3</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1589.82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2596.41</w:t>
      </w:r>
      <w:r>
        <w:rPr>
          <w:rFonts w:hint="eastAsia" w:ascii="仿宋" w:hAnsi="仿宋" w:eastAsia="仿宋" w:cs="仿宋"/>
          <w:sz w:val="32"/>
          <w:szCs w:val="32"/>
          <w:highlight w:val="none"/>
        </w:rPr>
        <w:t>万元，完成年初预算的</w:t>
      </w:r>
      <w:r>
        <w:rPr>
          <w:rFonts w:ascii="仿宋" w:hAnsi="仿宋" w:eastAsia="仿宋" w:cs="仿宋"/>
          <w:sz w:val="32"/>
          <w:u w:color="auto"/>
        </w:rPr>
        <w:t>1</w:t>
      </w:r>
      <w:r>
        <w:rPr>
          <w:rFonts w:hint="eastAsia" w:ascii="仿宋" w:hAnsi="仿宋" w:eastAsia="仿宋" w:cs="仿宋"/>
          <w:sz w:val="32"/>
          <w:u w:color="auto"/>
          <w:lang w:val="en-US" w:eastAsia="zh-CN"/>
        </w:rPr>
        <w:t>63.31</w:t>
      </w:r>
      <w:r>
        <w:rPr>
          <w:rFonts w:ascii="仿宋" w:hAnsi="仿宋" w:eastAsia="仿宋" w:cs="仿宋"/>
          <w:sz w:val="32"/>
          <w:u w:color="auto"/>
        </w:rPr>
        <w:t>%</w:t>
      </w:r>
      <w:r>
        <w:rPr>
          <w:rFonts w:hint="eastAsia" w:ascii="仿宋" w:hAnsi="仿宋" w:eastAsia="仿宋" w:cs="仿宋"/>
          <w:sz w:val="32"/>
          <w:szCs w:val="32"/>
          <w:highlight w:val="none"/>
        </w:rPr>
        <w:t>。</w:t>
      </w:r>
    </w:p>
    <w:p>
      <w:pPr>
        <w:pStyle w:val="2"/>
        <w:numPr>
          <w:ilvl w:val="0"/>
          <w:numId w:val="1"/>
        </w:numPr>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1</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8.94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单位工会活动支出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val="en-US" w:eastAsia="zh-CN" w:bidi="ar"/>
        </w:rPr>
        <w:t>减少107.93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减少92.35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主要原因是：2022年工会经费预算由卫健局做卫健系统二层预算，2023年由各单位自行新增该项目。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8.94</w:t>
            </w: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单位工会活动支出</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2022年工会经费预算由卫健局做卫健系统二层预算，2023年由各单位自行新增该项目。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8.94</w:t>
            </w: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widowControl w:val="0"/>
        <w:numPr>
          <w:numId w:val="0"/>
        </w:numPr>
        <w:jc w:val="both"/>
        <w:rPr>
          <w:rFonts w:hint="default"/>
          <w:lang w:val="en-US" w:eastAsia="zh-CN"/>
        </w:rPr>
      </w:pPr>
    </w:p>
    <w:p>
      <w:pPr>
        <w:pStyle w:val="2"/>
        <w:rPr>
          <w:rFonts w:hint="default"/>
          <w:lang w:val="en-US" w:eastAsia="zh-CN"/>
        </w:rPr>
      </w:pPr>
    </w:p>
    <w:p>
      <w:pPr>
        <w:keepNext w:val="0"/>
        <w:keepLines w:val="0"/>
        <w:widowControl w:val="0"/>
        <w:numPr>
          <w:numId w:val="0"/>
        </w:numPr>
        <w:suppressLineNumbers w:val="0"/>
        <w:spacing w:before="0" w:beforeAutospacing="0" w:after="0" w:afterAutospacing="0"/>
        <w:ind w:right="0" w:rightChars="0"/>
        <w:jc w:val="left"/>
        <w:rPr>
          <w:rFonts w:hint="eastAsia" w:ascii="仿宋" w:hAnsi="仿宋" w:eastAsia="仿宋" w:cs="仿宋"/>
          <w:bCs/>
          <w:color w:val="auto"/>
          <w:spacing w:val="0"/>
          <w:kern w:val="0"/>
          <w:sz w:val="32"/>
          <w:szCs w:val="32"/>
          <w:highlight w:val="none"/>
          <w:lang w:val="en-US" w:eastAsia="zh-CN" w:bidi="ar-SA"/>
        </w:rPr>
      </w:pPr>
      <w:bookmarkStart w:id="1" w:name="OLE_LINK2"/>
      <w:bookmarkEnd w:id="1"/>
      <w:r>
        <w:rPr>
          <w:rFonts w:hint="eastAsia" w:ascii="仿宋" w:hAnsi="仿宋" w:eastAsia="仿宋" w:cs="仿宋"/>
          <w:bCs/>
          <w:color w:val="auto"/>
          <w:spacing w:val="0"/>
          <w:kern w:val="0"/>
          <w:sz w:val="32"/>
          <w:szCs w:val="32"/>
          <w:highlight w:val="none"/>
          <w:lang w:val="en-US" w:eastAsia="zh-CN" w:bidi="ar-SA"/>
        </w:rPr>
        <w:t>　　（二）文化旅游体育与传媒支出（207类）年初预算为0万元，支出决算为2万元，完成年初预算的100%。预决算存有差异原因是：年初无预算，该项资金由宣传部调整指标至卫健局拨付。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用于支付卫生健康科普基地摄制、宣传费用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年初无预算，该项资金由宣传部调整指标至卫健局拨付。</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w:t>
      </w:r>
    </w:p>
    <w:p>
      <w:pPr>
        <w:jc w:val="left"/>
        <w:rPr>
          <w:rFonts w:hint="eastAsia" w:ascii="仿宋" w:hAnsi="仿宋" w:eastAsia="仿宋"/>
          <w:sz w:val="32"/>
          <w:szCs w:val="32"/>
          <w:highlight w:val="none"/>
        </w:rPr>
      </w:pPr>
      <w:r>
        <w:rPr>
          <w:rFonts w:hint="eastAsia" w:ascii="仿宋" w:hAnsi="仿宋" w:eastAsia="仿宋" w:cs="仿宋"/>
          <w:sz w:val="32"/>
          <w:szCs w:val="32"/>
          <w:highlight w:val="none"/>
          <w:lang w:eastAsia="zh-CN" w:bidi="ar"/>
        </w:rPr>
        <w:t>　（</w:t>
      </w:r>
      <w:r>
        <w:rPr>
          <w:rFonts w:hint="eastAsia" w:ascii="仿宋" w:hAnsi="仿宋" w:eastAsia="仿宋" w:cs="仿宋"/>
          <w:sz w:val="32"/>
          <w:szCs w:val="32"/>
          <w:highlight w:val="none"/>
          <w:lang w:val="en-US" w:eastAsia="zh-CN" w:bidi="ar"/>
        </w:rPr>
        <w:t>三）</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69.15万元：主要用于：机关事业单位基本养老保险缴费支出。较2022年度决算数增加0.87万元，增加1.27%，主要原因是：年中人员变动。</w:t>
      </w:r>
      <w:r>
        <w:rPr>
          <w:rFonts w:hint="eastAsia" w:ascii="仿宋" w:hAnsi="仿宋" w:eastAsia="仿宋"/>
          <w:sz w:val="32"/>
          <w:szCs w:val="32"/>
          <w:highlight w:val="none"/>
          <w:lang w:val="en-US" w:eastAsia="zh-CN"/>
        </w:rPr>
        <w:t>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保障在职人员福利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1453.77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2309.08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158.83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：1.计划生育事务年内由上级拨款662.05万元，年初无预算，故产生差异较大。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67"/>
        <w:gridCol w:w="943"/>
        <w:gridCol w:w="940"/>
        <w:gridCol w:w="1046"/>
        <w:gridCol w:w="1742"/>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2100101</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470.15</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558.07</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118.7%</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在职人员工资及日常公用经费支出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2100199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其他卫生健康管理事务支出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75.53</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103.35</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136.83%</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事业编人员工资及除四害等项目支出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其他基层医疗机构支出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57.47</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卫生系统二层单位基药支出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年初预算由卫健局统一做，调剂至各二层单位使用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2100402</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卫生监督机构</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卫生监督项目经费支出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年初无预算，为上级拨款经费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基本公共卫生服务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115.96</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12.24</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10.55%</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二层单位基本功卫县级配套资金</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50.4</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8.45</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16.76%</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严重精神障碍患者以奖代补工作经费支出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突发公共卫生应急处理</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179.65</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疫情或</w:t>
            </w:r>
            <w:r>
              <w:rPr>
                <w:rFonts w:hint="eastAsia" w:ascii="宋体" w:hAnsi="宋体" w:eastAsia="宋体" w:cs="宋体"/>
                <w:i w:val="0"/>
                <w:iCs w:val="0"/>
                <w:color w:val="auto"/>
                <w:sz w:val="20"/>
                <w:szCs w:val="20"/>
                <w:highlight w:val="none"/>
                <w:u w:val="none"/>
                <w:lang w:val="en-US" w:eastAsia="zh-CN"/>
              </w:rPr>
              <w:t>突发公共卫生应急支出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2100717</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计划生育服务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532.11</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1195.8</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224%</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计划生育服务项目支出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年中有上级资金拨付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其他计划生育事务支出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147.15</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145.51</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98.88%</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计划生育服务项目支出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2101601</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老龄卫生健康事务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关爱高龄老人活动支出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年内未安排该项资金支出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1453.77</w:t>
            </w:r>
          </w:p>
        </w:tc>
        <w:tc>
          <w:tcPr>
            <w:tcW w:w="9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2309.08</w:t>
            </w:r>
          </w:p>
        </w:tc>
        <w:tc>
          <w:tcPr>
            <w:tcW w:w="10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suppressLineNumbers w:val="0"/>
        <w:spacing w:before="0" w:beforeAutospacing="0" w:after="0" w:afterAutospacing="0"/>
        <w:ind w:left="0" w:right="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cs="仿宋"/>
          <w:color w:val="auto"/>
          <w:sz w:val="32"/>
          <w:szCs w:val="32"/>
          <w:highlight w:val="none"/>
          <w:lang w:val="en-US" w:eastAsia="zh-CN" w:bidi="ar"/>
        </w:rPr>
        <w:t>69.37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卫生健康人才能力提升培训支出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预决算差异</w:t>
      </w:r>
      <w:r>
        <w:rPr>
          <w:rFonts w:hint="eastAsia" w:ascii="仿宋" w:hAnsi="仿宋" w:eastAsia="仿宋" w:cs="仿宋"/>
          <w:color w:val="auto"/>
          <w:kern w:val="2"/>
          <w:sz w:val="32"/>
          <w:szCs w:val="32"/>
          <w:highlight w:val="none"/>
          <w:lang w:val="en-US" w:eastAsia="zh-CN" w:bidi="ar"/>
        </w:rPr>
        <w:t>主要原因是：2023年该项目培训费增加，为上级拨款粤桂项目资金。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卫生健康人才能力提升</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kern w:val="2"/>
                <w:sz w:val="20"/>
                <w:szCs w:val="20"/>
                <w:highlight w:val="none"/>
                <w:lang w:val="en-US" w:eastAsia="zh-CN" w:bidi="ar"/>
              </w:rPr>
              <w:t>上级拨款粤桂项目资金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53.62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51.88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96.75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人员增减变动。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20"/>
                <w:szCs w:val="20"/>
              </w:rPr>
              <w:t>按照国家政策规定代职工上缴住房公积金等支出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u w:color="auto"/>
          <w:lang w:val="en-US" w:eastAsia="zh-CN"/>
        </w:rPr>
        <w:t>670.11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638.73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38.31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633.47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117.21</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：在职人员工资增加。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190.39万元，30102津贴补贴72.93万元，30103奖金77.22万元，30106伙食补助费0万元，30107绩效工资100.07万元，30108机关事业单位基本养老保险缴费69.15万元，30110职工基本医疗保险缴费28.1万元，30111公务员医疗补助缴费0万元，30112其他社会保障缴费1.87万元，30113住房公积金51.88万元，30144医疗费0万元，30199其他工资福利支出0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31.38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63.63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主要原因是：年内安排支付资金较少。</w:t>
      </w:r>
    </w:p>
    <w:p>
      <w:pPr>
        <w:jc w:val="left"/>
        <w:rPr>
          <w:rFonts w:hint="eastAsia" w:ascii="仿宋" w:hAnsi="仿宋" w:eastAsia="仿宋" w:cs="仿宋"/>
          <w:sz w:val="32"/>
          <w:szCs w:val="32"/>
          <w:highlight w:val="none"/>
        </w:rPr>
      </w:pPr>
      <w:r>
        <w:rPr>
          <w:rFonts w:hint="eastAsia" w:ascii="仿宋" w:hAnsi="仿宋" w:eastAsia="仿宋"/>
          <w:color w:val="auto"/>
          <w:sz w:val="32"/>
          <w:szCs w:val="32"/>
          <w:highlight w:val="none"/>
          <w:lang w:val="en-US" w:eastAsia="zh-CN"/>
        </w:rPr>
        <w:t>支出具体情况如</w:t>
      </w:r>
      <w:r>
        <w:rPr>
          <w:rFonts w:hint="eastAsia" w:ascii="仿宋" w:hAnsi="仿宋" w:eastAsia="仿宋"/>
          <w:sz w:val="32"/>
          <w:szCs w:val="32"/>
          <w:highlight w:val="none"/>
          <w:lang w:val="en-US" w:eastAsia="zh-CN"/>
        </w:rPr>
        <w:t>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4.92万元，30206电费1.59万元，30205水费0.15万元，30207邮电费3.41万元，30211差旅费0万元，30211维修（护）费0.07万元，30215会议费0万元，30216培训费0万元，30226劳务费2.16万元，30228工会经费8.94万元，3039其他交通费用0.44万元，30240税金及附加费用2.21万元，公务用车运行维护费9.5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47.12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因是：年内退休人员生活补助提高。</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30304抚恤金1.5万元，30309奖励金0.04万元，30305生活补助45.59万元。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：本部门2023年度没有债务利息及费用支出。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本部门2023年度没有资本性支出。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主要原因是：本部门2023年没有其他支出。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卫生健康局2023年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卫生健康局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2" w:name="PO_part3A5B1C1DiffReason1"/>
      <w:r>
        <w:rPr>
          <w:rFonts w:hint="eastAsia" w:ascii="仿宋_GB2312" w:hAnsi="Times New Roman" w:eastAsia="仿宋_GB2312" w:cs="Times New Roman"/>
          <w:color w:val="auto"/>
          <w:sz w:val="32"/>
          <w:szCs w:val="32"/>
          <w:lang w:eastAsia="zh-CN"/>
        </w:rPr>
        <w:t>卫生健康局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度一般公共预算财政拨款安排的“三公”经费支出</w:t>
      </w:r>
      <w:r>
        <w:rPr>
          <w:rFonts w:hint="eastAsia" w:ascii="仿宋" w:hAnsi="仿宋" w:eastAsia="仿宋" w:cs="仿宋"/>
          <w:sz w:val="32"/>
          <w:szCs w:val="32"/>
          <w:highlight w:val="none"/>
          <w:lang w:val="en-US" w:eastAsia="zh-CN"/>
        </w:rPr>
        <w:t>9.29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66.35</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减少1.46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是：支出减少。</w:t>
      </w:r>
      <w:r>
        <w:rPr>
          <w:rFonts w:hint="eastAsia" w:ascii="仿宋" w:hAnsi="仿宋" w:eastAsia="仿宋" w:cs="仿宋"/>
          <w:color w:val="auto"/>
          <w:sz w:val="32"/>
          <w:szCs w:val="32"/>
          <w:highlight w:val="none"/>
        </w:rPr>
        <w:t>其中</w:t>
      </w:r>
      <w:r>
        <w:rPr>
          <w:rFonts w:hint="eastAsia" w:ascii="仿宋" w:hAnsi="仿宋" w:eastAsia="仿宋" w:cs="仿宋"/>
          <w:color w:val="000000" w:themeColor="text1"/>
          <w:sz w:val="32"/>
          <w:szCs w:val="32"/>
          <w:highlight w:val="none"/>
          <w14:textFill>
            <w14:solidFill>
              <w14:schemeClr w14:val="tx1"/>
            </w14:solidFill>
          </w14:textFill>
        </w:rPr>
        <w:t>：因公出国（境）费支出决算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7.5</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320" w:firstLineChars="1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w:t>
      </w:r>
      <w:r>
        <w:rPr>
          <w:rFonts w:ascii="仿宋" w:hAnsi="仿宋" w:eastAsia="仿宋" w:cs="仿宋"/>
          <w:color w:val="auto"/>
          <w:sz w:val="32"/>
          <w:u w:color="auto"/>
        </w:rPr>
        <w:t>.00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lang w:val="en-US" w:eastAsia="zh-CN"/>
        </w:rPr>
        <w:t>7.5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62.5</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szCs w:val="32"/>
          <w:highlight w:val="none"/>
          <w:lang w:val="en-US" w:eastAsia="zh-CN"/>
        </w:rPr>
        <w:t>减少2.1</w:t>
      </w:r>
      <w:r>
        <w:rPr>
          <w:rFonts w:hint="eastAsia" w:ascii="仿宋" w:hAnsi="仿宋" w:eastAsia="仿宋" w:cs="仿宋"/>
          <w:color w:val="auto"/>
          <w:sz w:val="32"/>
          <w:szCs w:val="32"/>
          <w:highlight w:val="none"/>
        </w:rPr>
        <w:t>万元。主要原因是：主要用于因公出行以及开展业务所需车辆燃料费、维修费、过路过桥费、保险费等。</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w:t>
      </w:r>
      <w:r>
        <w:rPr>
          <w:rFonts w:hint="eastAsia" w:ascii="仿宋" w:hAnsi="仿宋" w:eastAsia="仿宋" w:cs="仿宋"/>
          <w:color w:val="auto"/>
          <w:sz w:val="32"/>
          <w:u w:color="auto"/>
          <w:lang w:eastAsia="zh-CN"/>
        </w:rPr>
        <w:t>卫生健康局</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4</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7.5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1.88</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1.79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89.5</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增加0.64万元</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主要原因是：历年接待未支出。</w:t>
      </w:r>
      <w:r>
        <w:rPr>
          <w:rFonts w:hint="eastAsia" w:ascii="仿宋" w:hAnsi="仿宋" w:eastAsia="仿宋" w:cs="仿宋"/>
          <w:color w:val="auto"/>
          <w:sz w:val="32"/>
          <w:szCs w:val="32"/>
          <w:highlight w:val="none"/>
        </w:rPr>
        <w:t>国</w:t>
      </w:r>
      <w:r>
        <w:rPr>
          <w:rFonts w:hint="eastAsia" w:ascii="仿宋" w:hAnsi="仿宋" w:eastAsia="仿宋" w:cs="仿宋"/>
          <w:color w:val="000000" w:themeColor="text1"/>
          <w:sz w:val="32"/>
          <w:szCs w:val="32"/>
          <w:highlight w:val="none"/>
          <w14:textFill>
            <w14:solidFill>
              <w14:schemeClr w14:val="tx1"/>
            </w14:solidFill>
          </w14:textFill>
        </w:rPr>
        <w:t>内公务接待批次</w:t>
      </w:r>
      <w:r>
        <w:rPr>
          <w:rFonts w:ascii="仿宋" w:hAnsi="仿宋" w:eastAsia="仿宋" w:cs="仿宋"/>
          <w:color w:val="000000" w:themeColor="text1"/>
          <w:sz w:val="32"/>
          <w:szCs w:val="32"/>
          <w:highlight w:val="none"/>
          <w14:textFill>
            <w14:solidFill>
              <w14:schemeClr w14:val="tx1"/>
            </w14:solidFill>
          </w14:textFill>
        </w:rPr>
        <w:t>13</w:t>
      </w:r>
      <w:r>
        <w:rPr>
          <w:rFonts w:hint="eastAsia" w:ascii="仿宋" w:hAnsi="仿宋" w:eastAsia="仿宋" w:cs="仿宋"/>
          <w:sz w:val="32"/>
          <w:szCs w:val="32"/>
          <w:highlight w:val="none"/>
        </w:rPr>
        <w:t>次，人次</w:t>
      </w:r>
      <w:r>
        <w:rPr>
          <w:rFonts w:ascii="仿宋" w:hAnsi="仿宋" w:eastAsia="仿宋" w:cs="仿宋"/>
          <w:sz w:val="32"/>
          <w:szCs w:val="32"/>
          <w:highlight w:val="none"/>
        </w:rPr>
        <w:t>100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autoSpaceDE w:val="0"/>
        <w:autoSpaceDN w:val="0"/>
        <w:adjustRightInd w:val="0"/>
        <w:spacing w:line="560" w:lineRule="exact"/>
        <w:ind w:firstLine="640" w:firstLineChars="200"/>
        <w:jc w:val="both"/>
        <w:rPr>
          <w:rFonts w:hint="eastAsia" w:ascii="楷体_GB2312" w:hAnsi="Times New Roman" w:eastAsia="楷体_GB2312" w:cs="仿宋_GB2312"/>
          <w:kern w:val="0"/>
          <w:sz w:val="32"/>
          <w:szCs w:val="32"/>
        </w:rPr>
      </w:pPr>
      <w:r>
        <w:rPr>
          <w:rFonts w:hint="eastAsia" w:ascii="楷体_GB2312" w:hAnsi="Times New Roman" w:eastAsia="楷体_GB2312" w:cs="仿宋_GB2312"/>
          <w:kern w:val="0"/>
          <w:sz w:val="32"/>
          <w:szCs w:val="32"/>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hint="eastAsia" w:ascii="仿宋" w:hAnsi="仿宋" w:eastAsia="仿宋" w:cs="仿宋"/>
          <w:sz w:val="32"/>
          <w:szCs w:val="32"/>
          <w:highlight w:val="none"/>
          <w:lang w:val="en-US" w:eastAsia="zh-CN"/>
        </w:rPr>
        <w:t>31.38</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减少17.94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减少36</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减少110.18</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减少77.83</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2022年卫健系统二层单位工会经费116.87万元统一汇至卫健局再下拨，2023年由各二层单位自行编制预算，故增减幅度较大。</w:t>
      </w:r>
    </w:p>
    <w:p>
      <w:pPr>
        <w:autoSpaceDE w:val="0"/>
        <w:autoSpaceDN w:val="0"/>
        <w:adjustRightInd w:val="0"/>
        <w:spacing w:line="560" w:lineRule="exact"/>
        <w:ind w:firstLine="640" w:firstLineChars="200"/>
        <w:jc w:val="both"/>
        <w:rPr>
          <w:rFonts w:hint="eastAsia" w:ascii="楷体_GB2312" w:hAnsi="Times New Roman" w:eastAsia="楷体_GB2312" w:cs="仿宋_GB2312"/>
          <w:kern w:val="0"/>
          <w:sz w:val="32"/>
          <w:szCs w:val="32"/>
        </w:rPr>
      </w:pPr>
      <w:r>
        <w:rPr>
          <w:rFonts w:hint="eastAsia" w:ascii="楷体_GB2312" w:hAnsi="Times New Roman" w:eastAsia="楷体_GB2312" w:cs="仿宋_GB2312"/>
          <w:kern w:val="0"/>
          <w:sz w:val="32"/>
          <w:szCs w:val="32"/>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autoSpaceDE w:val="0"/>
        <w:autoSpaceDN w:val="0"/>
        <w:adjustRightInd w:val="0"/>
        <w:spacing w:line="560" w:lineRule="exact"/>
        <w:ind w:firstLine="640" w:firstLineChars="200"/>
        <w:jc w:val="both"/>
        <w:rPr>
          <w:rFonts w:hint="eastAsia" w:ascii="楷体_GB2312" w:hAnsi="Times New Roman" w:eastAsia="楷体_GB2312" w:cs="仿宋_GB2312"/>
          <w:kern w:val="0"/>
          <w:sz w:val="32"/>
          <w:szCs w:val="32"/>
        </w:rPr>
      </w:pPr>
      <w:r>
        <w:rPr>
          <w:rFonts w:hint="eastAsia" w:ascii="楷体_GB2312" w:hAnsi="Times New Roman" w:eastAsia="楷体_GB2312" w:cs="仿宋_GB2312"/>
          <w:kern w:val="0"/>
          <w:sz w:val="32"/>
          <w:szCs w:val="32"/>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pStyle w:val="2"/>
        <w:rPr>
          <w:rFonts w:hint="eastAsia"/>
          <w:color w:val="auto"/>
          <w:lang w:val="en-US"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color w:val="auto"/>
          <w:kern w:val="0"/>
          <w:sz w:val="32"/>
          <w:szCs w:val="32"/>
          <w:lang w:val="en-US" w:eastAsia="zh-CN"/>
        </w:rPr>
        <w:t>17216.92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color w:val="auto"/>
          <w:kern w:val="0"/>
          <w:sz w:val="32"/>
          <w:szCs w:val="32"/>
          <w:lang w:val="en-US" w:eastAsia="zh-CN"/>
        </w:rPr>
        <w:t>15957.16</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万元，整体支出绩效自评结果为一等。从自评情况来看，有效保障了我县卫生健康系统各单位运转，进一步解决基层群众看病难等问题。</w:t>
      </w:r>
    </w:p>
    <w:p>
      <w:pPr>
        <w:pStyle w:val="2"/>
        <w:numPr>
          <w:ilvl w:val="0"/>
          <w:numId w:val="4"/>
        </w:numPr>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项目绩效自评总体情况：我部门2023年度项目39个，项目支出总额</w:t>
      </w:r>
      <w:r>
        <w:rPr>
          <w:rFonts w:hint="eastAsia" w:ascii="仿宋_GB2312" w:eastAsia="仿宋_GB2312" w:cs="仿宋_GB2312"/>
          <w:kern w:val="0"/>
          <w:sz w:val="32"/>
          <w:szCs w:val="32"/>
          <w:lang w:val="en-US" w:eastAsia="zh-CN"/>
        </w:rPr>
        <w:t>1873.91</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万元。其中，本级项目39个，本级项目支出</w:t>
      </w:r>
      <w:r>
        <w:rPr>
          <w:rFonts w:hint="eastAsia" w:ascii="仿宋_GB2312" w:eastAsia="仿宋_GB2312" w:cs="仿宋_GB2312"/>
          <w:kern w:val="0"/>
          <w:sz w:val="32"/>
          <w:szCs w:val="32"/>
          <w:lang w:val="en-US" w:eastAsia="zh-CN"/>
        </w:rPr>
        <w:t>1873.91</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34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1872.93</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87.18</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99.94</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0.98</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5.12</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0.05</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5.12</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2.56</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%。自评发现的主要问题及原因：一是年初部门预算编制细化程度不够，导致在执行总体绩效目标是部分存在偏差，致使项目预算存在年中、年末追加追减的现象；二是</w:t>
      </w:r>
      <w:r>
        <w:rPr>
          <w:rFonts w:hint="eastAsia" w:ascii="仿宋" w:hAnsi="仿宋" w:eastAsia="仿宋" w:cs="仿宋"/>
          <w:color w:val="000000" w:themeColor="text1"/>
          <w:sz w:val="32"/>
          <w:szCs w:val="32"/>
          <w14:textFill>
            <w14:solidFill>
              <w14:schemeClr w14:val="tx1"/>
            </w14:solidFill>
          </w14:textFill>
        </w:rPr>
        <w:t>个别项目实施进度较慢，惯性思维严重，报账不及时，造成年底因未及时报账造成绩效目标偏差</w:t>
      </w: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。下一步改进措施：一是详细合理设定绩效目标；二是，规划好资金使用计划，保障全年项目开展资金使用。</w:t>
      </w:r>
    </w:p>
    <w:p>
      <w:pPr>
        <w:keepNext w:val="0"/>
        <w:keepLines w:val="0"/>
        <w:pageBreakBefore w:val="0"/>
        <w:widowControl w:val="0"/>
        <w:numPr>
          <w:ilvl w:val="0"/>
          <w:numId w:val="5"/>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根据年初设定的绩效目标，农村独生子女户、双女结扎户新农合补助项目项目自评得分为90.9 分，一等，项目全年预算数为483万元，年中调整预算144.63万元，执行数为570.49万元，完成预算的99.09%。项目绩效目标完成情况：一是按核定对象人数及时足额发放奖励扶助金，发放率＝100％；二是受补助家庭生活、发展情况逐步提高。自评发现的主要问题及原因：一是年初预算编制不够准确导致年中需要追加预算；二是项目补助标准等政策变化导致项目预算不足。下一步改进措施：一是加强预算编制；二是详细合理设定绩效目标，规划好资金使用计划，保障全年项目开展资金使用。</w:t>
      </w: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p>
    <w:p>
      <w:pPr>
        <w:ind w:firstLine="640" w:firstLineChars="200"/>
        <w:jc w:val="left"/>
        <w:rPr>
          <w:rFonts w:ascii="仿宋" w:hAnsi="仿宋" w:eastAsia="仿宋" w:cs="仿宋"/>
          <w:sz w:val="32"/>
          <w:szCs w:val="32"/>
          <w:highlight w:val="none"/>
        </w:rPr>
      </w:pPr>
      <w:bookmarkStart w:id="4" w:name="_GoBack"/>
      <w:bookmarkEnd w:id="4"/>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49F24"/>
    <w:multiLevelType w:val="singleLevel"/>
    <w:tmpl w:val="99E49F24"/>
    <w:lvl w:ilvl="0" w:tentative="0">
      <w:start w:val="2"/>
      <w:numFmt w:val="decimal"/>
      <w:lvlText w:val="%1."/>
      <w:lvlJc w:val="left"/>
      <w:pPr>
        <w:tabs>
          <w:tab w:val="left" w:pos="312"/>
        </w:tabs>
      </w:pPr>
    </w:lvl>
  </w:abstractNum>
  <w:abstractNum w:abstractNumId="1">
    <w:nsid w:val="BAAE707C"/>
    <w:multiLevelType w:val="singleLevel"/>
    <w:tmpl w:val="BAAE707C"/>
    <w:lvl w:ilvl="0" w:tentative="0">
      <w:start w:val="2"/>
      <w:numFmt w:val="decimal"/>
      <w:suff w:val="nothing"/>
      <w:lvlText w:val="（%1）"/>
      <w:lvlJc w:val="left"/>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037D0B6B"/>
    <w:multiLevelType w:val="singleLevel"/>
    <w:tmpl w:val="037D0B6B"/>
    <w:lvl w:ilvl="0" w:tentative="0">
      <w:start w:val="1"/>
      <w:numFmt w:val="chineseCounting"/>
      <w:suff w:val="nothing"/>
      <w:lvlText w:val="（%1）"/>
      <w:lvlJc w:val="left"/>
      <w:rPr>
        <w:rFonts w:hint="eastAsia"/>
      </w:rPr>
    </w:lvl>
  </w:abstractNum>
  <w:abstractNum w:abstractNumId="4">
    <w:nsid w:val="06D4BEFA"/>
    <w:multiLevelType w:val="singleLevel"/>
    <w:tmpl w:val="06D4BEFA"/>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D61292"/>
    <w:rsid w:val="020C171D"/>
    <w:rsid w:val="020D1EF6"/>
    <w:rsid w:val="0216715F"/>
    <w:rsid w:val="02E0291A"/>
    <w:rsid w:val="02E440AD"/>
    <w:rsid w:val="04460E6B"/>
    <w:rsid w:val="04E54546"/>
    <w:rsid w:val="05992762"/>
    <w:rsid w:val="05C16B02"/>
    <w:rsid w:val="06552079"/>
    <w:rsid w:val="065C7091"/>
    <w:rsid w:val="078164DC"/>
    <w:rsid w:val="07B0770E"/>
    <w:rsid w:val="080A3DA1"/>
    <w:rsid w:val="08FC5665"/>
    <w:rsid w:val="0942143F"/>
    <w:rsid w:val="09891BB3"/>
    <w:rsid w:val="09F615F9"/>
    <w:rsid w:val="0A405ADE"/>
    <w:rsid w:val="0AC460B7"/>
    <w:rsid w:val="0B5965AB"/>
    <w:rsid w:val="0B913733"/>
    <w:rsid w:val="0C407C08"/>
    <w:rsid w:val="0D100297"/>
    <w:rsid w:val="0D202B45"/>
    <w:rsid w:val="0DAE6126"/>
    <w:rsid w:val="0F1A6D43"/>
    <w:rsid w:val="0F8D4C87"/>
    <w:rsid w:val="10505FAA"/>
    <w:rsid w:val="105F7E7E"/>
    <w:rsid w:val="10FD5716"/>
    <w:rsid w:val="110942A0"/>
    <w:rsid w:val="11E56B5B"/>
    <w:rsid w:val="124B0112"/>
    <w:rsid w:val="125C77AB"/>
    <w:rsid w:val="13C242A5"/>
    <w:rsid w:val="14346896"/>
    <w:rsid w:val="146E6B13"/>
    <w:rsid w:val="14826F6F"/>
    <w:rsid w:val="14CB726E"/>
    <w:rsid w:val="150A2E78"/>
    <w:rsid w:val="15951C1A"/>
    <w:rsid w:val="160842C3"/>
    <w:rsid w:val="16135E4A"/>
    <w:rsid w:val="170E4165"/>
    <w:rsid w:val="17591B67"/>
    <w:rsid w:val="17E92249"/>
    <w:rsid w:val="18D304F1"/>
    <w:rsid w:val="19F32577"/>
    <w:rsid w:val="19F45B80"/>
    <w:rsid w:val="1B0C078D"/>
    <w:rsid w:val="1B2B31E2"/>
    <w:rsid w:val="1B4C295A"/>
    <w:rsid w:val="1B973C63"/>
    <w:rsid w:val="1BA1001E"/>
    <w:rsid w:val="1CC53033"/>
    <w:rsid w:val="1D317259"/>
    <w:rsid w:val="1D6334B4"/>
    <w:rsid w:val="1E664F5B"/>
    <w:rsid w:val="1EB34BE1"/>
    <w:rsid w:val="207800D4"/>
    <w:rsid w:val="21197F6C"/>
    <w:rsid w:val="215E639F"/>
    <w:rsid w:val="21BD35E0"/>
    <w:rsid w:val="21EC3183"/>
    <w:rsid w:val="225E72CD"/>
    <w:rsid w:val="22734693"/>
    <w:rsid w:val="23207220"/>
    <w:rsid w:val="2329395E"/>
    <w:rsid w:val="236D1C38"/>
    <w:rsid w:val="23C055FF"/>
    <w:rsid w:val="24466621"/>
    <w:rsid w:val="245C2DC5"/>
    <w:rsid w:val="246E2F77"/>
    <w:rsid w:val="254B4E2B"/>
    <w:rsid w:val="26651C1A"/>
    <w:rsid w:val="268611D2"/>
    <w:rsid w:val="27A75CF9"/>
    <w:rsid w:val="283D7C94"/>
    <w:rsid w:val="29480E03"/>
    <w:rsid w:val="2983634D"/>
    <w:rsid w:val="2B8913A7"/>
    <w:rsid w:val="2BB02055"/>
    <w:rsid w:val="2C575A56"/>
    <w:rsid w:val="2F257714"/>
    <w:rsid w:val="2F3275E5"/>
    <w:rsid w:val="30AA08EF"/>
    <w:rsid w:val="30D23D1C"/>
    <w:rsid w:val="31221CF5"/>
    <w:rsid w:val="31400178"/>
    <w:rsid w:val="321E3342"/>
    <w:rsid w:val="327759C8"/>
    <w:rsid w:val="33185FE3"/>
    <w:rsid w:val="334A4F5A"/>
    <w:rsid w:val="34EE2E36"/>
    <w:rsid w:val="363B32C0"/>
    <w:rsid w:val="36777241"/>
    <w:rsid w:val="38A951DB"/>
    <w:rsid w:val="38B31605"/>
    <w:rsid w:val="38CC2445"/>
    <w:rsid w:val="39003F4F"/>
    <w:rsid w:val="3ACE0BB4"/>
    <w:rsid w:val="3C07002B"/>
    <w:rsid w:val="3CAF7BE8"/>
    <w:rsid w:val="3D0D152A"/>
    <w:rsid w:val="3DF62756"/>
    <w:rsid w:val="3ED55C68"/>
    <w:rsid w:val="3F1B7587"/>
    <w:rsid w:val="3F417921"/>
    <w:rsid w:val="3FFF384E"/>
    <w:rsid w:val="40B0405E"/>
    <w:rsid w:val="41436547"/>
    <w:rsid w:val="415857D6"/>
    <w:rsid w:val="416C3C05"/>
    <w:rsid w:val="41874E1D"/>
    <w:rsid w:val="41E57B4F"/>
    <w:rsid w:val="42926A6D"/>
    <w:rsid w:val="432E3C17"/>
    <w:rsid w:val="432F26F6"/>
    <w:rsid w:val="43880F63"/>
    <w:rsid w:val="441C5A6F"/>
    <w:rsid w:val="44C44FCC"/>
    <w:rsid w:val="44CC7369"/>
    <w:rsid w:val="457F5108"/>
    <w:rsid w:val="45A77863"/>
    <w:rsid w:val="46951B6B"/>
    <w:rsid w:val="46C3062D"/>
    <w:rsid w:val="49A34401"/>
    <w:rsid w:val="4A3E30AB"/>
    <w:rsid w:val="4A8554C1"/>
    <w:rsid w:val="4AC14DAC"/>
    <w:rsid w:val="4CB92D45"/>
    <w:rsid w:val="4D154C85"/>
    <w:rsid w:val="4DF11170"/>
    <w:rsid w:val="4E867E74"/>
    <w:rsid w:val="4EC8553A"/>
    <w:rsid w:val="4F0B2C87"/>
    <w:rsid w:val="4F6C5DEE"/>
    <w:rsid w:val="4F722566"/>
    <w:rsid w:val="508D0734"/>
    <w:rsid w:val="508F4E24"/>
    <w:rsid w:val="51116E09"/>
    <w:rsid w:val="51461E90"/>
    <w:rsid w:val="51463753"/>
    <w:rsid w:val="51CB238B"/>
    <w:rsid w:val="522B1EC8"/>
    <w:rsid w:val="52553A93"/>
    <w:rsid w:val="53521F8B"/>
    <w:rsid w:val="53E22F47"/>
    <w:rsid w:val="54522FF8"/>
    <w:rsid w:val="55450629"/>
    <w:rsid w:val="55B1578F"/>
    <w:rsid w:val="560C010F"/>
    <w:rsid w:val="56692963"/>
    <w:rsid w:val="568B0F48"/>
    <w:rsid w:val="569C2C54"/>
    <w:rsid w:val="57326672"/>
    <w:rsid w:val="5786217B"/>
    <w:rsid w:val="5786543B"/>
    <w:rsid w:val="58E12498"/>
    <w:rsid w:val="59337A15"/>
    <w:rsid w:val="59810274"/>
    <w:rsid w:val="5A6452A2"/>
    <w:rsid w:val="5A8447A5"/>
    <w:rsid w:val="5B2836E0"/>
    <w:rsid w:val="5CA96A00"/>
    <w:rsid w:val="5CF730BC"/>
    <w:rsid w:val="5D3A28DF"/>
    <w:rsid w:val="5E5F0DCE"/>
    <w:rsid w:val="5E732D37"/>
    <w:rsid w:val="5FA40A7B"/>
    <w:rsid w:val="5FD56D29"/>
    <w:rsid w:val="5FEC7F3F"/>
    <w:rsid w:val="60AA5E1B"/>
    <w:rsid w:val="60F74BC3"/>
    <w:rsid w:val="617D3BF8"/>
    <w:rsid w:val="61841F6A"/>
    <w:rsid w:val="623007A9"/>
    <w:rsid w:val="62962114"/>
    <w:rsid w:val="637D7558"/>
    <w:rsid w:val="63B5583E"/>
    <w:rsid w:val="644F19AC"/>
    <w:rsid w:val="65016D91"/>
    <w:rsid w:val="6516505E"/>
    <w:rsid w:val="653541DA"/>
    <w:rsid w:val="65AA4920"/>
    <w:rsid w:val="6640216C"/>
    <w:rsid w:val="67255A73"/>
    <w:rsid w:val="67694F1E"/>
    <w:rsid w:val="691F222E"/>
    <w:rsid w:val="6931058B"/>
    <w:rsid w:val="69597934"/>
    <w:rsid w:val="6AAF4B97"/>
    <w:rsid w:val="6B964DDC"/>
    <w:rsid w:val="6C730385"/>
    <w:rsid w:val="6C783074"/>
    <w:rsid w:val="6D39175D"/>
    <w:rsid w:val="6D4E0963"/>
    <w:rsid w:val="6D9E65C6"/>
    <w:rsid w:val="6DA23CF4"/>
    <w:rsid w:val="6DA81947"/>
    <w:rsid w:val="6EB66DE2"/>
    <w:rsid w:val="6ED3075F"/>
    <w:rsid w:val="6ED61C4F"/>
    <w:rsid w:val="6F2A2D4B"/>
    <w:rsid w:val="6F8A0C1E"/>
    <w:rsid w:val="70222E28"/>
    <w:rsid w:val="703F45D4"/>
    <w:rsid w:val="715D6546"/>
    <w:rsid w:val="71B8501F"/>
    <w:rsid w:val="71BE069E"/>
    <w:rsid w:val="71BE22E5"/>
    <w:rsid w:val="72EE3D5E"/>
    <w:rsid w:val="73953409"/>
    <w:rsid w:val="73E069A3"/>
    <w:rsid w:val="748F5F11"/>
    <w:rsid w:val="74E66E28"/>
    <w:rsid w:val="752E2D34"/>
    <w:rsid w:val="75720056"/>
    <w:rsid w:val="757D7EE7"/>
    <w:rsid w:val="777234E1"/>
    <w:rsid w:val="77C56036"/>
    <w:rsid w:val="78073488"/>
    <w:rsid w:val="78104AA8"/>
    <w:rsid w:val="78D855C6"/>
    <w:rsid w:val="78E257C5"/>
    <w:rsid w:val="78F345AE"/>
    <w:rsid w:val="794B35BE"/>
    <w:rsid w:val="7B0A3A31"/>
    <w:rsid w:val="7B3360ED"/>
    <w:rsid w:val="7B5319F3"/>
    <w:rsid w:val="7B633C5C"/>
    <w:rsid w:val="7BDF037E"/>
    <w:rsid w:val="7BF50948"/>
    <w:rsid w:val="7CE66A78"/>
    <w:rsid w:val="7D23564C"/>
    <w:rsid w:val="7D5E062D"/>
    <w:rsid w:val="7DDB4DC4"/>
    <w:rsid w:val="7DF76CD8"/>
    <w:rsid w:val="7F695C26"/>
    <w:rsid w:val="7FCF62D3"/>
    <w:rsid w:val="7FF3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-不煎鱼</cp:lastModifiedBy>
  <dcterms:modified xsi:type="dcterms:W3CDTF">2024-12-26T03:58:32Z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0278FFA121C449EAB4073E4CF26604FE</vt:lpwstr>
  </property>
</Properties>
</file>