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环江毛南族自治县就业服务中心</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概况</w:t>
      </w:r>
    </w:p>
    <w:p>
      <w:pPr>
        <w:numPr>
          <w:ilvl w:val="0"/>
          <w:numId w:val="1"/>
        </w:num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主要职能</w:t>
      </w:r>
    </w:p>
    <w:p>
      <w:pPr>
        <w:numPr>
          <w:ilvl w:val="0"/>
          <w:numId w:val="1"/>
        </w:numPr>
        <w:ind w:left="0" w:leftChars="0" w:firstLine="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环江县就业服务中心</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环江县就业服务中心基本</w:t>
      </w:r>
      <w:r>
        <w:rPr>
          <w:rFonts w:hint="eastAsia" w:ascii="黑体" w:hAnsi="黑体" w:eastAsia="黑体" w:cs="黑体"/>
          <w:b/>
          <w:bCs/>
          <w:sz w:val="32"/>
          <w:szCs w:val="32"/>
          <w:highlight w:val="none"/>
        </w:rPr>
        <w:t>概况</w:t>
      </w:r>
    </w:p>
    <w:p>
      <w:pPr>
        <w:numPr>
          <w:ilvl w:val="0"/>
          <w:numId w:val="2"/>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tabs>
          <w:tab w:val="left" w:pos="651"/>
        </w:tabs>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ab/>
      </w:r>
      <w:r>
        <w:rPr>
          <w:rFonts w:hint="eastAsia" w:ascii="仿宋" w:hAnsi="仿宋" w:eastAsia="仿宋" w:cs="仿宋"/>
          <w:sz w:val="32"/>
          <w:szCs w:val="32"/>
        </w:rPr>
        <w:t>本部门主要职责是</w:t>
      </w:r>
      <w:r>
        <w:rPr>
          <w:rFonts w:hint="eastAsia" w:ascii="仿宋" w:hAnsi="仿宋" w:eastAsia="仿宋" w:cs="仿宋"/>
          <w:color w:val="333333"/>
          <w:sz w:val="32"/>
          <w:szCs w:val="32"/>
          <w:shd w:val="clear" w:color="auto" w:fill="FFFFFF"/>
        </w:rPr>
        <w:t>职业指导、职业介绍、求职登记、就业登记、失业登记、企业用工备案及职业供求信息发布、档案管理及劳动事务代理、农村富余劳动力有序转移就业、职业技能（创业）培训及公共就业服务信息网络的运行和管理、</w:t>
      </w:r>
      <w:r>
        <w:rPr>
          <w:rFonts w:hint="eastAsia" w:ascii="仿宋" w:hAnsi="仿宋" w:eastAsia="仿宋" w:cs="仿宋"/>
          <w:sz w:val="32"/>
          <w:szCs w:val="32"/>
        </w:rPr>
        <w:t>对就业困难人员实施就业援助，</w:t>
      </w:r>
      <w:r>
        <w:rPr>
          <w:rFonts w:hint="eastAsia" w:ascii="仿宋" w:hAnsi="仿宋" w:eastAsia="仿宋" w:cs="仿宋"/>
          <w:sz w:val="32"/>
          <w:szCs w:val="32"/>
          <w:lang w:val="en-US" w:eastAsia="zh-CN"/>
        </w:rPr>
        <w:t>开发公益性岗位、落实灵活就业困难人员社保补贴，</w:t>
      </w:r>
      <w:r>
        <w:rPr>
          <w:rFonts w:hint="eastAsia" w:ascii="仿宋" w:hAnsi="仿宋" w:eastAsia="仿宋" w:cs="仿宋"/>
          <w:sz w:val="32"/>
          <w:szCs w:val="32"/>
        </w:rPr>
        <w:t>对高校毕业生、农村转移劳动者等重点群体提供专门就业服务</w:t>
      </w:r>
      <w:r>
        <w:rPr>
          <w:rFonts w:hint="eastAsia" w:ascii="仿宋" w:hAnsi="仿宋" w:eastAsia="仿宋" w:cs="仿宋"/>
          <w:color w:val="333333"/>
          <w:sz w:val="32"/>
          <w:szCs w:val="32"/>
          <w:shd w:val="clear" w:color="auto" w:fill="FFFFFF"/>
        </w:rPr>
        <w:t>等。</w:t>
      </w:r>
    </w:p>
    <w:p>
      <w:pPr>
        <w:numPr>
          <w:ilvl w:val="0"/>
          <w:numId w:val="2"/>
        </w:numPr>
        <w:ind w:left="0" w:leftChars="0" w:firstLine="0" w:firstLineChars="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部门决算单位构成</w:t>
      </w:r>
    </w:p>
    <w:p>
      <w:pPr>
        <w:numPr>
          <w:ilvl w:val="0"/>
          <w:numId w:val="0"/>
        </w:numPr>
        <w:ind w:firstLine="640" w:firstLineChars="200"/>
        <w:jc w:val="left"/>
        <w:rPr>
          <w:rFonts w:hint="eastAsia" w:ascii="仿宋_GB2312" w:eastAsia="仿宋_GB2312"/>
          <w:sz w:val="32"/>
          <w:szCs w:val="32"/>
          <w:lang w:val="en-US" w:eastAsia="zh-CN"/>
        </w:rPr>
      </w:pPr>
      <w:r>
        <w:rPr>
          <w:rFonts w:hint="eastAsia" w:ascii="仿宋" w:hAnsi="仿宋" w:eastAsia="仿宋" w:cs="仿宋"/>
          <w:sz w:val="32"/>
          <w:szCs w:val="32"/>
          <w:lang w:val="en-US" w:eastAsia="zh-CN"/>
        </w:rPr>
        <w:t>环江毛南族自治县就业服务中心是财政全额拨款的参照公务员管理事业单位，单位编制人数共10人。2023</w:t>
      </w:r>
      <w:r>
        <w:rPr>
          <w:rFonts w:hint="eastAsia" w:ascii="仿宋_GB2312" w:eastAsia="仿宋_GB2312"/>
          <w:sz w:val="32"/>
          <w:szCs w:val="32"/>
          <w:lang w:val="en-US" w:eastAsia="zh-CN"/>
        </w:rPr>
        <w:t>年末在职人员10人，在职</w:t>
      </w:r>
      <w:r>
        <w:rPr>
          <w:rFonts w:hint="eastAsia" w:ascii="仿宋_GB2312" w:eastAsia="仿宋_GB2312"/>
          <w:sz w:val="32"/>
          <w:szCs w:val="32"/>
        </w:rPr>
        <w:t>人员编制总数为</w:t>
      </w:r>
      <w:r>
        <w:rPr>
          <w:rFonts w:hint="eastAsia" w:ascii="仿宋_GB2312" w:eastAsia="仿宋_GB2312"/>
          <w:sz w:val="32"/>
          <w:szCs w:val="32"/>
          <w:lang w:val="en-US" w:eastAsia="zh-CN"/>
        </w:rPr>
        <w:t>8</w:t>
      </w:r>
      <w:r>
        <w:rPr>
          <w:rFonts w:hint="eastAsia" w:ascii="仿宋_GB2312" w:eastAsia="仿宋_GB2312"/>
          <w:sz w:val="32"/>
          <w:szCs w:val="32"/>
        </w:rPr>
        <w:t>人，其中行政编制0人，参公事业编制</w:t>
      </w:r>
      <w:r>
        <w:rPr>
          <w:rFonts w:hint="eastAsia" w:ascii="仿宋_GB2312" w:eastAsia="仿宋_GB2312"/>
          <w:sz w:val="32"/>
          <w:szCs w:val="32"/>
          <w:lang w:val="en-US" w:eastAsia="zh-CN"/>
        </w:rPr>
        <w:t>7</w:t>
      </w:r>
      <w:r>
        <w:rPr>
          <w:rFonts w:hint="eastAsia" w:ascii="仿宋_GB2312" w:eastAsia="仿宋_GB2312"/>
          <w:sz w:val="32"/>
          <w:szCs w:val="32"/>
        </w:rPr>
        <w:t>人，机关后勤服务人员1人</w:t>
      </w:r>
      <w:r>
        <w:rPr>
          <w:rFonts w:hint="eastAsia" w:ascii="仿宋_GB2312" w:eastAsia="仿宋_GB2312"/>
          <w:sz w:val="32"/>
          <w:szCs w:val="32"/>
          <w:lang w:eastAsia="zh-CN"/>
        </w:rPr>
        <w:t>，聘用政府购买服务人员</w:t>
      </w:r>
      <w:r>
        <w:rPr>
          <w:rFonts w:hint="eastAsia" w:ascii="仿宋_GB2312" w:eastAsia="仿宋_GB2312"/>
          <w:sz w:val="32"/>
          <w:szCs w:val="32"/>
          <w:lang w:val="en-US" w:eastAsia="zh-CN"/>
        </w:rPr>
        <w:t>2人，退休人员4人</w:t>
      </w:r>
      <w:r>
        <w:rPr>
          <w:rFonts w:hint="eastAsia" w:ascii="仿宋_GB2312" w:eastAsia="仿宋_GB2312"/>
          <w:sz w:val="32"/>
          <w:szCs w:val="32"/>
        </w:rPr>
        <w:t>。</w:t>
      </w:r>
      <w:r>
        <w:rPr>
          <w:rFonts w:hint="eastAsia" w:ascii="仿宋_GB2312" w:eastAsia="仿宋_GB2312"/>
          <w:sz w:val="32"/>
          <w:szCs w:val="32"/>
          <w:lang w:eastAsia="zh-CN"/>
        </w:rPr>
        <w:t>年末</w:t>
      </w:r>
      <w:r>
        <w:rPr>
          <w:rFonts w:hint="eastAsia" w:ascii="仿宋_GB2312" w:eastAsia="仿宋_GB2312"/>
          <w:sz w:val="32"/>
          <w:szCs w:val="32"/>
        </w:rPr>
        <w:t>实有财政供养人数1</w:t>
      </w:r>
      <w:r>
        <w:rPr>
          <w:rFonts w:hint="eastAsia" w:ascii="仿宋_GB2312" w:eastAsia="仿宋_GB2312"/>
          <w:sz w:val="32"/>
          <w:szCs w:val="32"/>
          <w:lang w:val="en-US" w:eastAsia="zh-CN"/>
        </w:rPr>
        <w:t>5</w:t>
      </w:r>
      <w:r>
        <w:rPr>
          <w:rFonts w:hint="eastAsia" w:ascii="仿宋_GB2312" w:eastAsia="仿宋_GB2312"/>
          <w:sz w:val="32"/>
          <w:szCs w:val="32"/>
        </w:rPr>
        <w:t>人，其中行政在职0人，参公在职</w:t>
      </w:r>
      <w:r>
        <w:rPr>
          <w:rFonts w:hint="eastAsia" w:ascii="仿宋_GB2312" w:eastAsia="仿宋_GB2312"/>
          <w:sz w:val="32"/>
          <w:szCs w:val="32"/>
          <w:lang w:val="en-US" w:eastAsia="zh-CN"/>
        </w:rPr>
        <w:t>7</w:t>
      </w:r>
      <w:r>
        <w:rPr>
          <w:rFonts w:hint="eastAsia" w:ascii="仿宋_GB2312" w:eastAsia="仿宋_GB2312"/>
          <w:sz w:val="32"/>
          <w:szCs w:val="32"/>
        </w:rPr>
        <w:t>人，后勤控编在职人员1人</w:t>
      </w:r>
      <w:r>
        <w:rPr>
          <w:rFonts w:hint="eastAsia" w:ascii="仿宋_GB2312" w:eastAsia="仿宋_GB2312"/>
          <w:sz w:val="32"/>
          <w:szCs w:val="32"/>
          <w:lang w:val="en-US" w:eastAsia="zh-CN"/>
        </w:rPr>
        <w:t>，政府购买服务在职人员2人，退休人员4人，遗嘱补助1人。</w:t>
      </w:r>
      <w:r>
        <w:rPr>
          <w:rFonts w:hint="eastAsia" w:ascii="仿宋_GB2312" w:eastAsia="仿宋_GB2312"/>
          <w:sz w:val="32"/>
          <w:szCs w:val="32"/>
        </w:rPr>
        <w:t>本部门由</w:t>
      </w:r>
      <w:r>
        <w:rPr>
          <w:rFonts w:hint="eastAsia" w:ascii="仿宋_GB2312" w:eastAsia="仿宋_GB2312"/>
          <w:sz w:val="32"/>
          <w:szCs w:val="32"/>
          <w:lang w:eastAsia="zh-CN"/>
        </w:rPr>
        <w:t>主任办公室、综合股</w:t>
      </w:r>
      <w:r>
        <w:rPr>
          <w:rFonts w:hint="eastAsia" w:ascii="仿宋_GB2312" w:eastAsia="仿宋_GB2312"/>
          <w:sz w:val="32"/>
          <w:szCs w:val="32"/>
        </w:rPr>
        <w:t>、</w:t>
      </w:r>
      <w:r>
        <w:rPr>
          <w:rFonts w:hint="eastAsia" w:ascii="仿宋_GB2312" w:eastAsia="仿宋_GB2312"/>
          <w:sz w:val="32"/>
          <w:szCs w:val="32"/>
          <w:lang w:eastAsia="zh-CN"/>
        </w:rPr>
        <w:t>创业担保贷款办公室</w:t>
      </w:r>
      <w:r>
        <w:rPr>
          <w:rFonts w:hint="eastAsia" w:ascii="仿宋_GB2312" w:eastAsia="仿宋_GB2312"/>
          <w:sz w:val="32"/>
          <w:szCs w:val="32"/>
        </w:rPr>
        <w:t>、人力资源市场</w:t>
      </w:r>
      <w:r>
        <w:rPr>
          <w:rFonts w:hint="eastAsia" w:ascii="仿宋_GB2312" w:eastAsia="仿宋_GB2312"/>
          <w:sz w:val="32"/>
          <w:szCs w:val="32"/>
          <w:lang w:eastAsia="zh-CN"/>
        </w:rPr>
        <w:t>、</w:t>
      </w:r>
      <w:r>
        <w:rPr>
          <w:rFonts w:hint="eastAsia" w:ascii="仿宋_GB2312" w:eastAsia="仿宋_GB2312"/>
          <w:sz w:val="32"/>
          <w:szCs w:val="32"/>
          <w:lang w:val="en-US" w:eastAsia="zh-CN"/>
        </w:rPr>
        <w:t>企业</w:t>
      </w:r>
      <w:r>
        <w:rPr>
          <w:rFonts w:hint="eastAsia" w:ascii="仿宋_GB2312" w:eastAsia="仿宋_GB2312"/>
          <w:sz w:val="32"/>
          <w:szCs w:val="32"/>
          <w:lang w:eastAsia="zh-CN"/>
        </w:rPr>
        <w:t>人事档案管理</w:t>
      </w:r>
      <w:r>
        <w:rPr>
          <w:rFonts w:hint="eastAsia" w:ascii="仿宋_GB2312" w:eastAsia="仿宋_GB2312"/>
          <w:sz w:val="32"/>
          <w:szCs w:val="32"/>
          <w:lang w:val="en-US" w:eastAsia="zh-CN"/>
        </w:rPr>
        <w:t>5</w:t>
      </w:r>
      <w:r>
        <w:rPr>
          <w:rFonts w:hint="eastAsia" w:ascii="仿宋_GB2312" w:eastAsia="仿宋_GB2312"/>
          <w:sz w:val="32"/>
          <w:szCs w:val="32"/>
        </w:rPr>
        <w:t>个部门构成。</w:t>
      </w:r>
      <w:r>
        <w:rPr>
          <w:rFonts w:hint="eastAsia" w:ascii="仿宋_GB2312" w:hAnsi="仿宋_GB2312" w:eastAsia="仿宋_GB2312" w:cs="仿宋_GB2312"/>
          <w:color w:val="auto"/>
          <w:sz w:val="32"/>
          <w:szCs w:val="32"/>
        </w:rPr>
        <w:t>我部门没有下属单位，按照部门决算编报要求，单独编制本部门决算</w:t>
      </w:r>
      <w:r>
        <w:rPr>
          <w:rFonts w:hint="eastAsia" w:ascii="仿宋_GB2312" w:hAnsi="仿宋_GB2312" w:eastAsia="仿宋_GB2312" w:cs="仿宋_GB2312"/>
          <w:color w:val="auto"/>
          <w:sz w:val="32"/>
          <w:szCs w:val="32"/>
          <w:lang w:eastAsia="zh-CN"/>
        </w:rPr>
        <w:t>。</w:t>
      </w: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环江县就业服务中心</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环江县就业服务中心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399.03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433.74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433.74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433.74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就业管理事务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129.90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129.90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其他人力资源和社会保障管理事务支出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2080799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其他就业补助支出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474"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6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433.74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163.61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270.13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就业管理事务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129.90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114.05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其他人力资源和社会保障管理事务支出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248.28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2080799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其他就业补助支出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399.03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399.03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433.74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环江县就业服务中心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433.74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lang w:val="en-US" w:eastAsia="zh-CN"/>
              </w:rPr>
              <w:t>163.61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270.13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就业管理事务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129.90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114.05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其他人力资源和社会保障管理事务支出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248.28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2080799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其他就业补助支出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146.05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13.26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39.07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0.62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21.24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49.68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7.92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bookmarkEnd w:id="0"/>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150.35</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13.26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Theme="majorEastAsia" w:hAnsiTheme="majorEastAsia" w:eastAsiaTheme="majorEastAsia" w:cstheme="majorEastAsia"/>
                <w:sz w:val="22"/>
                <w:szCs w:val="22"/>
                <w:lang w:val="en-US" w:eastAsia="zh-CN"/>
              </w:rPr>
              <w:t>解释说明:</w:t>
            </w:r>
            <w:r>
              <w:rPr>
                <w:rFonts w:hint="eastAsia" w:asciiTheme="majorEastAsia" w:hAnsiTheme="majorEastAsia" w:eastAsiaTheme="majorEastAsia" w:cstheme="majorEastAsia"/>
                <w:sz w:val="22"/>
                <w:szCs w:val="22"/>
                <w:lang w:eastAsia="zh-CN"/>
              </w:rPr>
              <w:t>本</w:t>
            </w:r>
            <w:r>
              <w:rPr>
                <w:rFonts w:hint="eastAsia" w:asciiTheme="majorEastAsia" w:hAnsiTheme="majorEastAsia" w:eastAsiaTheme="majorEastAsia" w:cstheme="majorEastAsia"/>
                <w:sz w:val="22"/>
                <w:szCs w:val="22"/>
                <w:lang w:val="en-US" w:eastAsia="zh-CN"/>
              </w:rPr>
              <w:t>部门2023年</w:t>
            </w:r>
            <w:r>
              <w:rPr>
                <w:rFonts w:hint="eastAsia" w:asciiTheme="majorEastAsia" w:hAnsiTheme="majorEastAsia" w:eastAsiaTheme="majorEastAsia" w:cstheme="majorEastAsia"/>
                <w:sz w:val="22"/>
                <w:szCs w:val="22"/>
              </w:rPr>
              <w:t>没有</w:t>
            </w:r>
            <w:r>
              <w:rPr>
                <w:rFonts w:hint="eastAsia" w:asciiTheme="majorEastAsia" w:hAnsiTheme="majorEastAsia" w:eastAsiaTheme="majorEastAsia" w:cstheme="majorEastAsia"/>
                <w:kern w:val="0"/>
                <w:sz w:val="22"/>
                <w:szCs w:val="22"/>
              </w:rPr>
              <w:t>政府性基金</w:t>
            </w:r>
            <w:r>
              <w:rPr>
                <w:rFonts w:hint="eastAsia" w:asciiTheme="majorEastAsia" w:hAnsiTheme="majorEastAsia" w:eastAsiaTheme="majorEastAsia" w:cstheme="majorEastAsia"/>
                <w:sz w:val="22"/>
                <w:szCs w:val="22"/>
              </w:rPr>
              <w:t>收入，也没有</w:t>
            </w:r>
            <w:r>
              <w:rPr>
                <w:rFonts w:hint="eastAsia" w:asciiTheme="majorEastAsia" w:hAnsiTheme="majorEastAsia" w:eastAsiaTheme="majorEastAsia" w:cstheme="majorEastAsia"/>
                <w:kern w:val="0"/>
                <w:sz w:val="22"/>
                <w:szCs w:val="22"/>
              </w:rPr>
              <w:t>政府性基金</w:t>
            </w:r>
            <w:r>
              <w:rPr>
                <w:rFonts w:hint="eastAsia" w:asciiTheme="majorEastAsia" w:hAnsiTheme="majorEastAsia" w:eastAsiaTheme="majorEastAsia" w:cstheme="majorEastAsia"/>
                <w:sz w:val="22"/>
                <w:szCs w:val="22"/>
              </w:rPr>
              <w:t>安排的支出，故本表无数据</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widowControl/>
        <w:jc w:val="left"/>
        <w:rPr>
          <w:rFonts w:hint="eastAsia" w:asciiTheme="majorEastAsia" w:hAnsiTheme="majorEastAsia" w:eastAsiaTheme="majorEastAsia" w:cstheme="majorEastAsia"/>
          <w:b w:val="0"/>
          <w:bCs w:val="0"/>
          <w:kern w:val="0"/>
          <w:sz w:val="22"/>
          <w:szCs w:val="22"/>
        </w:rPr>
      </w:pPr>
      <w:r>
        <w:rPr>
          <w:rFonts w:hint="eastAsia" w:asciiTheme="majorEastAsia" w:hAnsiTheme="majorEastAsia" w:eastAsiaTheme="majorEastAsia" w:cstheme="majorEastAsia"/>
          <w:sz w:val="22"/>
          <w:szCs w:val="22"/>
          <w:lang w:val="en-US" w:eastAsia="zh-CN"/>
        </w:rPr>
        <w:t>解释说明:</w:t>
      </w:r>
      <w:r>
        <w:rPr>
          <w:rFonts w:hint="eastAsia" w:asciiTheme="majorEastAsia" w:hAnsiTheme="majorEastAsia" w:eastAsiaTheme="majorEastAsia" w:cstheme="majorEastAsia"/>
          <w:b w:val="0"/>
          <w:bCs w:val="0"/>
          <w:sz w:val="22"/>
          <w:szCs w:val="22"/>
          <w:lang w:eastAsia="zh-CN"/>
        </w:rPr>
        <w:t>本部门</w:t>
      </w:r>
      <w:r>
        <w:rPr>
          <w:rFonts w:hint="eastAsia" w:asciiTheme="majorEastAsia" w:hAnsiTheme="majorEastAsia" w:eastAsiaTheme="majorEastAsia" w:cstheme="majorEastAsia"/>
          <w:b w:val="0"/>
          <w:bCs w:val="0"/>
          <w:sz w:val="22"/>
          <w:szCs w:val="22"/>
          <w:lang w:val="en-US" w:eastAsia="zh-CN"/>
        </w:rPr>
        <w:t>2023年</w:t>
      </w:r>
      <w:r>
        <w:rPr>
          <w:rFonts w:hint="eastAsia" w:asciiTheme="majorEastAsia" w:hAnsiTheme="majorEastAsia" w:eastAsiaTheme="majorEastAsia" w:cstheme="majorEastAsia"/>
          <w:b w:val="0"/>
          <w:bCs w:val="0"/>
          <w:sz w:val="22"/>
          <w:szCs w:val="22"/>
        </w:rPr>
        <w:t>没有</w:t>
      </w:r>
      <w:r>
        <w:rPr>
          <w:rFonts w:hint="eastAsia" w:asciiTheme="majorEastAsia" w:hAnsiTheme="majorEastAsia" w:eastAsiaTheme="majorEastAsia" w:cstheme="majorEastAsia"/>
          <w:b w:val="0"/>
          <w:bCs w:val="0"/>
          <w:kern w:val="0"/>
          <w:sz w:val="22"/>
          <w:szCs w:val="22"/>
        </w:rPr>
        <w:t>国有资本经营预算财政拨款</w:t>
      </w:r>
      <w:r>
        <w:rPr>
          <w:rFonts w:hint="eastAsia" w:asciiTheme="majorEastAsia" w:hAnsiTheme="majorEastAsia" w:eastAsiaTheme="majorEastAsia" w:cstheme="majorEastAsia"/>
          <w:b w:val="0"/>
          <w:bCs w:val="0"/>
          <w:sz w:val="22"/>
          <w:szCs w:val="22"/>
        </w:rPr>
        <w:t>收入，也没有</w:t>
      </w:r>
      <w:r>
        <w:rPr>
          <w:rFonts w:hint="eastAsia" w:asciiTheme="majorEastAsia" w:hAnsiTheme="majorEastAsia" w:eastAsiaTheme="majorEastAsia" w:cstheme="majorEastAsia"/>
          <w:b w:val="0"/>
          <w:bCs w:val="0"/>
          <w:kern w:val="0"/>
          <w:sz w:val="22"/>
          <w:szCs w:val="22"/>
        </w:rPr>
        <w:t>国有资本经营预算财政拨款</w:t>
      </w:r>
      <w:r>
        <w:rPr>
          <w:rFonts w:hint="eastAsia" w:asciiTheme="majorEastAsia" w:hAnsiTheme="majorEastAsia" w:eastAsiaTheme="majorEastAsia" w:cstheme="majorEastAsia"/>
          <w:b w:val="0"/>
          <w:bCs w:val="0"/>
          <w:sz w:val="22"/>
          <w:szCs w:val="22"/>
        </w:rPr>
        <w:t>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环江县就业服务中心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0.71</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0.71</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u w:color="auto"/>
          <w:lang w:val="en-US" w:eastAsia="zh-CN"/>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环江县就业服务中心</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433.74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增加10.61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增长2.5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433.74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433.74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增加10.61</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增长2.5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，增长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主要原因：上级加大农民工奖补资金投入、人员经费增加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sz w:val="32"/>
          <w:szCs w:val="32"/>
          <w:lang w:eastAsia="zh-CN"/>
        </w:rPr>
        <w:t>本</w:t>
      </w:r>
      <w:r>
        <w:rPr>
          <w:rFonts w:hint="eastAsia" w:ascii="仿宋" w:hAnsi="仿宋" w:eastAsia="仿宋" w:cs="仿宋"/>
          <w:sz w:val="32"/>
          <w:szCs w:val="32"/>
          <w:lang w:val="en-US" w:eastAsia="zh-CN"/>
        </w:rPr>
        <w:t>部门2023年</w:t>
      </w:r>
      <w:r>
        <w:rPr>
          <w:rFonts w:hint="eastAsia" w:ascii="仿宋" w:hAnsi="仿宋" w:eastAsia="仿宋" w:cs="仿宋"/>
          <w:sz w:val="32"/>
          <w:szCs w:val="32"/>
        </w:rPr>
        <w:t>没有</w:t>
      </w:r>
      <w:r>
        <w:rPr>
          <w:rFonts w:hint="eastAsia" w:ascii="仿宋" w:hAnsi="仿宋" w:eastAsia="仿宋" w:cs="仿宋"/>
          <w:kern w:val="0"/>
          <w:sz w:val="32"/>
          <w:szCs w:val="32"/>
        </w:rPr>
        <w:t>政府性基金</w:t>
      </w:r>
      <w:r>
        <w:rPr>
          <w:rFonts w:hint="eastAsia" w:ascii="仿宋" w:hAnsi="仿宋" w:eastAsia="仿宋" w:cs="仿宋"/>
          <w:sz w:val="32"/>
          <w:szCs w:val="32"/>
        </w:rPr>
        <w:t>收入，也没有</w:t>
      </w:r>
      <w:r>
        <w:rPr>
          <w:rFonts w:hint="eastAsia" w:ascii="仿宋" w:hAnsi="仿宋" w:eastAsia="仿宋" w:cs="仿宋"/>
          <w:kern w:val="0"/>
          <w:sz w:val="32"/>
          <w:szCs w:val="32"/>
        </w:rPr>
        <w:t>政府性基金</w:t>
      </w:r>
      <w:r>
        <w:rPr>
          <w:rFonts w:hint="eastAsia" w:ascii="仿宋" w:hAnsi="仿宋" w:eastAsia="仿宋" w:cs="仿宋"/>
          <w:sz w:val="32"/>
          <w:szCs w:val="32"/>
        </w:rPr>
        <w:t>安排的支出</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 w:val="0"/>
          <w:bCs w:val="0"/>
          <w:sz w:val="32"/>
          <w:szCs w:val="32"/>
          <w:lang w:eastAsia="zh-CN"/>
        </w:rPr>
        <w:t>本部门</w:t>
      </w:r>
      <w:r>
        <w:rPr>
          <w:rFonts w:hint="eastAsia" w:ascii="仿宋" w:hAnsi="仿宋" w:eastAsia="仿宋" w:cs="仿宋"/>
          <w:b w:val="0"/>
          <w:bCs w:val="0"/>
          <w:sz w:val="32"/>
          <w:szCs w:val="32"/>
          <w:lang w:val="en-US" w:eastAsia="zh-CN"/>
        </w:rPr>
        <w:t>2023年</w:t>
      </w:r>
      <w:r>
        <w:rPr>
          <w:rFonts w:hint="eastAsia" w:ascii="仿宋" w:hAnsi="仿宋" w:eastAsia="仿宋" w:cs="仿宋"/>
          <w:b w:val="0"/>
          <w:bCs w:val="0"/>
          <w:sz w:val="32"/>
          <w:szCs w:val="32"/>
        </w:rPr>
        <w:t>没有</w:t>
      </w:r>
      <w:r>
        <w:rPr>
          <w:rFonts w:hint="eastAsia" w:ascii="仿宋" w:hAnsi="仿宋" w:eastAsia="仿宋" w:cs="仿宋"/>
          <w:b w:val="0"/>
          <w:bCs w:val="0"/>
          <w:kern w:val="0"/>
          <w:sz w:val="32"/>
          <w:szCs w:val="32"/>
        </w:rPr>
        <w:t>国有资本经营预算财政拨款</w:t>
      </w:r>
      <w:r>
        <w:rPr>
          <w:rFonts w:hint="eastAsia" w:ascii="仿宋" w:hAnsi="仿宋" w:eastAsia="仿宋" w:cs="仿宋"/>
          <w:b w:val="0"/>
          <w:bCs w:val="0"/>
          <w:sz w:val="32"/>
          <w:szCs w:val="32"/>
        </w:rPr>
        <w:t>收入，也没有</w:t>
      </w:r>
      <w:r>
        <w:rPr>
          <w:rFonts w:hint="eastAsia" w:ascii="仿宋" w:hAnsi="仿宋" w:eastAsia="仿宋" w:cs="仿宋"/>
          <w:b w:val="0"/>
          <w:bCs w:val="0"/>
          <w:kern w:val="0"/>
          <w:sz w:val="32"/>
          <w:szCs w:val="32"/>
        </w:rPr>
        <w:t>国有资本经营预算财政拨款</w:t>
      </w:r>
      <w:r>
        <w:rPr>
          <w:rFonts w:hint="eastAsia" w:ascii="仿宋" w:hAnsi="仿宋" w:eastAsia="仿宋" w:cs="仿宋"/>
          <w:b w:val="0"/>
          <w:bCs w:val="0"/>
          <w:sz w:val="32"/>
          <w:szCs w:val="32"/>
        </w:rPr>
        <w:t>安排的支出</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万元，较2022年度决算数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jc w:val="center"/>
        <w:rPr>
          <w:rFonts w:ascii="仿宋" w:hAnsi="仿宋" w:eastAsia="仿宋" w:cs="仿宋"/>
          <w:sz w:val="30"/>
          <w:szCs w:val="30"/>
          <w:highlight w:val="none"/>
        </w:rPr>
      </w:pPr>
      <w:r>
        <w:rPr>
          <w:rFonts w:hint="eastAsia" w:ascii="仿宋" w:hAnsi="仿宋" w:eastAsia="仿宋" w:cs="仿宋"/>
          <w:sz w:val="30"/>
          <w:szCs w:val="30"/>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7" w:name="_GoBack"/>
      <w:bookmarkEnd w:id="7"/>
    </w:p>
    <w:p>
      <w:pPr>
        <w:ind w:firstLine="640" w:firstLineChars="200"/>
        <w:jc w:val="left"/>
        <w:rPr>
          <w:rFonts w:hint="eastAsia"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433.74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433.74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增加10.61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增长2.5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399.03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kern w:val="0"/>
          <w:sz w:val="32"/>
          <w:szCs w:val="32"/>
          <w:lang w:eastAsia="zh-CN"/>
        </w:rPr>
        <w:t>人员经费、日常公用经费、职业技能培训工作经费、公共就业服务工作经费、</w:t>
      </w:r>
      <w:r>
        <w:rPr>
          <w:rFonts w:hint="eastAsia" w:ascii="仿宋" w:hAnsi="仿宋" w:eastAsia="仿宋" w:cs="仿宋"/>
          <w:b w:val="0"/>
          <w:bCs w:val="0"/>
          <w:kern w:val="0"/>
          <w:sz w:val="32"/>
          <w:szCs w:val="32"/>
          <w:lang w:val="en-US" w:eastAsia="zh-CN"/>
        </w:rPr>
        <w:t>零工市场及帮扶车间工作经费、</w:t>
      </w:r>
      <w:r>
        <w:rPr>
          <w:rFonts w:hint="eastAsia" w:ascii="仿宋" w:hAnsi="仿宋" w:eastAsia="仿宋" w:cs="仿宋"/>
          <w:b w:val="0"/>
          <w:bCs w:val="0"/>
          <w:kern w:val="0"/>
          <w:sz w:val="32"/>
          <w:szCs w:val="32"/>
          <w:lang w:eastAsia="zh-CN"/>
        </w:rPr>
        <w:t>农民工点对点输送包车费用，农村劳动力转移就业招聘会、农民工</w:t>
      </w:r>
      <w:r>
        <w:rPr>
          <w:rFonts w:hint="eastAsia" w:ascii="仿宋" w:hAnsi="仿宋" w:eastAsia="仿宋" w:cs="仿宋"/>
          <w:b w:val="0"/>
          <w:bCs w:val="0"/>
          <w:kern w:val="0"/>
          <w:sz w:val="32"/>
          <w:szCs w:val="32"/>
          <w:lang w:val="en-US" w:eastAsia="zh-CN"/>
        </w:rPr>
        <w:t>公共就业服务</w:t>
      </w:r>
      <w:r>
        <w:rPr>
          <w:rFonts w:hint="eastAsia" w:ascii="仿宋" w:hAnsi="仿宋" w:eastAsia="仿宋" w:cs="仿宋"/>
          <w:b w:val="0"/>
          <w:bCs w:val="0"/>
          <w:kern w:val="0"/>
          <w:sz w:val="32"/>
          <w:szCs w:val="32"/>
          <w:lang w:eastAsia="zh-CN"/>
        </w:rPr>
        <w:t>、农民工创业就业工作其他支出等</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增长11.87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增长3.07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增长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主要原因是：当年上级投入农民工奖补资金比前一年度多级人员经费增加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rPr>
        <w:t>按照国家政策规定向职工发放的住房公积金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增长12.56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0"/>
          <w:sz w:val="32"/>
          <w:szCs w:val="32"/>
        </w:rPr>
        <w:t>主要原因是</w:t>
      </w:r>
      <w:r>
        <w:rPr>
          <w:rFonts w:hint="eastAsia" w:ascii="仿宋" w:hAnsi="仿宋" w:eastAsia="仿宋" w:cs="仿宋"/>
          <w:color w:val="auto"/>
          <w:kern w:val="0"/>
          <w:sz w:val="32"/>
          <w:szCs w:val="32"/>
          <w:lang w:eastAsia="zh-CN"/>
        </w:rPr>
        <w:t>上一年度在职人员平均工资较前一年提高</w:t>
      </w:r>
      <w:r>
        <w:rPr>
          <w:rFonts w:hint="eastAsia" w:ascii="仿宋" w:hAnsi="仿宋" w:eastAsia="仿宋" w:cs="仿宋"/>
          <w:color w:val="auto"/>
          <w:kern w:val="2"/>
          <w:sz w:val="32"/>
          <w:szCs w:val="32"/>
          <w:highlight w:val="none"/>
          <w:lang w:val="en-US" w:eastAsia="zh-CN" w:bidi="ar"/>
        </w:rPr>
        <w:t>。</w:t>
      </w:r>
    </w:p>
    <w:p>
      <w:pPr>
        <w:autoSpaceDE w:val="0"/>
        <w:autoSpaceDN w:val="0"/>
        <w:adjustRightInd w:val="0"/>
        <w:spacing w:line="600" w:lineRule="exact"/>
        <w:ind w:firstLine="640" w:firstLineChars="200"/>
        <w:jc w:val="left"/>
        <w:rPr>
          <w:rFonts w:hint="eastAsia" w:ascii="仿宋" w:hAnsi="仿宋" w:eastAsia="仿宋" w:cs="仿宋"/>
          <w:color w:val="auto"/>
          <w:kern w:val="0"/>
          <w:sz w:val="32"/>
          <w:szCs w:val="32"/>
          <w:lang w:eastAsia="zh-CN"/>
        </w:rPr>
      </w:pPr>
      <w:r>
        <w:rPr>
          <w:rFonts w:hint="eastAsia" w:ascii="仿宋_GB2312" w:eastAsia="仿宋_GB2312" w:cs="仿宋_GB2312"/>
          <w:b w:val="0"/>
          <w:bCs w:val="0"/>
          <w:color w:val="auto"/>
          <w:kern w:val="0"/>
          <w:sz w:val="32"/>
          <w:szCs w:val="32"/>
          <w:lang w:val="en-US" w:eastAsia="zh-CN"/>
        </w:rPr>
        <w:t>3.其他支出（229）20.98万元，主要用于在职人员年度绩效考评奖金。</w:t>
      </w:r>
      <w:r>
        <w:rPr>
          <w:rFonts w:hint="eastAsia" w:ascii="仿宋" w:hAnsi="仿宋" w:eastAsia="仿宋" w:cs="仿宋"/>
          <w:spacing w:val="-3"/>
          <w:kern w:val="0"/>
          <w:sz w:val="32"/>
          <w:szCs w:val="32"/>
        </w:rPr>
        <w:t>较20</w:t>
      </w:r>
      <w:r>
        <w:rPr>
          <w:rFonts w:hint="eastAsia" w:ascii="仿宋" w:hAnsi="仿宋" w:eastAsia="仿宋" w:cs="仿宋"/>
          <w:spacing w:val="-3"/>
          <w:kern w:val="0"/>
          <w:sz w:val="32"/>
          <w:szCs w:val="32"/>
          <w:lang w:val="en-US" w:eastAsia="zh-CN"/>
        </w:rPr>
        <w:t>22</w:t>
      </w:r>
      <w:r>
        <w:rPr>
          <w:rFonts w:hint="eastAsia" w:ascii="仿宋" w:hAnsi="仿宋" w:eastAsia="仿宋" w:cs="仿宋"/>
          <w:spacing w:val="-3"/>
          <w:kern w:val="0"/>
          <w:sz w:val="32"/>
          <w:szCs w:val="32"/>
        </w:rPr>
        <w:t>年度决算数</w:t>
      </w:r>
      <w:r>
        <w:rPr>
          <w:rFonts w:hint="eastAsia" w:ascii="仿宋" w:hAnsi="仿宋" w:eastAsia="仿宋" w:cs="仿宋"/>
          <w:spacing w:val="-3"/>
          <w:kern w:val="0"/>
          <w:sz w:val="32"/>
          <w:szCs w:val="32"/>
          <w:lang w:val="en-US" w:eastAsia="zh-CN"/>
        </w:rPr>
        <w:t>减少2.88</w:t>
      </w:r>
      <w:r>
        <w:rPr>
          <w:rFonts w:hint="eastAsia" w:ascii="仿宋" w:hAnsi="仿宋" w:eastAsia="仿宋" w:cs="仿宋"/>
          <w:spacing w:val="-3"/>
          <w:kern w:val="0"/>
          <w:sz w:val="32"/>
          <w:szCs w:val="32"/>
        </w:rPr>
        <w:t>万元，</w:t>
      </w:r>
      <w:r>
        <w:rPr>
          <w:rFonts w:hint="eastAsia" w:ascii="仿宋" w:hAnsi="仿宋" w:eastAsia="仿宋" w:cs="仿宋"/>
          <w:spacing w:val="-3"/>
          <w:kern w:val="0"/>
          <w:sz w:val="32"/>
          <w:szCs w:val="32"/>
          <w:lang w:val="en-US" w:eastAsia="zh-CN"/>
        </w:rPr>
        <w:t>减少12.07</w:t>
      </w:r>
      <w:r>
        <w:rPr>
          <w:rFonts w:hint="eastAsia" w:ascii="仿宋" w:hAnsi="仿宋" w:eastAsia="仿宋" w:cs="仿宋"/>
          <w:spacing w:val="-3"/>
          <w:kern w:val="0"/>
          <w:sz w:val="32"/>
          <w:szCs w:val="32"/>
        </w:rPr>
        <w:t>%，</w:t>
      </w:r>
      <w:r>
        <w:rPr>
          <w:rFonts w:hint="eastAsia" w:ascii="仿宋" w:hAnsi="仿宋" w:eastAsia="仿宋" w:cs="仿宋"/>
          <w:color w:val="auto"/>
          <w:spacing w:val="-3"/>
          <w:kern w:val="0"/>
          <w:sz w:val="32"/>
          <w:szCs w:val="32"/>
          <w:lang w:val="en-US" w:eastAsia="zh-CN"/>
        </w:rPr>
        <w:t>减少</w:t>
      </w:r>
      <w:r>
        <w:rPr>
          <w:rFonts w:hint="eastAsia" w:ascii="仿宋" w:hAnsi="仿宋" w:eastAsia="仿宋" w:cs="仿宋"/>
          <w:color w:val="auto"/>
          <w:kern w:val="0"/>
          <w:sz w:val="32"/>
          <w:szCs w:val="32"/>
        </w:rPr>
        <w:t>主要原因是</w:t>
      </w:r>
      <w:r>
        <w:rPr>
          <w:rFonts w:hint="eastAsia" w:ascii="仿宋" w:hAnsi="仿宋" w:eastAsia="仿宋" w:cs="仿宋"/>
          <w:color w:val="auto"/>
          <w:kern w:val="0"/>
          <w:sz w:val="32"/>
          <w:szCs w:val="32"/>
          <w:lang w:eastAsia="zh-CN"/>
        </w:rPr>
        <w:t>在职人员</w:t>
      </w:r>
      <w:r>
        <w:rPr>
          <w:rFonts w:hint="eastAsia" w:ascii="仿宋" w:hAnsi="仿宋" w:eastAsia="仿宋" w:cs="仿宋"/>
          <w:color w:val="auto"/>
          <w:kern w:val="0"/>
          <w:sz w:val="32"/>
          <w:szCs w:val="32"/>
          <w:lang w:val="en-US" w:eastAsia="zh-CN"/>
        </w:rPr>
        <w:t>基础绩效奖金68%随月工资发放不统计在本功能科目、当年无伙食补助发放</w:t>
      </w:r>
      <w:r>
        <w:rPr>
          <w:rFonts w:hint="eastAsia" w:ascii="仿宋" w:hAnsi="仿宋" w:eastAsia="仿宋" w:cs="仿宋"/>
          <w:color w:val="auto"/>
          <w:kern w:val="0"/>
          <w:sz w:val="32"/>
          <w:szCs w:val="32"/>
          <w:lang w:eastAsia="zh-CN"/>
        </w:rPr>
        <w:t>。</w:t>
      </w:r>
    </w:p>
    <w:p>
      <w:pPr>
        <w:autoSpaceDE w:val="0"/>
        <w:autoSpaceDN w:val="0"/>
        <w:adjustRightInd w:val="0"/>
        <w:spacing w:line="600" w:lineRule="exact"/>
        <w:ind w:firstLine="640" w:firstLineChars="200"/>
        <w:jc w:val="left"/>
        <w:rPr>
          <w:rFonts w:hint="default" w:ascii="仿宋_GB2312" w:eastAsia="仿宋_GB2312" w:cs="仿宋_GB2312"/>
          <w:b w:val="0"/>
          <w:bCs w:val="0"/>
          <w:color w:val="auto"/>
          <w:kern w:val="0"/>
          <w:sz w:val="32"/>
          <w:szCs w:val="32"/>
          <w:highlight w:val="yellow"/>
          <w:lang w:val="en-US" w:eastAsia="zh-CN"/>
        </w:rPr>
      </w:pPr>
      <w:r>
        <w:rPr>
          <w:rFonts w:hint="eastAsia" w:ascii="仿宋_GB2312" w:eastAsia="仿宋_GB2312" w:cs="仿宋_GB2312"/>
          <w:b w:val="0"/>
          <w:bCs w:val="0"/>
          <w:color w:val="auto"/>
          <w:kern w:val="0"/>
          <w:sz w:val="32"/>
          <w:szCs w:val="32"/>
          <w:highlight w:val="none"/>
          <w:lang w:val="en-US" w:eastAsia="zh-CN"/>
        </w:rPr>
        <w:t>4.一般公共服务</w:t>
      </w:r>
      <w:r>
        <w:rPr>
          <w:rFonts w:hint="eastAsia" w:ascii="仿宋" w:hAnsi="仿宋" w:eastAsia="仿宋" w:cs="仿宋"/>
          <w:color w:val="000000"/>
          <w:kern w:val="0"/>
          <w:sz w:val="32"/>
          <w:szCs w:val="32"/>
          <w:highlight w:val="none"/>
          <w:lang w:bidi="ar"/>
        </w:rPr>
        <w:t>其他群众团体事务支出</w:t>
      </w:r>
      <w:r>
        <w:rPr>
          <w:rFonts w:hint="eastAsia" w:ascii="仿宋_GB2312" w:eastAsia="仿宋_GB2312" w:cs="仿宋_GB2312"/>
          <w:b w:val="0"/>
          <w:bCs w:val="0"/>
          <w:color w:val="auto"/>
          <w:kern w:val="0"/>
          <w:sz w:val="32"/>
          <w:szCs w:val="32"/>
          <w:highlight w:val="none"/>
          <w:lang w:val="en-US" w:eastAsia="zh-CN"/>
        </w:rPr>
        <w:t>（201）1.90万元，</w:t>
      </w:r>
      <w:r>
        <w:rPr>
          <w:rFonts w:hint="eastAsia" w:ascii="仿宋" w:hAnsi="仿宋" w:eastAsia="仿宋" w:cs="仿宋"/>
          <w:b w:val="0"/>
          <w:bCs w:val="0"/>
          <w:color w:val="auto"/>
          <w:kern w:val="0"/>
          <w:sz w:val="32"/>
          <w:szCs w:val="32"/>
          <w:highlight w:val="none"/>
          <w:lang w:val="en-US" w:eastAsia="zh-CN"/>
        </w:rPr>
        <w:t>工会经费主要用于在职人员为职工服务和开展工会活动。</w:t>
      </w:r>
    </w:p>
    <w:p>
      <w:pPr>
        <w:autoSpaceDE w:val="0"/>
        <w:autoSpaceDN w:val="0"/>
        <w:adjustRightInd w:val="0"/>
        <w:spacing w:line="600" w:lineRule="exact"/>
        <w:jc w:val="left"/>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spacing w:val="-3"/>
          <w:kern w:val="0"/>
          <w:sz w:val="32"/>
          <w:szCs w:val="32"/>
          <w:highlight w:val="none"/>
        </w:rPr>
        <w:t>较20</w:t>
      </w:r>
      <w:r>
        <w:rPr>
          <w:rFonts w:hint="eastAsia" w:ascii="仿宋" w:hAnsi="仿宋" w:eastAsia="仿宋" w:cs="仿宋"/>
          <w:color w:val="auto"/>
          <w:spacing w:val="-3"/>
          <w:kern w:val="0"/>
          <w:sz w:val="32"/>
          <w:szCs w:val="32"/>
          <w:highlight w:val="none"/>
          <w:lang w:val="en-US" w:eastAsia="zh-CN"/>
        </w:rPr>
        <w:t>22</w:t>
      </w:r>
      <w:r>
        <w:rPr>
          <w:rFonts w:hint="eastAsia" w:ascii="仿宋" w:hAnsi="仿宋" w:eastAsia="仿宋" w:cs="仿宋"/>
          <w:color w:val="auto"/>
          <w:spacing w:val="-3"/>
          <w:kern w:val="0"/>
          <w:sz w:val="32"/>
          <w:szCs w:val="32"/>
          <w:highlight w:val="none"/>
        </w:rPr>
        <w:t>年度决算数</w:t>
      </w:r>
      <w:r>
        <w:rPr>
          <w:rFonts w:hint="eastAsia" w:ascii="仿宋" w:hAnsi="仿宋" w:eastAsia="仿宋" w:cs="仿宋"/>
          <w:color w:val="auto"/>
          <w:spacing w:val="-3"/>
          <w:kern w:val="0"/>
          <w:sz w:val="32"/>
          <w:szCs w:val="32"/>
          <w:highlight w:val="none"/>
          <w:lang w:val="en-US" w:eastAsia="zh-CN"/>
        </w:rPr>
        <w:t>增加0.29</w:t>
      </w:r>
      <w:r>
        <w:rPr>
          <w:rFonts w:hint="eastAsia" w:ascii="仿宋" w:hAnsi="仿宋" w:eastAsia="仿宋" w:cs="仿宋"/>
          <w:color w:val="auto"/>
          <w:spacing w:val="-3"/>
          <w:kern w:val="0"/>
          <w:sz w:val="32"/>
          <w:szCs w:val="32"/>
          <w:highlight w:val="none"/>
        </w:rPr>
        <w:t>万元，</w:t>
      </w:r>
      <w:r>
        <w:rPr>
          <w:rFonts w:hint="eastAsia" w:ascii="仿宋" w:hAnsi="仿宋" w:eastAsia="仿宋" w:cs="仿宋"/>
          <w:color w:val="auto"/>
          <w:spacing w:val="-3"/>
          <w:kern w:val="0"/>
          <w:sz w:val="32"/>
          <w:szCs w:val="32"/>
          <w:highlight w:val="none"/>
          <w:lang w:val="en-US" w:eastAsia="zh-CN"/>
        </w:rPr>
        <w:t>增加</w:t>
      </w:r>
      <w:r>
        <w:rPr>
          <w:rFonts w:hint="eastAsia" w:ascii="仿宋" w:hAnsi="仿宋" w:eastAsia="仿宋" w:cs="仿宋"/>
          <w:color w:val="auto"/>
          <w:kern w:val="0"/>
          <w:sz w:val="32"/>
          <w:szCs w:val="32"/>
          <w:highlight w:val="none"/>
        </w:rPr>
        <w:t>主要原因是</w:t>
      </w:r>
      <w:r>
        <w:rPr>
          <w:rFonts w:hint="eastAsia" w:ascii="仿宋" w:hAnsi="仿宋" w:eastAsia="仿宋" w:cs="仿宋"/>
          <w:color w:val="auto"/>
          <w:kern w:val="0"/>
          <w:sz w:val="32"/>
          <w:szCs w:val="32"/>
          <w:highlight w:val="none"/>
          <w:lang w:val="en-US" w:eastAsia="zh-CN"/>
        </w:rPr>
        <w:t>人员经费增加。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suppressLineNumbers w:val="0"/>
        <w:spacing w:before="0" w:beforeAutospacing="0" w:after="0" w:afterAutospacing="0"/>
        <w:ind w:right="0"/>
        <w:jc w:val="left"/>
        <w:rPr>
          <w:rFonts w:hint="eastAsia" w:ascii="仿宋" w:hAnsi="仿宋" w:eastAsia="仿宋" w:cs="仿宋"/>
          <w:color w:val="auto"/>
          <w:kern w:val="2"/>
          <w:sz w:val="32"/>
          <w:szCs w:val="32"/>
          <w:highlight w:val="none"/>
          <w:lang w:val="en-US" w:eastAsia="zh-CN" w:bidi="ar"/>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433.74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增加10.61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2.5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163.61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270.13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156.56</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433.74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277.04</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社会保障和就业支出</w:t>
      </w:r>
      <w:r>
        <w:rPr>
          <w:rFonts w:ascii="仿宋" w:hAnsi="仿宋" w:eastAsia="仿宋"/>
          <w:sz w:val="32"/>
          <w:highlight w:val="none"/>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142.68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399.03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279.66</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预决算差异</w:t>
      </w:r>
      <w:r>
        <w:rPr>
          <w:rFonts w:hint="eastAsia" w:ascii="仿宋" w:hAnsi="仿宋" w:eastAsia="仿宋"/>
          <w:color w:val="000000" w:themeColor="text1"/>
          <w:sz w:val="32"/>
          <w:szCs w:val="32"/>
          <w:highlight w:val="none"/>
          <w:lang w:val="en-US" w:eastAsia="zh-CN"/>
          <w14:textFill>
            <w14:solidFill>
              <w14:schemeClr w14:val="tx1"/>
            </w14:solidFill>
          </w14:textFill>
        </w:rPr>
        <w:t>原因</w:t>
      </w:r>
      <w:r>
        <w:rPr>
          <w:rFonts w:hint="eastAsia" w:ascii="仿宋" w:hAnsi="仿宋" w:eastAsia="仿宋" w:cs="仿宋"/>
          <w:color w:val="auto"/>
          <w:kern w:val="2"/>
          <w:sz w:val="32"/>
          <w:szCs w:val="32"/>
          <w:highlight w:val="none"/>
          <w:lang w:val="en-US" w:eastAsia="zh-CN" w:bidi="ar"/>
        </w:rPr>
        <w:t>：人员经费增加、上级就业补助资金加大投入，农民工奖补资金项目开展规模扩大。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在职在编人员单位机关养老缴费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减少主要原因是年内2人在职转退休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2080799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其他就业补助支出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服务实体经济用工专场招聘活动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年初无预算，年中上级追加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就业管理事务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105.66%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kern w:val="0"/>
                <w:sz w:val="18"/>
                <w:szCs w:val="18"/>
                <w:lang w:eastAsia="zh-CN"/>
              </w:rPr>
            </w:pPr>
            <w:r>
              <w:rPr>
                <w:rFonts w:hint="eastAsia" w:ascii="宋体" w:hAnsi="宋体" w:eastAsia="宋体" w:cs="宋体"/>
                <w:b w:val="0"/>
                <w:bCs w:val="0"/>
                <w:kern w:val="0"/>
                <w:sz w:val="18"/>
                <w:szCs w:val="18"/>
                <w:lang w:eastAsia="zh-CN"/>
              </w:rPr>
              <w:t>人员经费、日常公用经费、职业技能培训工作经费、公共就业服务工作经费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309"/>
              </w:tabs>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增加主要原因人员经费增加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其他人力资源和社会保障管理事务支出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248.28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kern w:val="0"/>
                <w:sz w:val="18"/>
                <w:szCs w:val="18"/>
                <w:lang w:eastAsia="zh-CN"/>
              </w:rPr>
              <w:t>农民工点对点输送包车费用，农村劳动力转移就业招聘会、农民工创业奖补、农民工创业就业工作其他支出等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tabs>
                <w:tab w:val="left" w:pos="309"/>
              </w:tabs>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ab/>
            </w:r>
            <w:r>
              <w:rPr>
                <w:rFonts w:hint="eastAsia" w:ascii="宋体" w:hAnsi="宋体" w:eastAsia="宋体" w:cs="宋体"/>
                <w:i w:val="0"/>
                <w:iCs w:val="0"/>
                <w:color w:val="auto"/>
                <w:sz w:val="18"/>
                <w:szCs w:val="18"/>
                <w:highlight w:val="none"/>
                <w:u w:val="none"/>
                <w:lang w:val="en-US" w:eastAsia="zh-CN"/>
              </w:rPr>
              <w:t>上级增加农民工奖补资金投入，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419.88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265.92%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hint="eastAsia" w:ascii="仿宋" w:hAnsi="仿宋" w:eastAsia="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highlight w:val="none"/>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11.97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11.83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98.83</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预决算差异</w:t>
      </w:r>
      <w:r>
        <w:rPr>
          <w:rFonts w:hint="eastAsia" w:ascii="仿宋" w:hAnsi="仿宋" w:eastAsia="仿宋"/>
          <w:color w:val="000000" w:themeColor="text1"/>
          <w:sz w:val="32"/>
          <w:szCs w:val="32"/>
          <w:highlight w:val="none"/>
          <w:lang w:val="en-US" w:eastAsia="zh-CN"/>
          <w14:textFill>
            <w14:solidFill>
              <w14:schemeClr w14:val="tx1"/>
            </w14:solidFill>
          </w14:textFill>
        </w:rPr>
        <w:t>原因：年内2人在职转退休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20"/>
                <w:szCs w:val="20"/>
              </w:rPr>
              <w:t>按照国家政策规定向职工发放的住房公积金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年内2人在职转退休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98.96%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p>
    <w:p>
      <w:pPr>
        <w:jc w:val="center"/>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163.61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150.35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13.26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146.05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119.4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人员经费增加。</w:t>
      </w:r>
    </w:p>
    <w:p>
      <w:pPr>
        <w:jc w:val="left"/>
        <w:rPr>
          <w:rFonts w:hint="eastAsia" w:ascii="仿宋" w:hAnsi="仿宋" w:eastAsia="仿宋" w:cs="仿宋"/>
          <w:sz w:val="32"/>
          <w:szCs w:val="32"/>
          <w:highlight w:val="yellow"/>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39.07万元，30102津贴补贴21.24万元，30103奖金49.68万元，30108机关事业单位基本养老保险缴费14.85万元，30110职工基本医疗保险缴费6.18万元，30112其他社会保障缴费0.93万元，30113住房公积金11.83万元，30199其他工资福利支出2.28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hint="default" w:ascii="仿宋" w:hAnsi="仿宋" w:eastAsia="仿宋" w:cs="仿宋"/>
          <w:sz w:val="32"/>
          <w:szCs w:val="32"/>
          <w:highlight w:val="none"/>
          <w:lang w:val="en-US" w:eastAsia="zh-CN"/>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13.26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99.55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主要原因是：年内2人在职转退休</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30201办公费0.62万元，30205水费0.13万元，30206电费0.23万元，30207邮电费1.58万元，</w:t>
      </w:r>
      <w:bookmarkStart w:id="4" w:name="OLE_LINK5"/>
      <w:r>
        <w:rPr>
          <w:rFonts w:hint="eastAsia" w:ascii="仿宋" w:hAnsi="仿宋" w:eastAsia="仿宋" w:cs="仿宋"/>
          <w:sz w:val="32"/>
          <w:szCs w:val="32"/>
          <w:highlight w:val="none"/>
          <w:lang w:val="en-US" w:eastAsia="zh-CN"/>
        </w:rPr>
        <w:t>30209物业管理费0.04万元</w:t>
      </w:r>
      <w:bookmarkEnd w:id="4"/>
      <w:r>
        <w:rPr>
          <w:rFonts w:hint="eastAsia" w:ascii="仿宋" w:hAnsi="仿宋" w:eastAsia="仿宋" w:cs="仿宋"/>
          <w:sz w:val="32"/>
          <w:szCs w:val="32"/>
          <w:highlight w:val="none"/>
          <w:lang w:val="en-US" w:eastAsia="zh-CN"/>
        </w:rPr>
        <w:t>，30213维护费0.27万元，30226劳务费0.57万元，30228工会经费1.90万元，30239其他交通费7.92万元。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highlight w:val="none"/>
          <w:u w:color="auto"/>
          <w:lang w:val="en-US" w:eastAsia="zh-CN"/>
        </w:rPr>
        <w:t>4.30</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225.13</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预决算差异</w:t>
      </w:r>
      <w:r>
        <w:rPr>
          <w:rFonts w:hint="eastAsia" w:ascii="仿宋" w:hAnsi="仿宋" w:eastAsia="仿宋" w:cs="仿宋"/>
          <w:color w:val="auto"/>
          <w:kern w:val="2"/>
          <w:sz w:val="32"/>
          <w:szCs w:val="32"/>
          <w:highlight w:val="none"/>
          <w:lang w:val="en-US" w:eastAsia="zh-CN" w:bidi="ar"/>
        </w:rPr>
        <w:t>主要原因是：年中有2人在职转退休，生活补助费增加。</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30305生活补助4.29万元，30309奖励金0.01万元。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hint="default" w:ascii="仿宋" w:hAnsi="仿宋" w:eastAsia="仿宋" w:cs="仿宋"/>
          <w:sz w:val="32"/>
          <w:szCs w:val="32"/>
          <w:highlight w:val="none"/>
          <w:lang w:val="en-US" w:eastAsia="zh-CN"/>
        </w:rPr>
      </w:pPr>
    </w:p>
    <w:p>
      <w:pPr>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本单位无此项业务。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highlight w:val="none"/>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hint="default" w:ascii="仿宋" w:hAnsi="仿宋" w:eastAsia="仿宋" w:cs="仿宋"/>
          <w:sz w:val="32"/>
          <w:szCs w:val="32"/>
          <w:highlight w:val="none"/>
          <w:lang w:val="en-US" w:eastAsia="zh-CN"/>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本单位无此项业务。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环江县就业服务中心</w:t>
      </w:r>
      <w:r>
        <w:rPr>
          <w:rFonts w:ascii="仿宋_GB2312" w:hAnsi="仿宋_GB2312" w:eastAsia="仿宋_GB2312" w:cs="仿宋_GB2312"/>
          <w:color w:val="auto"/>
          <w:sz w:val="32"/>
          <w:highlight w:val="none"/>
          <w:u w:color="auto"/>
        </w:rPr>
        <w:t>没有政府性基金收入，也没有政府性基金收入安排的支出</w:t>
      </w:r>
      <w:r>
        <w:rPr>
          <w:rFonts w:hint="eastAsia" w:ascii="仿宋_GB2312" w:hAnsi="Times New Roman" w:eastAsia="仿宋_GB2312" w:cs="Times New Roman"/>
          <w:color w:val="auto"/>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环江县就业服务中心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lang w:val="en-US" w:eastAsia="zh-CN"/>
        </w:rPr>
        <w:t>环江县就业服务中心2023年度</w:t>
      </w:r>
      <w:r>
        <w:rPr>
          <w:rFonts w:ascii="仿宋_GB2312" w:hAnsi="仿宋_GB2312" w:eastAsia="仿宋_GB2312" w:cs="仿宋_GB2312"/>
          <w:color w:val="auto"/>
          <w:sz w:val="32"/>
          <w:u w:color="auto"/>
        </w:rPr>
        <w:t>没有国有资本经营预算收入，也没有国有资本经营预算</w:t>
      </w:r>
      <w:r>
        <w:rPr>
          <w:rFonts w:hint="eastAsia" w:ascii="仿宋_GB2312" w:hAnsi="Times New Roman" w:eastAsia="仿宋_GB2312" w:cs="Times New Roman"/>
          <w:color w:val="auto"/>
          <w:sz w:val="32"/>
          <w:szCs w:val="32"/>
        </w:rPr>
        <w:t>安排的支出</w:t>
      </w:r>
      <w:bookmarkEnd w:id="5"/>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0.71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50.71</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减少0.03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主要原因是：当年公务接待费用未全部</w:t>
      </w:r>
      <w:r>
        <w:rPr>
          <w:rFonts w:hint="eastAsia" w:ascii="仿宋" w:hAnsi="仿宋" w:eastAsia="仿宋" w:cs="仿宋"/>
          <w:color w:val="auto"/>
          <w:kern w:val="2"/>
          <w:sz w:val="32"/>
          <w:szCs w:val="32"/>
          <w:highlight w:val="none"/>
          <w:lang w:val="en-US" w:eastAsia="zh-CN" w:bidi="ar"/>
        </w:rPr>
        <w:t>结清。</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0.71</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5"/>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w:t>
      </w:r>
      <w:r>
        <w:rPr>
          <w:rFonts w:hint="eastAsia" w:ascii="仿宋" w:hAnsi="仿宋" w:eastAsia="仿宋" w:cs="仿宋"/>
          <w:sz w:val="32"/>
          <w:szCs w:val="32"/>
          <w:highlight w:val="none"/>
        </w:rPr>
        <w:t>因公出国</w:t>
      </w:r>
      <w:r>
        <w:rPr>
          <w:rFonts w:hint="eastAsia" w:ascii="仿宋" w:hAnsi="仿宋" w:eastAsia="仿宋" w:cs="仿宋"/>
          <w:sz w:val="32"/>
          <w:szCs w:val="32"/>
          <w:highlight w:val="none"/>
          <w:lang w:val="en-US" w:eastAsia="zh-CN"/>
        </w:rPr>
        <w:t>费用</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w:t>
      </w:r>
      <w:bookmarkStart w:id="6"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6"/>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0.71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50.71</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减少0.03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当年公务接待费用未全部</w:t>
      </w:r>
      <w:r>
        <w:rPr>
          <w:rFonts w:hint="eastAsia" w:ascii="仿宋" w:hAnsi="仿宋" w:eastAsia="仿宋" w:cs="仿宋"/>
          <w:color w:val="auto"/>
          <w:kern w:val="2"/>
          <w:sz w:val="32"/>
          <w:szCs w:val="32"/>
          <w:highlight w:val="none"/>
          <w:lang w:val="en-US" w:eastAsia="zh-CN" w:bidi="ar"/>
        </w:rPr>
        <w:t>结清。</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74</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highlight w:val="yellow"/>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13.26</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增长0.5</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1.45</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12.28</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。主要原因是：人员</w:t>
      </w:r>
      <w:r>
        <w:rPr>
          <w:rFonts w:hint="eastAsia" w:ascii="仿宋" w:hAnsi="仿宋" w:eastAsia="仿宋" w:cs="仿宋"/>
          <w:color w:val="auto"/>
          <w:sz w:val="32"/>
          <w:szCs w:val="32"/>
          <w:highlight w:val="none"/>
          <w:lang w:val="en-US" w:eastAsia="zh-CN"/>
        </w:rPr>
        <w:t>调入经费增加。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44.62</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11.58</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33.04</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44.62</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44.62</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w:t>
      </w:r>
      <w:r>
        <w:rPr>
          <w:rFonts w:hint="eastAsia" w:ascii="仿宋" w:hAnsi="仿宋" w:eastAsia="仿宋" w:cs="仿宋"/>
          <w:color w:val="000000" w:themeColor="text1"/>
          <w:sz w:val="32"/>
          <w:szCs w:val="32"/>
          <w:lang w:val="en-US" w:eastAsia="zh-CN"/>
          <w14:textFill>
            <w14:solidFill>
              <w14:schemeClr w14:val="tx1"/>
            </w14:solidFill>
          </w14:textFill>
        </w:rPr>
        <w:t>7个项目</w:t>
      </w:r>
      <w:r>
        <w:rPr>
          <w:rFonts w:hint="eastAsia" w:ascii="仿宋" w:hAnsi="仿宋" w:eastAsia="仿宋" w:cs="仿宋"/>
          <w:color w:val="000000" w:themeColor="text1"/>
          <w:sz w:val="32"/>
          <w:szCs w:val="32"/>
          <w14:textFill>
            <w14:solidFill>
              <w14:schemeClr w14:val="tx1"/>
            </w14:solidFill>
          </w14:textFill>
        </w:rPr>
        <w:t>全面开展绩效自评。其中，一</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291.10</w:t>
      </w:r>
      <w:r>
        <w:rPr>
          <w:rFonts w:hint="eastAsia" w:ascii="仿宋" w:hAnsi="仿宋" w:eastAsia="仿宋" w:cs="仿宋"/>
          <w:color w:val="000000" w:themeColor="text1"/>
          <w:sz w:val="32"/>
          <w:szCs w:val="32"/>
          <w:highlight w:val="none"/>
          <w14:textFill>
            <w14:solidFill>
              <w14:schemeClr w14:val="tx1"/>
            </w14:solidFill>
          </w14:textFill>
        </w:rPr>
        <w:t>万元，占一般公共预算项目支出总额的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1532.11</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auto"/>
          <w:sz w:val="32"/>
          <w:szCs w:val="32"/>
          <w:highlight w:val="none"/>
        </w:rPr>
        <w:t>组</w:t>
      </w:r>
      <w:r>
        <w:rPr>
          <w:rFonts w:hint="eastAsia" w:ascii="仿宋" w:hAnsi="仿宋" w:eastAsia="仿宋" w:cs="仿宋"/>
          <w:color w:val="000000" w:themeColor="text1"/>
          <w:sz w:val="32"/>
          <w:szCs w:val="32"/>
          <w14:textFill>
            <w14:solidFill>
              <w14:schemeClr w14:val="tx1"/>
            </w14:solidFill>
          </w14:textFill>
        </w:rPr>
        <w:t>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290.18</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各项目指标完工率100%，达到预期效果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0.92</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各项目指标完工率100%，达到预期效果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291.10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整体各项指标达到预期目标，资金用途效果明细。</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开展自评。</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公共就业服务工作经费项目自评</w:t>
      </w:r>
      <w:r>
        <w:rPr>
          <w:rFonts w:hint="eastAsia" w:ascii="仿宋" w:hAnsi="仿宋" w:eastAsia="仿宋" w:cs="仿宋"/>
          <w:color w:val="000000" w:themeColor="text1"/>
          <w:sz w:val="32"/>
          <w:szCs w:val="32"/>
          <w:highlight w:val="none"/>
          <w14:textFill>
            <w14:solidFill>
              <w14:schemeClr w14:val="tx1"/>
            </w14:solidFill>
          </w14:textFill>
        </w:rPr>
        <w:t>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99.87</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w:t>
      </w:r>
      <w:r>
        <w:rPr>
          <w:rFonts w:hint="eastAsia" w:ascii="仿宋" w:hAnsi="仿宋" w:eastAsia="仿宋" w:cs="仿宋"/>
          <w:color w:val="000000" w:themeColor="text1"/>
          <w:sz w:val="32"/>
          <w:szCs w:val="32"/>
          <w14:textFill>
            <w14:solidFill>
              <w14:schemeClr w14:val="tx1"/>
            </w14:solidFill>
          </w14:textFill>
        </w:rPr>
        <w:t>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预算执行率不够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加快资金资金支出进度</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职业技能培训工作经费项目自评得分为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val="en-US" w:eastAsia="zh-CN"/>
          <w14:textFill>
            <w14:solidFill>
              <w14:schemeClr w14:val="tx1"/>
            </w14:solidFill>
          </w14:textFill>
        </w:rPr>
        <w:t>问题无需整改。</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零</w:t>
      </w:r>
      <w:r>
        <w:rPr>
          <w:rFonts w:hint="eastAsia" w:ascii="仿宋" w:hAnsi="仿宋" w:eastAsia="仿宋" w:cs="仿宋"/>
          <w:color w:val="000000" w:themeColor="text1"/>
          <w:sz w:val="32"/>
          <w:szCs w:val="32"/>
          <w14:textFill>
            <w14:solidFill>
              <w14:schemeClr w14:val="tx1"/>
            </w14:solidFill>
          </w14:textFill>
        </w:rPr>
        <w:t>工市场</w:t>
      </w:r>
      <w:r>
        <w:rPr>
          <w:rFonts w:hint="eastAsia" w:ascii="仿宋" w:hAnsi="仿宋" w:eastAsia="仿宋" w:cs="仿宋"/>
          <w:color w:val="000000" w:themeColor="text1"/>
          <w:sz w:val="32"/>
          <w:szCs w:val="32"/>
          <w:lang w:val="en-US" w:eastAsia="zh-CN"/>
          <w14:textFill>
            <w14:solidFill>
              <w14:schemeClr w14:val="tx1"/>
            </w14:solidFill>
          </w14:textFill>
        </w:rPr>
        <w:t>及帮扶车间工作经费</w:t>
      </w:r>
      <w:r>
        <w:rPr>
          <w:rFonts w:hint="eastAsia" w:ascii="仿宋" w:hAnsi="仿宋" w:eastAsia="仿宋" w:cs="仿宋"/>
          <w:color w:val="000000" w:themeColor="text1"/>
          <w:sz w:val="32"/>
          <w:szCs w:val="32"/>
          <w14:textFill>
            <w14:solidFill>
              <w14:schemeClr w14:val="tx1"/>
            </w14:solidFill>
          </w14:textFill>
        </w:rPr>
        <w:t>项目自</w:t>
      </w:r>
      <w:r>
        <w:rPr>
          <w:rFonts w:hint="eastAsia" w:ascii="仿宋" w:hAnsi="仿宋" w:eastAsia="仿宋" w:cs="仿宋"/>
          <w:color w:val="000000" w:themeColor="text1"/>
          <w:sz w:val="32"/>
          <w:szCs w:val="32"/>
          <w:highlight w:val="none"/>
          <w14:textFill>
            <w14:solidFill>
              <w14:schemeClr w14:val="tx1"/>
            </w14:solidFill>
          </w14:textFill>
        </w:rPr>
        <w:t>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88.3</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预算执行率不够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加快资金资金支出进度。</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奖励性补贴项目自</w:t>
      </w:r>
      <w:r>
        <w:rPr>
          <w:rFonts w:hint="eastAsia" w:ascii="仿宋" w:hAnsi="仿宋" w:eastAsia="仿宋" w:cs="仿宋"/>
          <w:color w:val="000000" w:themeColor="text1"/>
          <w:sz w:val="32"/>
          <w:szCs w:val="32"/>
          <w:highlight w:val="none"/>
          <w14:textFill>
            <w14:solidFill>
              <w14:schemeClr w14:val="tx1"/>
            </w14:solidFill>
          </w14:textFill>
        </w:rPr>
        <w:t>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val="en-US" w:eastAsia="zh-CN"/>
          <w14:textFill>
            <w14:solidFill>
              <w14:schemeClr w14:val="tx1"/>
            </w14:solidFill>
          </w14:textFill>
        </w:rPr>
        <w:t>问题无需整改。</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非三保</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项目自</w:t>
      </w:r>
      <w:r>
        <w:rPr>
          <w:rFonts w:hint="eastAsia" w:ascii="仿宋" w:hAnsi="仿宋" w:eastAsia="仿宋" w:cs="仿宋"/>
          <w:color w:val="000000" w:themeColor="text1"/>
          <w:sz w:val="32"/>
          <w:szCs w:val="32"/>
          <w:highlight w:val="none"/>
          <w14:textFill>
            <w14:solidFill>
              <w14:schemeClr w14:val="tx1"/>
            </w14:solidFill>
          </w14:textFill>
        </w:rPr>
        <w:t>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val="en-US" w:eastAsia="zh-CN"/>
          <w14:textFill>
            <w14:solidFill>
              <w14:schemeClr w14:val="tx1"/>
            </w14:solidFill>
          </w14:textFill>
        </w:rPr>
        <w:t>问题无需整改。</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服务实体经济用工专场招聘活动资金项目</w:t>
      </w:r>
      <w:r>
        <w:rPr>
          <w:rFonts w:hint="eastAsia" w:ascii="仿宋" w:hAnsi="仿宋" w:eastAsia="仿宋" w:cs="仿宋"/>
          <w:color w:val="000000" w:themeColor="text1"/>
          <w:sz w:val="32"/>
          <w:szCs w:val="32"/>
          <w14:textFill>
            <w14:solidFill>
              <w14:schemeClr w14:val="tx1"/>
            </w14:solidFill>
          </w14:textFill>
        </w:rPr>
        <w:t>自</w:t>
      </w:r>
      <w:r>
        <w:rPr>
          <w:rFonts w:hint="eastAsia" w:ascii="仿宋" w:hAnsi="仿宋" w:eastAsia="仿宋" w:cs="仿宋"/>
          <w:color w:val="000000" w:themeColor="text1"/>
          <w:sz w:val="32"/>
          <w:szCs w:val="32"/>
          <w:highlight w:val="none"/>
          <w14:textFill>
            <w14:solidFill>
              <w14:schemeClr w14:val="tx1"/>
            </w14:solidFill>
          </w14:textFill>
        </w:rPr>
        <w:t>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val="en-US" w:eastAsia="zh-CN"/>
          <w14:textFill>
            <w14:solidFill>
              <w14:schemeClr w14:val="tx1"/>
            </w14:solidFill>
          </w14:textFill>
        </w:rPr>
        <w:t>问题无需整改。</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农民工奖补资金项目自评得分</w:t>
      </w:r>
      <w:r>
        <w:rPr>
          <w:rFonts w:hint="eastAsia" w:ascii="仿宋" w:hAnsi="仿宋" w:eastAsia="仿宋" w:cs="仿宋"/>
          <w:color w:val="000000" w:themeColor="text1"/>
          <w:sz w:val="32"/>
          <w:szCs w:val="32"/>
          <w:highlight w:val="none"/>
          <w14:textFill>
            <w14:solidFill>
              <w14:schemeClr w14:val="tx1"/>
            </w14:solidFill>
          </w14:textFill>
        </w:rPr>
        <w:t>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val="en-US" w:eastAsia="zh-CN"/>
          <w14:textFill>
            <w14:solidFill>
              <w14:schemeClr w14:val="tx1"/>
            </w14:solidFill>
          </w14:textFill>
        </w:rPr>
        <w:t>问题无需整改。</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E13D3"/>
    <w:multiLevelType w:val="singleLevel"/>
    <w:tmpl w:val="952E13D3"/>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B769EDD1"/>
    <w:multiLevelType w:val="singleLevel"/>
    <w:tmpl w:val="B769EDD1"/>
    <w:lvl w:ilvl="0" w:tentative="0">
      <w:start w:val="1"/>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4">
    <w:nsid w:val="2FB46B0B"/>
    <w:multiLevelType w:val="singleLevel"/>
    <w:tmpl w:val="2FB46B0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675E8"/>
    <w:rsid w:val="00382867"/>
    <w:rsid w:val="003A4973"/>
    <w:rsid w:val="003C1C96"/>
    <w:rsid w:val="003C69F8"/>
    <w:rsid w:val="003E40BA"/>
    <w:rsid w:val="003E7165"/>
    <w:rsid w:val="0041579D"/>
    <w:rsid w:val="00427074"/>
    <w:rsid w:val="00434D04"/>
    <w:rsid w:val="004C4D73"/>
    <w:rsid w:val="004D7D0E"/>
    <w:rsid w:val="004E4C8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53B99"/>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11F19"/>
    <w:rsid w:val="00F21455"/>
    <w:rsid w:val="00F5354B"/>
    <w:rsid w:val="00F95135"/>
    <w:rsid w:val="00F9658C"/>
    <w:rsid w:val="00F978FD"/>
    <w:rsid w:val="00FA738E"/>
    <w:rsid w:val="00FC438B"/>
    <w:rsid w:val="00FE6A97"/>
    <w:rsid w:val="01234E98"/>
    <w:rsid w:val="015F1951"/>
    <w:rsid w:val="01FE3350"/>
    <w:rsid w:val="020C171D"/>
    <w:rsid w:val="0216715F"/>
    <w:rsid w:val="02B00BF5"/>
    <w:rsid w:val="02E0291A"/>
    <w:rsid w:val="030F2294"/>
    <w:rsid w:val="031F2290"/>
    <w:rsid w:val="0351077F"/>
    <w:rsid w:val="03BE3331"/>
    <w:rsid w:val="03E147EA"/>
    <w:rsid w:val="03EA7678"/>
    <w:rsid w:val="03F12886"/>
    <w:rsid w:val="041C6F4E"/>
    <w:rsid w:val="0468701B"/>
    <w:rsid w:val="04E54546"/>
    <w:rsid w:val="051B106F"/>
    <w:rsid w:val="057F0D93"/>
    <w:rsid w:val="05992762"/>
    <w:rsid w:val="059C4161"/>
    <w:rsid w:val="06006D63"/>
    <w:rsid w:val="06C510AB"/>
    <w:rsid w:val="06C8772F"/>
    <w:rsid w:val="06CB49BC"/>
    <w:rsid w:val="06FA6082"/>
    <w:rsid w:val="072C64D0"/>
    <w:rsid w:val="077B1AD3"/>
    <w:rsid w:val="07B0770E"/>
    <w:rsid w:val="07DF75F9"/>
    <w:rsid w:val="082E7378"/>
    <w:rsid w:val="08876B0D"/>
    <w:rsid w:val="08F875BE"/>
    <w:rsid w:val="0942143F"/>
    <w:rsid w:val="0A1D4625"/>
    <w:rsid w:val="0A224330"/>
    <w:rsid w:val="0A7D2AC7"/>
    <w:rsid w:val="0AA84209"/>
    <w:rsid w:val="0B1600C0"/>
    <w:rsid w:val="0B856175"/>
    <w:rsid w:val="0BB978C9"/>
    <w:rsid w:val="0BBC084E"/>
    <w:rsid w:val="0C1B782D"/>
    <w:rsid w:val="0C3762E1"/>
    <w:rsid w:val="0C433FAA"/>
    <w:rsid w:val="0C467501"/>
    <w:rsid w:val="0C5F38DA"/>
    <w:rsid w:val="0C892520"/>
    <w:rsid w:val="0D100297"/>
    <w:rsid w:val="0D157B86"/>
    <w:rsid w:val="0D202B45"/>
    <w:rsid w:val="0D781E29"/>
    <w:rsid w:val="0DE94C76"/>
    <w:rsid w:val="0E0B5A07"/>
    <w:rsid w:val="0E411141"/>
    <w:rsid w:val="0E4C5449"/>
    <w:rsid w:val="0EA61216"/>
    <w:rsid w:val="0F576376"/>
    <w:rsid w:val="0F5D2F8C"/>
    <w:rsid w:val="0F8D4C87"/>
    <w:rsid w:val="0F93599B"/>
    <w:rsid w:val="0FD46404"/>
    <w:rsid w:val="0FDB5D8F"/>
    <w:rsid w:val="104222BC"/>
    <w:rsid w:val="104F06FD"/>
    <w:rsid w:val="10505FAA"/>
    <w:rsid w:val="105F7E7E"/>
    <w:rsid w:val="10701B06"/>
    <w:rsid w:val="10B8577C"/>
    <w:rsid w:val="10BC1189"/>
    <w:rsid w:val="112C24F8"/>
    <w:rsid w:val="11527EFA"/>
    <w:rsid w:val="11E56B5B"/>
    <w:rsid w:val="1225271E"/>
    <w:rsid w:val="125C77AB"/>
    <w:rsid w:val="127720A4"/>
    <w:rsid w:val="13176561"/>
    <w:rsid w:val="132A006D"/>
    <w:rsid w:val="136E6F70"/>
    <w:rsid w:val="14162C01"/>
    <w:rsid w:val="147D712D"/>
    <w:rsid w:val="14CB726E"/>
    <w:rsid w:val="14E43A4E"/>
    <w:rsid w:val="152C48AD"/>
    <w:rsid w:val="155B3298"/>
    <w:rsid w:val="160C7839"/>
    <w:rsid w:val="163A7083"/>
    <w:rsid w:val="170E4165"/>
    <w:rsid w:val="176645F2"/>
    <w:rsid w:val="178B4D6F"/>
    <w:rsid w:val="17E92249"/>
    <w:rsid w:val="18355BC4"/>
    <w:rsid w:val="183C554F"/>
    <w:rsid w:val="18664195"/>
    <w:rsid w:val="18A97563"/>
    <w:rsid w:val="18D304F1"/>
    <w:rsid w:val="19F32577"/>
    <w:rsid w:val="19F45B80"/>
    <w:rsid w:val="1A2E3780"/>
    <w:rsid w:val="1A517EB7"/>
    <w:rsid w:val="1AC91401"/>
    <w:rsid w:val="1AFE05D6"/>
    <w:rsid w:val="1B00735C"/>
    <w:rsid w:val="1B0C078D"/>
    <w:rsid w:val="1B2B31E2"/>
    <w:rsid w:val="1B4C295A"/>
    <w:rsid w:val="1B973C63"/>
    <w:rsid w:val="1BA1001E"/>
    <w:rsid w:val="1C1B73F4"/>
    <w:rsid w:val="1C8A13E1"/>
    <w:rsid w:val="1CA93E95"/>
    <w:rsid w:val="1CF63F94"/>
    <w:rsid w:val="1D166651"/>
    <w:rsid w:val="1D1B0A78"/>
    <w:rsid w:val="1D317259"/>
    <w:rsid w:val="1D6334B4"/>
    <w:rsid w:val="1DE13B91"/>
    <w:rsid w:val="1E664F5B"/>
    <w:rsid w:val="1E76570A"/>
    <w:rsid w:val="1E7D5094"/>
    <w:rsid w:val="1E9F0ACC"/>
    <w:rsid w:val="1EB34BE1"/>
    <w:rsid w:val="1ECA2B77"/>
    <w:rsid w:val="1EFE5DFB"/>
    <w:rsid w:val="1F3D76D1"/>
    <w:rsid w:val="1F4202D5"/>
    <w:rsid w:val="1F582479"/>
    <w:rsid w:val="1F8345C2"/>
    <w:rsid w:val="1FA07AC4"/>
    <w:rsid w:val="202B1383"/>
    <w:rsid w:val="20674ED2"/>
    <w:rsid w:val="2080575F"/>
    <w:rsid w:val="2116556C"/>
    <w:rsid w:val="2141581D"/>
    <w:rsid w:val="215E5D45"/>
    <w:rsid w:val="215E639F"/>
    <w:rsid w:val="21D6028F"/>
    <w:rsid w:val="21DD569B"/>
    <w:rsid w:val="21EC3183"/>
    <w:rsid w:val="221B6805"/>
    <w:rsid w:val="22274816"/>
    <w:rsid w:val="225E72CD"/>
    <w:rsid w:val="22811A2C"/>
    <w:rsid w:val="22931946"/>
    <w:rsid w:val="22CF3D2A"/>
    <w:rsid w:val="22D017AB"/>
    <w:rsid w:val="23064FC4"/>
    <w:rsid w:val="23547806"/>
    <w:rsid w:val="23D941DC"/>
    <w:rsid w:val="241430A6"/>
    <w:rsid w:val="24395122"/>
    <w:rsid w:val="24412907"/>
    <w:rsid w:val="246E2F77"/>
    <w:rsid w:val="24D97602"/>
    <w:rsid w:val="250207C6"/>
    <w:rsid w:val="250B3654"/>
    <w:rsid w:val="250E07D0"/>
    <w:rsid w:val="254B4E2B"/>
    <w:rsid w:val="25BE0B79"/>
    <w:rsid w:val="25D4529B"/>
    <w:rsid w:val="260E3C55"/>
    <w:rsid w:val="265E5200"/>
    <w:rsid w:val="26AC4399"/>
    <w:rsid w:val="26E25459"/>
    <w:rsid w:val="26F357C9"/>
    <w:rsid w:val="26FA185C"/>
    <w:rsid w:val="27372964"/>
    <w:rsid w:val="273B4BEE"/>
    <w:rsid w:val="2762122A"/>
    <w:rsid w:val="2762702C"/>
    <w:rsid w:val="281C3EDC"/>
    <w:rsid w:val="282647EB"/>
    <w:rsid w:val="283943DA"/>
    <w:rsid w:val="283D7C94"/>
    <w:rsid w:val="28E47854"/>
    <w:rsid w:val="29480E03"/>
    <w:rsid w:val="295C266A"/>
    <w:rsid w:val="2983634D"/>
    <w:rsid w:val="29A30860"/>
    <w:rsid w:val="29B042F2"/>
    <w:rsid w:val="29BC3988"/>
    <w:rsid w:val="29D81C33"/>
    <w:rsid w:val="2A020879"/>
    <w:rsid w:val="2A2715E7"/>
    <w:rsid w:val="2A663846"/>
    <w:rsid w:val="2ADE4D64"/>
    <w:rsid w:val="2B53791E"/>
    <w:rsid w:val="2B9C4B6B"/>
    <w:rsid w:val="2BB02055"/>
    <w:rsid w:val="2C14155E"/>
    <w:rsid w:val="2C575A56"/>
    <w:rsid w:val="2C970D19"/>
    <w:rsid w:val="2D901394"/>
    <w:rsid w:val="2D9D35E3"/>
    <w:rsid w:val="2DCD1BB4"/>
    <w:rsid w:val="2E452AF7"/>
    <w:rsid w:val="2E591798"/>
    <w:rsid w:val="2F176A34"/>
    <w:rsid w:val="2F257714"/>
    <w:rsid w:val="2F2F04F6"/>
    <w:rsid w:val="2F316777"/>
    <w:rsid w:val="2F3275E5"/>
    <w:rsid w:val="2FEE50B1"/>
    <w:rsid w:val="300F55E6"/>
    <w:rsid w:val="30AA08EF"/>
    <w:rsid w:val="30D23D1C"/>
    <w:rsid w:val="31221CF5"/>
    <w:rsid w:val="31283B34"/>
    <w:rsid w:val="31400178"/>
    <w:rsid w:val="31445BBC"/>
    <w:rsid w:val="320B79AA"/>
    <w:rsid w:val="32144B1C"/>
    <w:rsid w:val="321E3342"/>
    <w:rsid w:val="32265FD5"/>
    <w:rsid w:val="32291158"/>
    <w:rsid w:val="322D5125"/>
    <w:rsid w:val="327759C8"/>
    <w:rsid w:val="33185FE3"/>
    <w:rsid w:val="333C359F"/>
    <w:rsid w:val="33DA6921"/>
    <w:rsid w:val="340A72B8"/>
    <w:rsid w:val="34CE04B2"/>
    <w:rsid w:val="34E44FFA"/>
    <w:rsid w:val="34EE2E36"/>
    <w:rsid w:val="35270B41"/>
    <w:rsid w:val="35A93699"/>
    <w:rsid w:val="36306CEB"/>
    <w:rsid w:val="36777241"/>
    <w:rsid w:val="371812F1"/>
    <w:rsid w:val="3728158B"/>
    <w:rsid w:val="37306998"/>
    <w:rsid w:val="37317C9C"/>
    <w:rsid w:val="379963C7"/>
    <w:rsid w:val="37BB73D8"/>
    <w:rsid w:val="38A951DB"/>
    <w:rsid w:val="38B31605"/>
    <w:rsid w:val="39003F4F"/>
    <w:rsid w:val="39654356"/>
    <w:rsid w:val="39C34753"/>
    <w:rsid w:val="3ABA1467"/>
    <w:rsid w:val="3ACB1702"/>
    <w:rsid w:val="3AEC2D62"/>
    <w:rsid w:val="3B82342F"/>
    <w:rsid w:val="3B8E4CC3"/>
    <w:rsid w:val="3BD217BA"/>
    <w:rsid w:val="3C07002B"/>
    <w:rsid w:val="3C377C5B"/>
    <w:rsid w:val="3C595690"/>
    <w:rsid w:val="3C6A11AE"/>
    <w:rsid w:val="3D0D152A"/>
    <w:rsid w:val="3D157AF7"/>
    <w:rsid w:val="3D670714"/>
    <w:rsid w:val="3D916A12"/>
    <w:rsid w:val="3DAE0540"/>
    <w:rsid w:val="3DBA1DD5"/>
    <w:rsid w:val="3DEE3528"/>
    <w:rsid w:val="3DF62756"/>
    <w:rsid w:val="3DFA2BBE"/>
    <w:rsid w:val="3E191DEE"/>
    <w:rsid w:val="3F1B7587"/>
    <w:rsid w:val="3F925FDB"/>
    <w:rsid w:val="3FC64492"/>
    <w:rsid w:val="3FD16F41"/>
    <w:rsid w:val="40015512"/>
    <w:rsid w:val="40142EAD"/>
    <w:rsid w:val="401B2838"/>
    <w:rsid w:val="408A636F"/>
    <w:rsid w:val="40D62F6B"/>
    <w:rsid w:val="41383010"/>
    <w:rsid w:val="41B525D9"/>
    <w:rsid w:val="41E57B4F"/>
    <w:rsid w:val="420C4EFB"/>
    <w:rsid w:val="421A5B81"/>
    <w:rsid w:val="425A0B69"/>
    <w:rsid w:val="426A1C15"/>
    <w:rsid w:val="42831D2D"/>
    <w:rsid w:val="42BD0410"/>
    <w:rsid w:val="42BD2E0C"/>
    <w:rsid w:val="42D94CBD"/>
    <w:rsid w:val="43057FD9"/>
    <w:rsid w:val="43083BF5"/>
    <w:rsid w:val="432F26F6"/>
    <w:rsid w:val="435228F0"/>
    <w:rsid w:val="43880F63"/>
    <w:rsid w:val="441B3B85"/>
    <w:rsid w:val="441C5A6F"/>
    <w:rsid w:val="44C44FCC"/>
    <w:rsid w:val="44CC7369"/>
    <w:rsid w:val="454F78C2"/>
    <w:rsid w:val="457F5108"/>
    <w:rsid w:val="45985D5A"/>
    <w:rsid w:val="464D77E5"/>
    <w:rsid w:val="46516B0B"/>
    <w:rsid w:val="465374F0"/>
    <w:rsid w:val="46727B52"/>
    <w:rsid w:val="4676711C"/>
    <w:rsid w:val="46951B6B"/>
    <w:rsid w:val="47147368"/>
    <w:rsid w:val="47881AEB"/>
    <w:rsid w:val="48622EB7"/>
    <w:rsid w:val="48862907"/>
    <w:rsid w:val="491237F0"/>
    <w:rsid w:val="49200334"/>
    <w:rsid w:val="49233A8B"/>
    <w:rsid w:val="492E569F"/>
    <w:rsid w:val="49822084"/>
    <w:rsid w:val="49A34401"/>
    <w:rsid w:val="49B95283"/>
    <w:rsid w:val="49BD2A1B"/>
    <w:rsid w:val="4A3E30AB"/>
    <w:rsid w:val="4A7F3D47"/>
    <w:rsid w:val="4AB1581B"/>
    <w:rsid w:val="4AC14DAC"/>
    <w:rsid w:val="4AE118AE"/>
    <w:rsid w:val="4B2D7363"/>
    <w:rsid w:val="4B6E364F"/>
    <w:rsid w:val="4BD71D7A"/>
    <w:rsid w:val="4BEB0DFC"/>
    <w:rsid w:val="4BFB4538"/>
    <w:rsid w:val="4C50700A"/>
    <w:rsid w:val="4C663BE7"/>
    <w:rsid w:val="4C816588"/>
    <w:rsid w:val="4C854B28"/>
    <w:rsid w:val="4D147927"/>
    <w:rsid w:val="4D154C85"/>
    <w:rsid w:val="4E117AC7"/>
    <w:rsid w:val="4E3B4A67"/>
    <w:rsid w:val="4E8C1B33"/>
    <w:rsid w:val="4EAD3AA1"/>
    <w:rsid w:val="4EC53660"/>
    <w:rsid w:val="4EC8553A"/>
    <w:rsid w:val="4ED82367"/>
    <w:rsid w:val="4F2A2171"/>
    <w:rsid w:val="4FA44747"/>
    <w:rsid w:val="504D0FCF"/>
    <w:rsid w:val="50774392"/>
    <w:rsid w:val="508C6107"/>
    <w:rsid w:val="508F4E24"/>
    <w:rsid w:val="50EA118E"/>
    <w:rsid w:val="511D3DAA"/>
    <w:rsid w:val="51461E90"/>
    <w:rsid w:val="51463753"/>
    <w:rsid w:val="51490C5E"/>
    <w:rsid w:val="51591101"/>
    <w:rsid w:val="5163342F"/>
    <w:rsid w:val="51804844"/>
    <w:rsid w:val="518A5454"/>
    <w:rsid w:val="51D058C8"/>
    <w:rsid w:val="5203159A"/>
    <w:rsid w:val="521626BD"/>
    <w:rsid w:val="5245110A"/>
    <w:rsid w:val="52553A93"/>
    <w:rsid w:val="52B77039"/>
    <w:rsid w:val="530A6DCF"/>
    <w:rsid w:val="53521F8B"/>
    <w:rsid w:val="5397583C"/>
    <w:rsid w:val="53E22F47"/>
    <w:rsid w:val="541B7404"/>
    <w:rsid w:val="541E41EB"/>
    <w:rsid w:val="54396FBB"/>
    <w:rsid w:val="54522FF8"/>
    <w:rsid w:val="54701694"/>
    <w:rsid w:val="54AD4D7C"/>
    <w:rsid w:val="54B870A3"/>
    <w:rsid w:val="54F22EF6"/>
    <w:rsid w:val="54F248BC"/>
    <w:rsid w:val="551321A2"/>
    <w:rsid w:val="55450629"/>
    <w:rsid w:val="55BB5E32"/>
    <w:rsid w:val="561D1AA5"/>
    <w:rsid w:val="56476416"/>
    <w:rsid w:val="56692963"/>
    <w:rsid w:val="56893008"/>
    <w:rsid w:val="568B0F48"/>
    <w:rsid w:val="573C1588"/>
    <w:rsid w:val="575F4077"/>
    <w:rsid w:val="577A0392"/>
    <w:rsid w:val="5786217B"/>
    <w:rsid w:val="57E60D46"/>
    <w:rsid w:val="582C5C37"/>
    <w:rsid w:val="590A5625"/>
    <w:rsid w:val="59316936"/>
    <w:rsid w:val="59337A15"/>
    <w:rsid w:val="59346469"/>
    <w:rsid w:val="59810274"/>
    <w:rsid w:val="598B35F5"/>
    <w:rsid w:val="598C114D"/>
    <w:rsid w:val="599E4814"/>
    <w:rsid w:val="59B92E3F"/>
    <w:rsid w:val="5A3E219F"/>
    <w:rsid w:val="5B1F6524"/>
    <w:rsid w:val="5BE57986"/>
    <w:rsid w:val="5C4E7981"/>
    <w:rsid w:val="5C7F0150"/>
    <w:rsid w:val="5CA96A00"/>
    <w:rsid w:val="5CF730BC"/>
    <w:rsid w:val="5D6E659C"/>
    <w:rsid w:val="5E1A20EF"/>
    <w:rsid w:val="5E214F71"/>
    <w:rsid w:val="5E5F0DCE"/>
    <w:rsid w:val="5E6D40F8"/>
    <w:rsid w:val="5E6F75FB"/>
    <w:rsid w:val="5ED439B6"/>
    <w:rsid w:val="5F1C681A"/>
    <w:rsid w:val="5FA40A7B"/>
    <w:rsid w:val="5FD45FC8"/>
    <w:rsid w:val="5FD53A4A"/>
    <w:rsid w:val="5FD56D29"/>
    <w:rsid w:val="5FEC7F3F"/>
    <w:rsid w:val="60021F8F"/>
    <w:rsid w:val="605B3923"/>
    <w:rsid w:val="609B00D3"/>
    <w:rsid w:val="60CD3A8F"/>
    <w:rsid w:val="60D91FF3"/>
    <w:rsid w:val="60E03B7C"/>
    <w:rsid w:val="60F74BC3"/>
    <w:rsid w:val="6116192F"/>
    <w:rsid w:val="614165CB"/>
    <w:rsid w:val="617D3BF8"/>
    <w:rsid w:val="61841F6A"/>
    <w:rsid w:val="619F2CB5"/>
    <w:rsid w:val="61A4713D"/>
    <w:rsid w:val="61B008D8"/>
    <w:rsid w:val="61D37D13"/>
    <w:rsid w:val="623007A9"/>
    <w:rsid w:val="62612D73"/>
    <w:rsid w:val="62B56FAD"/>
    <w:rsid w:val="62C9149E"/>
    <w:rsid w:val="62CD7D1D"/>
    <w:rsid w:val="62D607B4"/>
    <w:rsid w:val="637D7558"/>
    <w:rsid w:val="63D92960"/>
    <w:rsid w:val="644F19AC"/>
    <w:rsid w:val="64C92268"/>
    <w:rsid w:val="64D57C1D"/>
    <w:rsid w:val="64D723ED"/>
    <w:rsid w:val="65040DC9"/>
    <w:rsid w:val="655578CE"/>
    <w:rsid w:val="65AA4920"/>
    <w:rsid w:val="65F20836"/>
    <w:rsid w:val="65FE0FE0"/>
    <w:rsid w:val="66154489"/>
    <w:rsid w:val="66363ABA"/>
    <w:rsid w:val="67694F1E"/>
    <w:rsid w:val="67726944"/>
    <w:rsid w:val="67753429"/>
    <w:rsid w:val="679A7B08"/>
    <w:rsid w:val="67B93C1E"/>
    <w:rsid w:val="67D0475F"/>
    <w:rsid w:val="67DA34CF"/>
    <w:rsid w:val="67DB2AF0"/>
    <w:rsid w:val="67F66B9D"/>
    <w:rsid w:val="6819174D"/>
    <w:rsid w:val="683C28C7"/>
    <w:rsid w:val="68756D7A"/>
    <w:rsid w:val="687B4BF8"/>
    <w:rsid w:val="68860A0A"/>
    <w:rsid w:val="69075AE0"/>
    <w:rsid w:val="69123E71"/>
    <w:rsid w:val="691B69B6"/>
    <w:rsid w:val="691C323A"/>
    <w:rsid w:val="69200C09"/>
    <w:rsid w:val="69274D10"/>
    <w:rsid w:val="69580D63"/>
    <w:rsid w:val="69597934"/>
    <w:rsid w:val="6960616F"/>
    <w:rsid w:val="69CC32A0"/>
    <w:rsid w:val="69D72936"/>
    <w:rsid w:val="69D97BBF"/>
    <w:rsid w:val="69E057C4"/>
    <w:rsid w:val="6A3142C9"/>
    <w:rsid w:val="6A5B3298"/>
    <w:rsid w:val="6AC3116D"/>
    <w:rsid w:val="6AFB3992"/>
    <w:rsid w:val="6B964DDC"/>
    <w:rsid w:val="6C003CC5"/>
    <w:rsid w:val="6C783074"/>
    <w:rsid w:val="6CB56108"/>
    <w:rsid w:val="6D9E65C6"/>
    <w:rsid w:val="6DA81947"/>
    <w:rsid w:val="6DC960AE"/>
    <w:rsid w:val="6EA81E99"/>
    <w:rsid w:val="6EB66DE2"/>
    <w:rsid w:val="6ED177DA"/>
    <w:rsid w:val="6ED3075F"/>
    <w:rsid w:val="6F254CE6"/>
    <w:rsid w:val="6F2A2D4B"/>
    <w:rsid w:val="6F376285"/>
    <w:rsid w:val="6F6D2EDC"/>
    <w:rsid w:val="6F8A0C1E"/>
    <w:rsid w:val="6FA6433B"/>
    <w:rsid w:val="70095D9A"/>
    <w:rsid w:val="703F45D4"/>
    <w:rsid w:val="708F3550"/>
    <w:rsid w:val="70E21AE3"/>
    <w:rsid w:val="70F44436"/>
    <w:rsid w:val="715D6546"/>
    <w:rsid w:val="7168781F"/>
    <w:rsid w:val="71BE069E"/>
    <w:rsid w:val="721326DD"/>
    <w:rsid w:val="723536EF"/>
    <w:rsid w:val="728B4299"/>
    <w:rsid w:val="72954F48"/>
    <w:rsid w:val="729A0E95"/>
    <w:rsid w:val="729F531D"/>
    <w:rsid w:val="72A378D8"/>
    <w:rsid w:val="72CE25E9"/>
    <w:rsid w:val="72DA63FB"/>
    <w:rsid w:val="730B5BFD"/>
    <w:rsid w:val="73372F12"/>
    <w:rsid w:val="73953409"/>
    <w:rsid w:val="73E069A3"/>
    <w:rsid w:val="743F6FC7"/>
    <w:rsid w:val="7499095B"/>
    <w:rsid w:val="74B111C1"/>
    <w:rsid w:val="758A3766"/>
    <w:rsid w:val="75D02BD6"/>
    <w:rsid w:val="75F57592"/>
    <w:rsid w:val="767E466D"/>
    <w:rsid w:val="769747B7"/>
    <w:rsid w:val="76B92B53"/>
    <w:rsid w:val="772A39B9"/>
    <w:rsid w:val="77BF7E83"/>
    <w:rsid w:val="77C636D9"/>
    <w:rsid w:val="78104AA8"/>
    <w:rsid w:val="78337504"/>
    <w:rsid w:val="78337E41"/>
    <w:rsid w:val="785B7D01"/>
    <w:rsid w:val="78E257C5"/>
    <w:rsid w:val="794B35BE"/>
    <w:rsid w:val="794D6390"/>
    <w:rsid w:val="79882CF2"/>
    <w:rsid w:val="7A427BA1"/>
    <w:rsid w:val="7B0A3A31"/>
    <w:rsid w:val="7B3360ED"/>
    <w:rsid w:val="7B5319F3"/>
    <w:rsid w:val="7BA30FEE"/>
    <w:rsid w:val="7BDF037E"/>
    <w:rsid w:val="7BF50948"/>
    <w:rsid w:val="7BFE117C"/>
    <w:rsid w:val="7C364B59"/>
    <w:rsid w:val="7CB43401"/>
    <w:rsid w:val="7CCD2ACE"/>
    <w:rsid w:val="7CE66A78"/>
    <w:rsid w:val="7CED6D68"/>
    <w:rsid w:val="7D17449D"/>
    <w:rsid w:val="7D23564C"/>
    <w:rsid w:val="7D5E062D"/>
    <w:rsid w:val="7DC36266"/>
    <w:rsid w:val="7DF76CD8"/>
    <w:rsid w:val="7E9136B4"/>
    <w:rsid w:val="7E927FC5"/>
    <w:rsid w:val="7F1D6B1B"/>
    <w:rsid w:val="7F695C26"/>
    <w:rsid w:val="7FBE24C5"/>
    <w:rsid w:val="7FCF62D3"/>
    <w:rsid w:val="7FF3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433.74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Sheet1!$A$2:$A$7</c:f>
              <c:strCache>
                <c:ptCount val="6"/>
                <c:pt idx="0">
                  <c:v>教育支出</c:v>
                </c:pt>
                <c:pt idx="1">
                  <c:v>社会保障和就业支出</c:v>
                </c:pt>
                <c:pt idx="2">
                  <c:v>卫生健康支出</c:v>
                </c:pt>
                <c:pt idx="3">
                  <c:v>农林水支出</c:v>
                </c:pt>
                <c:pt idx="4">
                  <c:v>住房保障支出</c:v>
                </c:pt>
                <c:pt idx="5">
                  <c:v>其他支出</c:v>
                </c:pt>
              </c:strCache>
            </c:strRef>
          </c:cat>
          <c:val>
            <c:numRef>
              <c:f>Sheet1!$B$2:$B$7</c:f>
              <c:numCache>
                <c:formatCode>General</c:formatCode>
                <c:ptCount val="6"/>
                <c:pt idx="0">
                  <c:v>0</c:v>
                </c:pt>
                <c:pt idx="1">
                  <c:v>387.16</c:v>
                </c:pt>
                <c:pt idx="2">
                  <c:v>0</c:v>
                </c:pt>
                <c:pt idx="3">
                  <c:v>0</c:v>
                </c:pt>
                <c:pt idx="4">
                  <c:v>10.51</c:v>
                </c:pt>
                <c:pt idx="5">
                  <c:v>23.86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Sheet1!$A$2:$A$7</c:f>
              <c:strCache>
                <c:ptCount val="6"/>
                <c:pt idx="0">
                  <c:v>教育支出</c:v>
                </c:pt>
                <c:pt idx="1">
                  <c:v>社会保障和就业支出</c:v>
                </c:pt>
                <c:pt idx="2">
                  <c:v>卫生健康支出</c:v>
                </c:pt>
                <c:pt idx="3">
                  <c:v>农林水支出</c:v>
                </c:pt>
                <c:pt idx="4">
                  <c:v>住房保障支出</c:v>
                </c:pt>
                <c:pt idx="5">
                  <c:v>其他支出</c:v>
                </c:pt>
              </c:strCache>
            </c:strRef>
          </c:cat>
          <c:val>
            <c:numRef>
              <c:f>Sheet1!$C$2:$C$7</c:f>
              <c:numCache>
                <c:formatCode>General</c:formatCode>
                <c:ptCount val="6"/>
                <c:pt idx="0">
                  <c:v>0</c:v>
                </c:pt>
                <c:pt idx="1">
                  <c:v>399.03</c:v>
                </c:pt>
                <c:pt idx="2">
                  <c:v>0</c:v>
                </c:pt>
                <c:pt idx="3">
                  <c:v>0</c:v>
                </c:pt>
                <c:pt idx="4">
                  <c:v>11.83</c:v>
                </c:pt>
                <c:pt idx="5">
                  <c:v>20.98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pt idx="1">
                  <c:v>2080106</c:v>
                </c:pt>
                <c:pt idx="2">
                  <c:v>2080199</c:v>
                </c:pt>
                <c:pt idx="3">
                  <c:v>2080799</c:v>
                </c:pt>
              </c:numCache>
            </c:numRef>
          </c:cat>
          <c:val>
            <c:numRef>
              <c:f>Sheet1!$B$2:$B$5</c:f>
              <c:numCache>
                <c:formatCode>General</c:formatCode>
                <c:ptCount val="4"/>
                <c:pt idx="0">
                  <c:v>14.85</c:v>
                </c:pt>
                <c:pt idx="1">
                  <c:v>129.9</c:v>
                </c:pt>
                <c:pt idx="2">
                  <c:v>248.28</c:v>
                </c:pt>
                <c:pt idx="3">
                  <c:v>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11.83</c:v>
                </c:pt>
                <c:pt idx="1">
                  <c:v>11.83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39.07</c:v>
                </c:pt>
                <c:pt idx="1">
                  <c:v>21.24</c:v>
                </c:pt>
                <c:pt idx="2">
                  <c:v>49.68</c:v>
                </c:pt>
                <c:pt idx="3">
                  <c:v>0</c:v>
                </c:pt>
                <c:pt idx="4">
                  <c:v>0</c:v>
                </c:pt>
                <c:pt idx="5">
                  <c:v>14.85</c:v>
                </c:pt>
                <c:pt idx="6">
                  <c:v>0</c:v>
                </c:pt>
                <c:pt idx="7">
                  <c:v>6.18</c:v>
                </c:pt>
                <c:pt idx="8">
                  <c:v>0</c:v>
                </c:pt>
                <c:pt idx="9">
                  <c:v>0.92</c:v>
                </c:pt>
                <c:pt idx="10">
                  <c:v>11.83</c:v>
                </c:pt>
                <c:pt idx="11">
                  <c:v>0</c:v>
                </c:pt>
                <c:pt idx="12">
                  <c:v>2.28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0.62</c:v>
                </c:pt>
                <c:pt idx="1">
                  <c:v>0</c:v>
                </c:pt>
                <c:pt idx="2">
                  <c:v>0</c:v>
                </c:pt>
                <c:pt idx="3">
                  <c:v>0</c:v>
                </c:pt>
                <c:pt idx="4">
                  <c:v>0.13</c:v>
                </c:pt>
                <c:pt idx="5">
                  <c:v>0.23</c:v>
                </c:pt>
                <c:pt idx="6">
                  <c:v>1.58</c:v>
                </c:pt>
                <c:pt idx="7">
                  <c:v>0</c:v>
                </c:pt>
                <c:pt idx="8">
                  <c:v>0.04</c:v>
                </c:pt>
                <c:pt idx="9">
                  <c:v>8</c:v>
                </c:pt>
                <c:pt idx="10">
                  <c:v>0</c:v>
                </c:pt>
                <c:pt idx="11">
                  <c:v>0.27</c:v>
                </c:pt>
                <c:pt idx="12">
                  <c:v>0</c:v>
                </c:pt>
                <c:pt idx="13">
                  <c:v>0</c:v>
                </c:pt>
                <c:pt idx="14">
                  <c:v>0</c:v>
                </c:pt>
                <c:pt idx="15">
                  <c:v>0</c:v>
                </c:pt>
                <c:pt idx="16">
                  <c:v>0</c:v>
                </c:pt>
                <c:pt idx="17">
                  <c:v>0</c:v>
                </c:pt>
                <c:pt idx="18">
                  <c:v>0</c:v>
                </c:pt>
                <c:pt idx="19">
                  <c:v>0.57</c:v>
                </c:pt>
                <c:pt idx="20">
                  <c:v>0</c:v>
                </c:pt>
                <c:pt idx="21">
                  <c:v>1.9</c:v>
                </c:pt>
                <c:pt idx="22">
                  <c:v>0</c:v>
                </c:pt>
                <c:pt idx="23">
                  <c:v>0</c:v>
                </c:pt>
                <c:pt idx="24">
                  <c:v>7.92</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4.29</c:v>
                </c:pt>
                <c:pt idx="5">
                  <c:v>0</c:v>
                </c:pt>
                <c:pt idx="6">
                  <c:v>0</c:v>
                </c:pt>
                <c:pt idx="7">
                  <c:v>0</c:v>
                </c:pt>
                <c:pt idx="8">
                  <c:v>0.01</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八九</cp:lastModifiedBy>
  <dcterms:modified xsi:type="dcterms:W3CDTF">2024-12-25T07:35:39Z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