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环江毛南族自治县人力资源和社会保障局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环江毛南族自治县人力资源和社会保障局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（一）贯彻落实国家、省有关人力资源和社会保障的政策、规定，监督检查落实情况；拟订全县人力资源和社会保障事业发展规划及措施，负责全县人力资源和社会保障的宣传和舆情研究。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（二）拟订人力资源市场发展规划和人力资源流动办法，建立统一规范的人力资源市场，促进人力资源合理流动、有效配置；拟订机构改革人员定岗和分流措施并组织实施。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负责促进就业工作，拟订统筹城乡的就业发展规划和管理办法，完善公共就业服务体系；拟订就业援助制度，完善职业资格制度，统筹建立面向城乡劳动者的职业培训制度；牵头拟订高校毕业生就业措施，负责中专以上毕业生的就业指导、服务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统筹建立覆盖城乡的社会保障体系。执行城乡社会保险及其补充保险政策和标准，组织拟订全县统一的社会保险关系转续办法和基金统筹办法，统筹拟订机关企事业单位社会保险办法并逐步提高基金统筹层次；会同有关部门拟订社会保险及其补充保险基金管理和监督制度，编制全县社会保险基金预决算草案。</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（五）会同有关部门拟订全县机关企事业单位人员工资收入分配实施办法，建立全县机关事业单位人员工资正常增长和支付保障机制；执行机关企事业单位人员福利和离退休政策。</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会同有关部门拟订全县人才工作总体目标，参与人才管理。会同有关部门指导全县事业单位人事制度改革，拟订全县事业单位人员和机关工勤人员管理办法；负责全县人事考试工作；制定全县专业技术人员管理和继续教育办法，综合管理全县职称工作；负责高层次专业技术人才选拔和培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）会同有关部门落实农民工工作的综合性政策和规定，协调解决重点难点问题，维护农民工合法权益。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贯彻执行劳动、人事争议调解仲裁制度和劳动关系政策，完善劳动关系协调机制；执行消除非法使用童工政策和女工、未成年工的特殊劳动保护政策，组织实施劳动监察，协调劳动者维权工作，依法查处重大案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）承办县政府交办的其他事项。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环江毛南族自治县人力资源和社会保障局内设办公室、</w:t>
      </w:r>
      <w:r>
        <w:rPr>
          <w:rFonts w:hint="eastAsia" w:ascii="仿宋_GB2312" w:hAnsi="仿宋_GB2312" w:eastAsia="仿宋_GB2312" w:cs="仿宋_GB2312"/>
          <w:sz w:val="32"/>
          <w:szCs w:val="32"/>
          <w:highlight w:val="none"/>
          <w:lang w:eastAsia="zh-CN"/>
        </w:rPr>
        <w:t>事业</w:t>
      </w:r>
      <w:r>
        <w:rPr>
          <w:rFonts w:hint="eastAsia" w:ascii="仿宋_GB2312" w:hAnsi="仿宋_GB2312" w:eastAsia="仿宋_GB2312" w:cs="仿宋_GB2312"/>
          <w:sz w:val="32"/>
          <w:szCs w:val="32"/>
          <w:highlight w:val="none"/>
        </w:rPr>
        <w:t>管理股、工资福利与退休股、档案室、基金监督股、仲裁院、人才交流服务中心。</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4070" w:type="dxa"/>
        <w:tblInd w:w="93" w:type="dxa"/>
        <w:tblLayout w:type="fixed"/>
        <w:tblCellMar>
          <w:top w:w="0" w:type="dxa"/>
          <w:left w:w="108" w:type="dxa"/>
          <w:bottom w:w="0" w:type="dxa"/>
          <w:right w:w="108" w:type="dxa"/>
        </w:tblCellMar>
      </w:tblPr>
      <w:tblGrid>
        <w:gridCol w:w="3"/>
        <w:gridCol w:w="2543"/>
        <w:gridCol w:w="2393"/>
        <w:gridCol w:w="2231"/>
        <w:gridCol w:w="2669"/>
        <w:gridCol w:w="2202"/>
        <w:gridCol w:w="1902"/>
        <w:gridCol w:w="127"/>
      </w:tblGrid>
      <w:tr>
        <w:tblPrEx>
          <w:tblCellMar>
            <w:top w:w="0" w:type="dxa"/>
            <w:left w:w="108" w:type="dxa"/>
            <w:bottom w:w="0" w:type="dxa"/>
            <w:right w:w="108" w:type="dxa"/>
          </w:tblCellMar>
        </w:tblPrEx>
        <w:trPr>
          <w:gridBefore w:val="1"/>
          <w:gridAfter w:val="1"/>
          <w:wBefore w:w="3" w:type="dxa"/>
          <w:wAfter w:w="127" w:type="dxa"/>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2543"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部门：环江毛南族自治县人力资源和社会保障局</w:t>
            </w:r>
          </w:p>
        </w:tc>
        <w:tc>
          <w:tcPr>
            <w:tcW w:w="239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23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3.16</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1,971.06</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105.11</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17.62</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34.83</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0"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0"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875" w:type="dxa"/>
        <w:tblInd w:w="181" w:type="dxa"/>
        <w:tblLayout w:type="fixed"/>
        <w:tblCellMar>
          <w:top w:w="0" w:type="dxa"/>
          <w:left w:w="108" w:type="dxa"/>
          <w:bottom w:w="0" w:type="dxa"/>
          <w:right w:w="108" w:type="dxa"/>
        </w:tblCellMar>
      </w:tblPr>
      <w:tblGrid>
        <w:gridCol w:w="1198"/>
        <w:gridCol w:w="301"/>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875"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87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846"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87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14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387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87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2,131.78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2,131.78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225.76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225.76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2080104</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综合业务管理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2080105</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劳动保障监察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2080112</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1"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2080702</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职业培训补贴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2080704</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社会保险补贴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297.41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297.41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2080705</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公益性岗位补贴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994.21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994.21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职业技能鉴定补贴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2080711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就业见习补贴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2080713</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促进创业补贴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其他就业补助支出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106.47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106.47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szCs w:val="22"/>
                <w:highlight w:val="none"/>
                <w:lang w:val="en-US" w:eastAsia="zh-CN"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szCs w:val="22"/>
                <w:highlight w:val="none"/>
                <w:lang w:val="en-US" w:eastAsia="zh-CN"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szCs w:val="22"/>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szCs w:val="22"/>
                <w:highlight w:val="none"/>
                <w:lang w:val="en-US" w:eastAsia="zh-CN"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szCs w:val="22"/>
                <w:highlight w:val="none"/>
                <w:lang w:val="en-US" w:eastAsia="zh-CN" w:bidi="ar"/>
              </w:rPr>
            </w:pPr>
          </w:p>
        </w:tc>
      </w:tr>
      <w:tr>
        <w:trPr>
          <w:trHeight w:val="327" w:hRule="atLeast"/>
        </w:trPr>
        <w:tc>
          <w:tcPr>
            <w:tcW w:w="13875" w:type="dxa"/>
            <w:gridSpan w:val="13"/>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107"/>
        <w:gridCol w:w="130"/>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9"/>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456" w:hRule="atLeast"/>
        </w:trPr>
        <w:tc>
          <w:tcPr>
            <w:tcW w:w="390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2,131.78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270.11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1,861.67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b/>
                <w:bCs/>
                <w:color w:val="000000"/>
                <w:sz w:val="22"/>
                <w:szCs w:val="22"/>
                <w:highlight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b/>
                <w:bCs/>
                <w:color w:val="000000"/>
                <w:sz w:val="22"/>
                <w:szCs w:val="22"/>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225.76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225.76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2080104</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综合业务管理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2080105</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劳动保障监察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2080112</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2080702</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职业培训补贴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2080704</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社会保险补贴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297.41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297.41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2080705</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公益性岗位补贴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994.21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994.21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职业技能鉴定补贴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2080711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就业见习补贴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2080713</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促进创业补贴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其他就业补助支出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106.47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22" w:hRule="atLeast"/>
        </w:trPr>
        <w:tc>
          <w:tcPr>
            <w:tcW w:w="1398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376" w:type="pct"/>
        <w:tblInd w:w="0" w:type="dxa"/>
        <w:tblLayout w:type="fixed"/>
        <w:tblCellMar>
          <w:top w:w="0" w:type="dxa"/>
          <w:left w:w="108" w:type="dxa"/>
          <w:bottom w:w="0" w:type="dxa"/>
          <w:right w:w="108" w:type="dxa"/>
        </w:tblCellMar>
      </w:tblPr>
      <w:tblGrid>
        <w:gridCol w:w="2376"/>
        <w:gridCol w:w="904"/>
        <w:gridCol w:w="626"/>
        <w:gridCol w:w="1320"/>
        <w:gridCol w:w="1903"/>
        <w:gridCol w:w="1491"/>
        <w:gridCol w:w="685"/>
        <w:gridCol w:w="71"/>
        <w:gridCol w:w="1165"/>
        <w:gridCol w:w="728"/>
        <w:gridCol w:w="745"/>
        <w:gridCol w:w="1181"/>
        <w:gridCol w:w="460"/>
        <w:gridCol w:w="1585"/>
      </w:tblGrid>
      <w:tr>
        <w:tblPrEx>
          <w:tblCellMar>
            <w:top w:w="0" w:type="dxa"/>
            <w:left w:w="108" w:type="dxa"/>
            <w:bottom w:w="0" w:type="dxa"/>
            <w:right w:w="108" w:type="dxa"/>
          </w:tblCellMar>
        </w:tblPrEx>
        <w:trPr>
          <w:trHeight w:val="277" w:hRule="atLeast"/>
        </w:trPr>
        <w:tc>
          <w:tcPr>
            <w:tcW w:w="5000" w:type="pct"/>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139" w:hRule="atLeast"/>
        </w:trPr>
        <w:tc>
          <w:tcPr>
            <w:tcW w:w="7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3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0"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rPr>
          <w:trHeight w:val="139" w:hRule="atLeast"/>
        </w:trPr>
        <w:tc>
          <w:tcPr>
            <w:tcW w:w="3076" w:type="pct"/>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621"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31"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0"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43" w:hRule="atLeast"/>
        </w:trPr>
        <w:tc>
          <w:tcPr>
            <w:tcW w:w="171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285"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28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166"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2,131.78</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3.16</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3.16</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9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73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1,971.06</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1,971.06</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55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105.11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105.11</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46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17.62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17.62</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8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46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34.83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34.83</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55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2,131.78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43"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43"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43"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73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2,131.78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2,131.78</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558" w:hRule="atLeast"/>
        </w:trPr>
        <w:tc>
          <w:tcPr>
            <w:tcW w:w="4329" w:type="pct"/>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0" w:type="pct"/>
            <w:gridSpan w:val="2"/>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13980" w:type="dxa"/>
            <w:gridSpan w:val="7"/>
            <w:tcBorders>
              <w:top w:val="single" w:color="auto" w:sz="4" w:space="0"/>
              <w:left w:val="nil"/>
              <w:bottom w:val="nil"/>
              <w:right w:val="nil"/>
            </w:tcBorders>
            <w:shd w:val="clear" w:color="auto" w:fill="auto"/>
            <w:noWrap/>
            <w:vAlign w:val="center"/>
          </w:tcPr>
          <w:tbl>
            <w:tblPr>
              <w:tblStyle w:val="6"/>
              <w:tblW w:w="1377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0"/>
              <w:gridCol w:w="4933"/>
              <w:gridCol w:w="2650"/>
              <w:gridCol w:w="2467"/>
              <w:gridCol w:w="2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933"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1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33"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6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1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33"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6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1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4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4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2,131.78</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270.11</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2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225.76</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225.76</w:t>
                  </w:r>
                </w:p>
              </w:tc>
              <w:tc>
                <w:tcPr>
                  <w:tcW w:w="22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综合业务管理</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劳动保障监察</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51.66</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w:t>
                  </w:r>
                </w:p>
              </w:tc>
              <w:tc>
                <w:tcPr>
                  <w:tcW w:w="22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职业培训补贴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297.41</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994.21</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职业技能鉴定补贴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就业见习补贴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144.60</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促进创业补贴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106.47</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105.11</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22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2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916"/>
        <w:gridCol w:w="191"/>
        <w:gridCol w:w="2371"/>
        <w:gridCol w:w="1106"/>
        <w:gridCol w:w="882"/>
        <w:gridCol w:w="398"/>
        <w:gridCol w:w="1652"/>
        <w:gridCol w:w="695"/>
        <w:gridCol w:w="417"/>
        <w:gridCol w:w="743"/>
        <w:gridCol w:w="162"/>
        <w:gridCol w:w="1011"/>
        <w:gridCol w:w="2147"/>
        <w:gridCol w:w="192"/>
        <w:gridCol w:w="1117"/>
      </w:tblGrid>
      <w:tr>
        <w:tblPrEx>
          <w:tblCellMar>
            <w:top w:w="0" w:type="dxa"/>
            <w:left w:w="108" w:type="dxa"/>
            <w:bottom w:w="0" w:type="dxa"/>
            <w:right w:w="108" w:type="dxa"/>
          </w:tblCellMar>
        </w:tblPrEx>
        <w:trPr>
          <w:trHeight w:val="338" w:hRule="atLeast"/>
        </w:trPr>
        <w:tc>
          <w:tcPr>
            <w:tcW w:w="14000" w:type="dxa"/>
            <w:gridSpan w:val="1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169"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308" w:hRule="atLeast"/>
        </w:trPr>
        <w:tc>
          <w:tcPr>
            <w:tcW w:w="8211"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16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79" w:hRule="atLeast"/>
        </w:trPr>
        <w:tc>
          <w:tcPr>
            <w:tcW w:w="45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941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81"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675"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196.06</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23.80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63.46</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0.72</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36.78</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44.40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0.07</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23.57</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2.61</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9.70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0.29</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17.85</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50.25</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24.09</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26.15</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3.16</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14.76</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rPr>
            </w:pP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0.02</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rPr>
            </w:pP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sz w:val="22"/>
                <w:szCs w:val="22"/>
                <w:highlight w:val="none"/>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34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246.31</w:t>
            </w:r>
          </w:p>
        </w:tc>
        <w:tc>
          <w:tcPr>
            <w:tcW w:w="829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23.80</w:t>
            </w:r>
          </w:p>
        </w:tc>
      </w:tr>
      <w:bookmarkEnd w:id="0"/>
      <w:bookmarkEnd w:id="1"/>
      <w:tr>
        <w:tblPrEx>
          <w:tblCellMar>
            <w:top w:w="0" w:type="dxa"/>
            <w:left w:w="108" w:type="dxa"/>
            <w:bottom w:w="0" w:type="dxa"/>
            <w:right w:w="108" w:type="dxa"/>
          </w:tblCellMar>
        </w:tblPrEx>
        <w:trPr>
          <w:trHeight w:val="179" w:hRule="atLeast"/>
        </w:trPr>
        <w:tc>
          <w:tcPr>
            <w:tcW w:w="14000" w:type="dxa"/>
            <w:gridSpan w:val="15"/>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highlight w:val="none"/>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w:t>
            </w:r>
            <w:r>
              <w:rPr>
                <w:rFonts w:hint="eastAsia"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0.07</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0.07</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环江毛南族自治县人力资源和社会保障局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2131.78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u w:color="auto"/>
          <w:lang w:val="en-US" w:eastAsia="zh-CN"/>
        </w:rPr>
        <w:t>7.1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0.33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2131.78</w:t>
      </w:r>
      <w:r>
        <w:rPr>
          <w:rFonts w:hint="eastAsia" w:ascii="仿宋" w:hAnsi="仿宋" w:eastAsia="仿宋" w:cs="仿宋"/>
          <w:sz w:val="32"/>
          <w:szCs w:val="32"/>
          <w:highlight w:val="none"/>
        </w:rPr>
        <w:t>万元。收入具体情况如下。</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2131.78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u w:color="auto"/>
          <w:lang w:val="en-US" w:eastAsia="zh-CN"/>
        </w:rPr>
        <w:t>7.1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0.33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主要原因：基本支出</w:t>
      </w:r>
      <w:r>
        <w:rPr>
          <w:rFonts w:hint="eastAsia" w:ascii="仿宋" w:hAnsi="仿宋" w:eastAsia="仿宋" w:cs="仿宋"/>
          <w:kern w:val="0"/>
          <w:sz w:val="32"/>
          <w:szCs w:val="32"/>
          <w:lang w:eastAsia="zh-CN"/>
        </w:rPr>
        <w:t>收入减少。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8.其他收入0万元,为预算单位在“财政拨款收入”“事业收入”“经营收入”之外取得的收入。较2022年度决算数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2131.78</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2131.78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7.1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0.33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，主要用于本部门为保证日常运转发生的基本支出和为完成各项工作任务、保障单位事业发展而发生的项目支出。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0.25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7.33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主要原因是：2023年缩减工作经费开支。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1971.06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其他人力资源和社会保障事务支出、机关事业单位基本养老保险缴费支出、就业补助支出（含职业培训、社会保险、公益性岗位、职业鉴定及见习补贴等）。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88.11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4.68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主要原因是：就业补助专项资金支出增加。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类）105.11万元：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：粤桂协作就业技能培训、脱贫劳动力县内就业劳务补助、“点对点”输送农民工赴粤务工交通费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76.61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42.16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2023年符合补贴标准人数较少。</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17.62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_GB2312"/>
          <w:kern w:val="0"/>
          <w:sz w:val="32"/>
          <w:szCs w:val="32"/>
        </w:rPr>
        <w:t>按照国家政策规定向职工发放的住房公积金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8.13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主要原因是：2023年年内有职工调动，公积金数额有变动。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2131.78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7.1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0.33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270.11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1861.77</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375.71</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2131.78</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567.4</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3.16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429"/>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2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本部门为保证日常运转发生的基本支出和为完成各项工作任务、保障单位事业发展而发生的项目支出。</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353.59</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1971.06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557.44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大部分就业补助资金为年中中央及自治区直达资金指标，不纳入年初预算。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1082"/>
        <w:gridCol w:w="821"/>
        <w:gridCol w:w="1912"/>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人力资源和社会保障管理事务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328.3</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293.78</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89.49</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人力资源和社会保障事务支出</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年中有人员调动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行政事业单位养老支出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25.29</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23.57</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93.2</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机关事业单位基本养老保险缴费支出</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年中有人员调动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就业补助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1653.71</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就业补助支出</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就业补助资金多为中央及自治区直达资金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353.59</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1971.06</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105.11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该项资金为自治区年中下达资金，不纳入年初预算。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粤桂协作就业技能培训、脱贫劳动力县内就业劳务补助、“点对点”输送农民工赴粤务工交通费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2023年符合补助标准的人数较少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20.49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19.18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93.61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原因是：2022年年内有职工退休及调出，职工总人数较2022年减少。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按照国家政策规定向职工发放的住房公积金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年年内有职工</w:t>
            </w:r>
            <w:r>
              <w:rPr>
                <w:rFonts w:hint="eastAsia" w:ascii="宋体" w:hAnsi="宋体" w:eastAsia="宋体" w:cs="宋体"/>
                <w:i w:val="0"/>
                <w:iCs w:val="0"/>
                <w:color w:val="auto"/>
                <w:sz w:val="18"/>
                <w:szCs w:val="18"/>
                <w:highlight w:val="none"/>
                <w:u w:val="none"/>
                <w:lang w:val="en-US" w:eastAsia="zh-CN"/>
              </w:rPr>
              <w:t>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270.11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246.31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23.8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196.06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106.34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年中存在人员职级晋升与其他相关工资调整。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63.46万元，30102津贴补贴36.78万元，30103奖金44.4万元，30106伙食补助费0万元，30107绩效工资0万元，30108机关事业单位基本养老保险缴费23.57万元，30110职工基本医疗保险缴费9.7万元，30111公务员医疗补助缴费0万元，30112其他社会保障缴费0.29万元，30113住房公积金17.85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23.8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97.9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2023年减少工作经费开支。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30201办公费0.72万元，30205水费0.07，,3206电费0.95，30207邮电费2.,61万元,30211差旅费0.01，30226劳务费1.5万元，30228工会经费3.16万元，30239其他交通费用14.76万元,30299其他商品与服务支出0.02。</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50.25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295.76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主要原因是：1、</w:t>
      </w:r>
      <w:r>
        <w:rPr>
          <w:rFonts w:hint="eastAsia" w:ascii="仿宋" w:hAnsi="仿宋" w:eastAsia="仿宋" w:cs="仿宋"/>
          <w:color w:val="auto"/>
          <w:kern w:val="2"/>
          <w:sz w:val="32"/>
          <w:szCs w:val="32"/>
          <w:highlight w:val="none"/>
          <w:lang w:val="en-US" w:eastAsia="zh-CN" w:bidi="ar"/>
        </w:rPr>
        <w:t>年中有2人在职转退休，退休补助增加。2、2023年有一笔死亡抚恤金开支。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支出具体情况如下：30305抚恤金24.09，</w:t>
      </w:r>
      <w:r>
        <w:rPr>
          <w:rFonts w:hint="eastAsia" w:ascii="仿宋" w:hAnsi="仿宋" w:eastAsia="仿宋" w:cs="仿宋"/>
          <w:sz w:val="32"/>
          <w:szCs w:val="32"/>
          <w:highlight w:val="none"/>
          <w:lang w:val="en-US" w:eastAsia="zh-CN"/>
        </w:rPr>
        <w:t>30305生活补助26.15万元。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主要原因是：是认真贯彻落实中央“八项规定”精神和厉行节约要求，严控和压缩“三公”经费相关支出。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主要原因是：是认真贯彻落实中央“八项规定”精神和厉行节约要求，严控和压缩“三公”经费相关支出。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23.8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0.51</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2.1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1.37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主要原因是：人员编制数量减少、落实过紧日子要求压减</w:t>
      </w:r>
      <w:r>
        <w:rPr>
          <w:rFonts w:hint="eastAsia" w:ascii="仿宋" w:hAnsi="仿宋" w:eastAsia="仿宋" w:cs="仿宋"/>
          <w:color w:val="auto"/>
          <w:sz w:val="32"/>
          <w:szCs w:val="32"/>
          <w:highlight w:val="none"/>
          <w:lang w:eastAsia="zh-CN"/>
        </w:rPr>
        <w:t>各项</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2.76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2.76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2.76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2.76</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一等项目指标已全部完成。</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0.42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0.47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组织对“就业补助资金”等</w:t>
      </w:r>
      <w:r>
        <w:rPr>
          <w:rFonts w:hint="eastAsia" w:ascii="仿宋" w:hAnsi="仿宋" w:eastAsia="仿宋" w:cs="仿宋"/>
          <w:color w:val="000000" w:themeColor="text1"/>
          <w:sz w:val="32"/>
          <w:szCs w:val="32"/>
          <w:lang w:val="en-US" w:eastAsia="zh-CN"/>
          <w14:textFill>
            <w14:solidFill>
              <w14:schemeClr w14:val="tx1"/>
            </w14:solidFill>
          </w14:textFill>
        </w:rPr>
        <w:t>26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1912.35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2023年基本完成全部项目绩效目标，部分项目因本年未发生或未开展相关业务无支出，未达到绩效目标。</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1912.35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2023年基本完成全部项目绩效目标，部分项目因本年未发生或未开展相关业务无支出，未达到绩效目标。</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人力资源和社会保障日常工作经费项目自评得分为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97.5</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2、2022年自治区财政“服务惠民”专项活动</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92.79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3、企业薪酬调查项目经费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分。发现的主要问题及原因：已完成企业薪酬调查项目，但为节省开支，先支取往年结余经费，当年经费未开支。下一步改进措施：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4、点对点输送脱贫户交通费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5、农民工工资应急周转金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70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该项目具有不确定性，因年内未发生农民工工资引起的突发性事件，未有支出，无法达到设定的目标值</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6、2022年自治区财政县域就业和社会保障服务设施改善提升项目建设资金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项目开展实施进度慢，</w:t>
      </w:r>
      <w:r>
        <w:rPr>
          <w:rFonts w:hint="eastAsia" w:ascii="仿宋" w:hAnsi="仿宋" w:eastAsia="仿宋" w:cs="仿宋"/>
          <w:color w:val="000000" w:themeColor="text1"/>
          <w:sz w:val="32"/>
          <w:szCs w:val="32"/>
          <w:lang w:val="en-US" w:eastAsia="zh-CN"/>
          <w14:textFill>
            <w14:solidFill>
              <w14:schemeClr w14:val="tx1"/>
            </w14:solidFill>
          </w14:textFill>
        </w:rPr>
        <w:t>2023年未开展相关业务</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7、乡村振兴村级协理员招用工作经费项目自评得分为99.8分。发现的主要问题及原因：无。下一步改进措施：无。8、干部人事档案管理工作经费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99.77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9、劳动仲裁办案工作经费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95.13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10、人才中心档案管理经费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96.72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11、粤桂劳务协作技能培训</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12、自治区就业补助资金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95.03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13、个体工商户吸纳高校毕业生一次性扩岗补贴资金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2023年未开展相关项目</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合理安排使用资金。</w:t>
      </w:r>
      <w:r>
        <w:rPr>
          <w:rFonts w:hint="eastAsia" w:ascii="仿宋" w:hAnsi="仿宋" w:eastAsia="仿宋" w:cs="仿宋"/>
          <w:color w:val="000000" w:themeColor="text1"/>
          <w:sz w:val="32"/>
          <w:szCs w:val="32"/>
          <w:lang w:val="en-US" w:eastAsia="zh-CN"/>
          <w14:textFill>
            <w14:solidFill>
              <w14:schemeClr w14:val="tx1"/>
            </w14:solidFill>
          </w14:textFill>
        </w:rPr>
        <w:t>14、劳动监察工作经费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15、党员活动经费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16、奖励性补贴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17、奖励性补贴(非三保)</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auto"/>
          <w:sz w:val="32"/>
          <w:szCs w:val="32"/>
          <w:lang w:val="en-US" w:eastAsia="zh-CN"/>
        </w:rPr>
        <w:t>18、中央下达就业见习补贴</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无。</w:t>
      </w:r>
      <w:r>
        <w:rPr>
          <w:rFonts w:hint="eastAsia" w:ascii="仿宋" w:hAnsi="仿宋" w:eastAsia="仿宋" w:cs="仿宋"/>
          <w:color w:val="000000" w:themeColor="text1"/>
          <w:sz w:val="32"/>
          <w:szCs w:val="32"/>
          <w:lang w:val="en-US" w:eastAsia="zh-CN"/>
          <w14:textFill>
            <w14:solidFill>
              <w14:schemeClr w14:val="tx1"/>
            </w14:solidFill>
          </w14:textFill>
        </w:rPr>
        <w:t>19、工伤认定工作经费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91.1</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auto"/>
          <w:sz w:val="32"/>
          <w:szCs w:val="32"/>
          <w:lang w:val="en-US" w:eastAsia="zh-CN"/>
        </w:rPr>
        <w:t>20、社会保险基金监督举报奖励资金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2023年未发生相关业务</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21、公开招聘事业单位工作人员和事业单位紧缺人才工作经费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95.89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22、保障农民工工资工作经费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97.6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w:t>
      </w:r>
      <w:r>
        <w:rPr>
          <w:rFonts w:hint="eastAsia" w:ascii="仿宋" w:hAnsi="仿宋" w:eastAsia="仿宋" w:cs="仿宋"/>
          <w:color w:val="auto"/>
          <w:sz w:val="32"/>
          <w:szCs w:val="32"/>
        </w:rPr>
        <w:t>施：</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lang w:val="en-US" w:eastAsia="zh-CN"/>
        </w:rPr>
        <w:t>23、中央级就业补助资金（市级下达）</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24、中央级就业补助资金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99.34</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lang w:val="en-US" w:eastAsia="zh-CN"/>
        </w:rPr>
        <w:t>25、聘请法律顾问工作经费项目建设资金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eastAsia="zh-CN"/>
        </w:rPr>
        <w:t>项目已开展资金未支付</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加快各个项目实施进度及资金使用效率</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26、中央下达就业补助资金项目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w:t>
      </w:r>
      <w:bookmarkStart w:id="4" w:name="_GoBack"/>
      <w:bookmarkEnd w:id="4"/>
      <w:r>
        <w:rPr>
          <w:rFonts w:hint="eastAsia" w:ascii="仿宋" w:hAnsi="仿宋" w:eastAsia="仿宋" w:cs="仿宋"/>
          <w:sz w:val="32"/>
          <w:szCs w:val="32"/>
          <w:highlight w:val="none"/>
        </w:rPr>
        <w:t>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C971F6"/>
    <w:rsid w:val="08D04455"/>
    <w:rsid w:val="0942143F"/>
    <w:rsid w:val="0D100297"/>
    <w:rsid w:val="0D202B45"/>
    <w:rsid w:val="0F8D4C87"/>
    <w:rsid w:val="10505FAA"/>
    <w:rsid w:val="105F7E7E"/>
    <w:rsid w:val="11E56B5B"/>
    <w:rsid w:val="125C77AB"/>
    <w:rsid w:val="14CB726E"/>
    <w:rsid w:val="15ED14AA"/>
    <w:rsid w:val="170E4165"/>
    <w:rsid w:val="17E92249"/>
    <w:rsid w:val="18D304F1"/>
    <w:rsid w:val="19F32577"/>
    <w:rsid w:val="19F45B80"/>
    <w:rsid w:val="1ADD05EB"/>
    <w:rsid w:val="1B0C078D"/>
    <w:rsid w:val="1B2B31E2"/>
    <w:rsid w:val="1B4C295A"/>
    <w:rsid w:val="1B973C63"/>
    <w:rsid w:val="1BA1001E"/>
    <w:rsid w:val="1BB77445"/>
    <w:rsid w:val="1D317259"/>
    <w:rsid w:val="1D6334B4"/>
    <w:rsid w:val="1E664F5B"/>
    <w:rsid w:val="1E966EBA"/>
    <w:rsid w:val="1EB34BE1"/>
    <w:rsid w:val="1F695F97"/>
    <w:rsid w:val="215E639F"/>
    <w:rsid w:val="21EC3183"/>
    <w:rsid w:val="225E72CD"/>
    <w:rsid w:val="246E2F77"/>
    <w:rsid w:val="254B4E2B"/>
    <w:rsid w:val="283D7C94"/>
    <w:rsid w:val="29480E03"/>
    <w:rsid w:val="2983634D"/>
    <w:rsid w:val="2B7A3678"/>
    <w:rsid w:val="2BB02055"/>
    <w:rsid w:val="2C575A56"/>
    <w:rsid w:val="2F257714"/>
    <w:rsid w:val="2F3275E5"/>
    <w:rsid w:val="30AA08EF"/>
    <w:rsid w:val="30D23D1C"/>
    <w:rsid w:val="31221CF5"/>
    <w:rsid w:val="31400178"/>
    <w:rsid w:val="321E3342"/>
    <w:rsid w:val="327759C8"/>
    <w:rsid w:val="33185FE3"/>
    <w:rsid w:val="34EE2E36"/>
    <w:rsid w:val="36777241"/>
    <w:rsid w:val="37D800AA"/>
    <w:rsid w:val="38A951DB"/>
    <w:rsid w:val="38B31605"/>
    <w:rsid w:val="39003F4F"/>
    <w:rsid w:val="39520406"/>
    <w:rsid w:val="399417AF"/>
    <w:rsid w:val="3A366EA9"/>
    <w:rsid w:val="3C07002B"/>
    <w:rsid w:val="3D0D152A"/>
    <w:rsid w:val="3DF62756"/>
    <w:rsid w:val="3F1B7587"/>
    <w:rsid w:val="40D60B65"/>
    <w:rsid w:val="40DB0111"/>
    <w:rsid w:val="41E57B4F"/>
    <w:rsid w:val="42BE180E"/>
    <w:rsid w:val="43247258"/>
    <w:rsid w:val="432F26F6"/>
    <w:rsid w:val="43577787"/>
    <w:rsid w:val="43880F63"/>
    <w:rsid w:val="441C5A6F"/>
    <w:rsid w:val="44C44FCC"/>
    <w:rsid w:val="44CC7369"/>
    <w:rsid w:val="457F5108"/>
    <w:rsid w:val="45950036"/>
    <w:rsid w:val="468C1777"/>
    <w:rsid w:val="46951B6B"/>
    <w:rsid w:val="495E11BD"/>
    <w:rsid w:val="49A34401"/>
    <w:rsid w:val="4A3E30AB"/>
    <w:rsid w:val="4AC14DAC"/>
    <w:rsid w:val="4D154C85"/>
    <w:rsid w:val="4EC8553A"/>
    <w:rsid w:val="508F4E24"/>
    <w:rsid w:val="51461E90"/>
    <w:rsid w:val="51463753"/>
    <w:rsid w:val="52553A93"/>
    <w:rsid w:val="533E5686"/>
    <w:rsid w:val="53521F8B"/>
    <w:rsid w:val="53E22F47"/>
    <w:rsid w:val="54522FF8"/>
    <w:rsid w:val="55450629"/>
    <w:rsid w:val="56692963"/>
    <w:rsid w:val="568B0F48"/>
    <w:rsid w:val="5786217B"/>
    <w:rsid w:val="57B1156A"/>
    <w:rsid w:val="58C77A57"/>
    <w:rsid w:val="59337A15"/>
    <w:rsid w:val="59810274"/>
    <w:rsid w:val="5CA96A00"/>
    <w:rsid w:val="5CF730BC"/>
    <w:rsid w:val="5E19246F"/>
    <w:rsid w:val="5E5A675C"/>
    <w:rsid w:val="5E5F0DCE"/>
    <w:rsid w:val="5FA40A7B"/>
    <w:rsid w:val="5FD56D29"/>
    <w:rsid w:val="5FEC7F3F"/>
    <w:rsid w:val="60F74BC3"/>
    <w:rsid w:val="617D3BF8"/>
    <w:rsid w:val="61841F6A"/>
    <w:rsid w:val="622B0AFA"/>
    <w:rsid w:val="623007A9"/>
    <w:rsid w:val="62575CE7"/>
    <w:rsid w:val="634F29FC"/>
    <w:rsid w:val="637D7558"/>
    <w:rsid w:val="644F19AC"/>
    <w:rsid w:val="65AA4920"/>
    <w:rsid w:val="67694F1E"/>
    <w:rsid w:val="687C2679"/>
    <w:rsid w:val="68B61BDB"/>
    <w:rsid w:val="69597934"/>
    <w:rsid w:val="6978691E"/>
    <w:rsid w:val="6B720CAA"/>
    <w:rsid w:val="6B964DDC"/>
    <w:rsid w:val="6C783074"/>
    <w:rsid w:val="6D9E65C6"/>
    <w:rsid w:val="6DA81947"/>
    <w:rsid w:val="6EB66DE2"/>
    <w:rsid w:val="6ED3075F"/>
    <w:rsid w:val="6F2A2D4B"/>
    <w:rsid w:val="6F8A0C1E"/>
    <w:rsid w:val="703F45D4"/>
    <w:rsid w:val="715D6546"/>
    <w:rsid w:val="71BE069E"/>
    <w:rsid w:val="73953409"/>
    <w:rsid w:val="73E069A3"/>
    <w:rsid w:val="751B0A84"/>
    <w:rsid w:val="75D65CF6"/>
    <w:rsid w:val="78104AA8"/>
    <w:rsid w:val="78116312"/>
    <w:rsid w:val="78E257C5"/>
    <w:rsid w:val="7922554C"/>
    <w:rsid w:val="794B35BE"/>
    <w:rsid w:val="79E02500"/>
    <w:rsid w:val="7A4E3F6B"/>
    <w:rsid w:val="7B0A3A31"/>
    <w:rsid w:val="7B3360ED"/>
    <w:rsid w:val="7B5319F3"/>
    <w:rsid w:val="7BDF037E"/>
    <w:rsid w:val="7BF50948"/>
    <w:rsid w:val="7CE66A78"/>
    <w:rsid w:val="7D23564C"/>
    <w:rsid w:val="7D5E062D"/>
    <w:rsid w:val="7DF76CD8"/>
    <w:rsid w:val="7F35175D"/>
    <w:rsid w:val="7F3A2E37"/>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2138.88</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3.41</c:v>
                </c:pt>
                <c:pt idx="1">
                  <c:v>1882.95</c:v>
                </c:pt>
                <c:pt idx="2">
                  <c:v>181.72</c:v>
                </c:pt>
                <c:pt idx="3">
                  <c:v>19.18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Sheet1!$C$2:$C$5</c:f>
              <c:numCache>
                <c:formatCode>General</c:formatCode>
                <c:ptCount val="4"/>
                <c:pt idx="0">
                  <c:v>3.16</c:v>
                </c:pt>
                <c:pt idx="1">
                  <c:v>1971.06</c:v>
                </c:pt>
                <c:pt idx="2">
                  <c:v>105.11</c:v>
                </c:pt>
                <c:pt idx="3">
                  <c:v>17.62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2012999</c:v>
                </c:pt>
                <c:pt idx="1">
                  <c:v>2012999</c:v>
                </c:pt>
              </c:numCache>
            </c:numRef>
          </c:cat>
          <c:val>
            <c:numRef>
              <c:f>Sheet1!$B$2:$B$3</c:f>
              <c:numCache>
                <c:formatCode>General</c:formatCode>
                <c:ptCount val="2"/>
                <c:pt idx="0">
                  <c:v>3.16</c:v>
                </c:pt>
                <c:pt idx="1">
                  <c:v>3.16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20801</c:v>
                </c:pt>
                <c:pt idx="1">
                  <c:v>20805</c:v>
                </c:pt>
                <c:pt idx="2">
                  <c:v>20807</c:v>
                </c:pt>
              </c:numCache>
            </c:numRef>
          </c:cat>
          <c:val>
            <c:numRef>
              <c:f>Sheet1!$B$2:$B$4</c:f>
              <c:numCache>
                <c:formatCode>General</c:formatCode>
                <c:ptCount val="3"/>
                <c:pt idx="0">
                  <c:v>293.78</c:v>
                </c:pt>
                <c:pt idx="1">
                  <c:v>23.57</c:v>
                </c:pt>
                <c:pt idx="2">
                  <c:v>1653.71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2130599</c:v>
                </c:pt>
                <c:pt idx="1">
                  <c:v>2130599</c:v>
                </c:pt>
              </c:numCache>
            </c:numRef>
          </c:cat>
          <c:val>
            <c:numRef>
              <c:f>Sheet1!$B$2:$B$3</c:f>
              <c:numCache>
                <c:formatCode>General</c:formatCode>
                <c:ptCount val="2"/>
                <c:pt idx="0">
                  <c:v>105.11</c:v>
                </c:pt>
                <c:pt idx="1">
                  <c:v>105.11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pt idx="1">
                  <c:v>2210201</c:v>
                </c:pt>
              </c:numCache>
            </c:numRef>
          </c:cat>
          <c:val>
            <c:numRef>
              <c:f>Sheet1!$B$2:$B$3</c:f>
              <c:numCache>
                <c:formatCode>General</c:formatCode>
                <c:ptCount val="2"/>
                <c:pt idx="0">
                  <c:v>17.62</c:v>
                </c:pt>
                <c:pt idx="1">
                  <c:v>17.62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63.46</c:v>
                </c:pt>
                <c:pt idx="1">
                  <c:v>36.78</c:v>
                </c:pt>
                <c:pt idx="2">
                  <c:v>44.4</c:v>
                </c:pt>
                <c:pt idx="3">
                  <c:v>0</c:v>
                </c:pt>
                <c:pt idx="4">
                  <c:v>0</c:v>
                </c:pt>
                <c:pt idx="5">
                  <c:v>23.57</c:v>
                </c:pt>
                <c:pt idx="6">
                  <c:v>0</c:v>
                </c:pt>
                <c:pt idx="7">
                  <c:v>9.7</c:v>
                </c:pt>
                <c:pt idx="8">
                  <c:v>0</c:v>
                </c:pt>
                <c:pt idx="9">
                  <c:v>0.29</c:v>
                </c:pt>
                <c:pt idx="10">
                  <c:v>17.85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0.72</c:v>
                </c:pt>
                <c:pt idx="1">
                  <c:v>0</c:v>
                </c:pt>
                <c:pt idx="2">
                  <c:v>0</c:v>
                </c:pt>
                <c:pt idx="3">
                  <c:v>0</c:v>
                </c:pt>
                <c:pt idx="4">
                  <c:v>0.07</c:v>
                </c:pt>
                <c:pt idx="5">
                  <c:v>0.95</c:v>
                </c:pt>
                <c:pt idx="6">
                  <c:v>2.61</c:v>
                </c:pt>
                <c:pt idx="7">
                  <c:v>0</c:v>
                </c:pt>
                <c:pt idx="8">
                  <c:v>0</c:v>
                </c:pt>
                <c:pt idx="9">
                  <c:v>0.01</c:v>
                </c:pt>
                <c:pt idx="10">
                  <c:v>0</c:v>
                </c:pt>
                <c:pt idx="11">
                  <c:v>0</c:v>
                </c:pt>
                <c:pt idx="12">
                  <c:v>0</c:v>
                </c:pt>
                <c:pt idx="13">
                  <c:v>0</c:v>
                </c:pt>
                <c:pt idx="14">
                  <c:v>0</c:v>
                </c:pt>
                <c:pt idx="15">
                  <c:v>0</c:v>
                </c:pt>
                <c:pt idx="16">
                  <c:v>0</c:v>
                </c:pt>
                <c:pt idx="17">
                  <c:v>0</c:v>
                </c:pt>
                <c:pt idx="18">
                  <c:v>0</c:v>
                </c:pt>
                <c:pt idx="19">
                  <c:v>1.5</c:v>
                </c:pt>
                <c:pt idx="20">
                  <c:v>0</c:v>
                </c:pt>
                <c:pt idx="21">
                  <c:v>3.16</c:v>
                </c:pt>
                <c:pt idx="22">
                  <c:v>0</c:v>
                </c:pt>
                <c:pt idx="23">
                  <c:v>0</c:v>
                </c:pt>
                <c:pt idx="24">
                  <c:v>14.76</c:v>
                </c:pt>
                <c:pt idx="25">
                  <c:v>0</c:v>
                </c:pt>
                <c:pt idx="26">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manualLayout>
          <c:layoutTarget val="inner"/>
          <c:xMode val="edge"/>
          <c:yMode val="edge"/>
          <c:x val="0.0612459202497517"/>
          <c:y val="0.169431279620853"/>
          <c:w val="0.89568302268618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24.09</c:v>
                </c:pt>
                <c:pt idx="4">
                  <c:v>26.15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8</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2024-12-24T10:09:44Z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