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lang w:eastAsia="zh-CN"/>
        </w:rPr>
        <w:t>环江毛南族自治县地方志编纂委员会办公室</w:t>
      </w:r>
      <w:r>
        <w:rPr>
          <w:rFonts w:hint="eastAsia" w:ascii="黑体" w:hAnsi="黑体" w:eastAsia="黑体" w:cs="黑体"/>
          <w:b/>
          <w:bCs/>
          <w:sz w:val="52"/>
          <w:szCs w:val="52"/>
          <w:highlight w:val="none"/>
        </w:rPr>
        <w:t>202</w:t>
      </w:r>
      <w:r>
        <w:rPr>
          <w:rFonts w:hint="eastAsia" w:ascii="黑体" w:hAnsi="黑体" w:eastAsia="黑体" w:cs="黑体"/>
          <w:b/>
          <w:bCs/>
          <w:sz w:val="52"/>
          <w:szCs w:val="52"/>
          <w:highlight w:val="none"/>
          <w:lang w:val="en-US" w:eastAsia="zh-CN"/>
        </w:rPr>
        <w:t>3</w:t>
      </w:r>
      <w:r>
        <w:rPr>
          <w:rFonts w:hint="eastAsia" w:ascii="黑体" w:hAnsi="黑体" w:eastAsia="黑体" w:cs="黑体"/>
          <w:b/>
          <w:bCs/>
          <w:sz w:val="52"/>
          <w:szCs w:val="52"/>
          <w:highlight w:val="none"/>
        </w:rPr>
        <w:t>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w:t>
      </w:r>
      <w:r>
        <w:rPr>
          <w:rFonts w:hint="eastAsia" w:ascii="黑体" w:hAnsi="黑体" w:eastAsia="黑体" w:cs="黑体"/>
          <w:b/>
          <w:bCs/>
          <w:sz w:val="36"/>
          <w:szCs w:val="36"/>
          <w:highlight w:val="none"/>
          <w:lang w:val="en-US" w:eastAsia="zh-CN"/>
        </w:rPr>
        <w:t>4</w:t>
      </w:r>
      <w:r>
        <w:rPr>
          <w:rFonts w:hint="eastAsia" w:ascii="黑体" w:hAnsi="黑体" w:eastAsia="黑体" w:cs="黑体"/>
          <w:b/>
          <w:bCs/>
          <w:sz w:val="36"/>
          <w:szCs w:val="36"/>
          <w:highlight w:val="none"/>
        </w:rPr>
        <w:t>年</w:t>
      </w:r>
      <w:r>
        <w:rPr>
          <w:rFonts w:hint="eastAsia" w:ascii="黑体" w:hAnsi="黑体" w:eastAsia="黑体" w:cs="黑体"/>
          <w:b/>
          <w:bCs/>
          <w:sz w:val="36"/>
          <w:szCs w:val="36"/>
          <w:highlight w:val="none"/>
          <w:lang w:val="en-US" w:eastAsia="zh-CN"/>
        </w:rPr>
        <w:t>12</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2日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val="en-US" w:eastAsia="zh-CN"/>
        </w:rPr>
        <w:t>部门</w:t>
      </w:r>
      <w:r>
        <w:rPr>
          <w:rFonts w:hint="eastAsia" w:ascii="黑体" w:hAnsi="黑体" w:eastAsia="黑体" w:cs="黑体"/>
          <w:sz w:val="32"/>
          <w:szCs w:val="32"/>
          <w:highlight w:val="none"/>
        </w:rPr>
        <w:t>概况</w:t>
      </w:r>
    </w:p>
    <w:p>
      <w:pPr>
        <w:spacing w:line="560" w:lineRule="exact"/>
        <w:rPr>
          <w:rFonts w:hint="eastAsia" w:ascii="仿宋_GB2312" w:eastAsia="仿宋_GB2312"/>
          <w:sz w:val="32"/>
          <w:szCs w:val="32"/>
          <w:lang w:eastAsia="zh-CN"/>
        </w:rPr>
      </w:pPr>
      <w:r>
        <w:rPr>
          <w:rFonts w:hint="eastAsia" w:ascii="仿宋_GB2312" w:eastAsia="仿宋_GB2312"/>
          <w:sz w:val="32"/>
          <w:szCs w:val="32"/>
        </w:rPr>
        <w:t>一、</w:t>
      </w:r>
      <w:r>
        <w:rPr>
          <w:rFonts w:hint="eastAsia" w:ascii="仿宋_GB2312" w:eastAsia="仿宋_GB2312"/>
          <w:sz w:val="32"/>
          <w:szCs w:val="32"/>
          <w:lang w:eastAsia="zh-CN"/>
        </w:rPr>
        <w:t>本部门职责</w:t>
      </w:r>
    </w:p>
    <w:p>
      <w:pPr>
        <w:spacing w:line="560" w:lineRule="exact"/>
        <w:rPr>
          <w:rFonts w:ascii="仿宋" w:hAnsi="仿宋" w:eastAsia="仿宋" w:cs="仿宋"/>
          <w:sz w:val="32"/>
          <w:szCs w:val="32"/>
          <w:highlight w:val="none"/>
        </w:rPr>
      </w:pPr>
      <w:r>
        <w:rPr>
          <w:rFonts w:hint="eastAsia" w:ascii="仿宋_GB2312" w:eastAsia="仿宋_GB2312"/>
          <w:sz w:val="32"/>
          <w:szCs w:val="32"/>
        </w:rPr>
        <w:t>二、</w:t>
      </w:r>
      <w:r>
        <w:rPr>
          <w:rFonts w:hint="eastAsia" w:ascii="仿宋_GB2312" w:eastAsia="仿宋_GB2312"/>
          <w:sz w:val="32"/>
          <w:szCs w:val="32"/>
          <w:lang w:eastAsia="zh-CN"/>
        </w:rPr>
        <w:t>机构设置情况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第二部分：202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年度部门决算报表</w:t>
      </w:r>
    </w:p>
    <w:p>
      <w:pPr>
        <w:spacing w:line="560" w:lineRule="exact"/>
        <w:rPr>
          <w:rFonts w:hint="eastAsia" w:ascii="仿宋_GB2312" w:eastAsia="仿宋_GB2312"/>
          <w:sz w:val="32"/>
          <w:szCs w:val="32"/>
        </w:rPr>
      </w:pPr>
      <w:r>
        <w:rPr>
          <w:rFonts w:hint="eastAsia" w:ascii="仿宋_GB2312" w:eastAsia="仿宋_GB2312"/>
          <w:sz w:val="32"/>
          <w:szCs w:val="32"/>
        </w:rPr>
        <w:t>表一：收入支出决算总表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表二：收入决算表</w:t>
      </w:r>
    </w:p>
    <w:p>
      <w:pPr>
        <w:spacing w:line="560" w:lineRule="exact"/>
        <w:rPr>
          <w:rFonts w:hint="eastAsia" w:ascii="仿宋_GB2312" w:eastAsia="仿宋_GB2312"/>
          <w:sz w:val="32"/>
          <w:szCs w:val="32"/>
        </w:rPr>
      </w:pPr>
      <w:r>
        <w:rPr>
          <w:rFonts w:hint="eastAsia" w:ascii="仿宋_GB2312" w:eastAsia="仿宋_GB2312"/>
          <w:sz w:val="32"/>
          <w:szCs w:val="32"/>
        </w:rPr>
        <w:t>表三：支出决算表</w:t>
      </w:r>
    </w:p>
    <w:p>
      <w:pPr>
        <w:spacing w:line="560" w:lineRule="exact"/>
        <w:rPr>
          <w:rFonts w:hint="eastAsia" w:ascii="仿宋_GB2312" w:eastAsia="仿宋_GB2312"/>
          <w:sz w:val="32"/>
          <w:szCs w:val="32"/>
        </w:rPr>
      </w:pPr>
      <w:r>
        <w:rPr>
          <w:rFonts w:hint="eastAsia" w:ascii="仿宋_GB2312" w:eastAsia="仿宋_GB2312"/>
          <w:sz w:val="32"/>
          <w:szCs w:val="32"/>
        </w:rPr>
        <w:t>表四：财政拨款收入支出决算总表</w:t>
      </w:r>
    </w:p>
    <w:p>
      <w:pPr>
        <w:spacing w:line="560" w:lineRule="exact"/>
        <w:rPr>
          <w:rFonts w:hint="eastAsia" w:ascii="仿宋_GB2312" w:eastAsia="仿宋_GB2312"/>
          <w:sz w:val="32"/>
          <w:szCs w:val="32"/>
        </w:rPr>
      </w:pPr>
      <w:r>
        <w:rPr>
          <w:rFonts w:hint="eastAsia" w:ascii="仿宋_GB2312" w:eastAsia="仿宋_GB2312"/>
          <w:sz w:val="32"/>
          <w:szCs w:val="32"/>
        </w:rPr>
        <w:t>表五：一般公共预算财政拨款支出决算表</w:t>
      </w:r>
    </w:p>
    <w:p>
      <w:pPr>
        <w:spacing w:line="560" w:lineRule="exact"/>
        <w:rPr>
          <w:rFonts w:hint="eastAsia" w:ascii="仿宋_GB2312" w:eastAsia="仿宋_GB2312"/>
          <w:sz w:val="32"/>
          <w:szCs w:val="32"/>
        </w:rPr>
      </w:pPr>
      <w:r>
        <w:rPr>
          <w:rFonts w:hint="eastAsia" w:ascii="仿宋_GB2312" w:eastAsia="仿宋_GB2312"/>
          <w:sz w:val="32"/>
          <w:szCs w:val="32"/>
        </w:rPr>
        <w:t>表六：一般公共预算财政拨款基本支出决算明细表</w:t>
      </w:r>
    </w:p>
    <w:p>
      <w:pPr>
        <w:spacing w:line="560" w:lineRule="exact"/>
        <w:rPr>
          <w:rFonts w:hint="eastAsia" w:ascii="仿宋_GB2312" w:eastAsia="仿宋_GB2312"/>
          <w:sz w:val="32"/>
          <w:szCs w:val="32"/>
        </w:rPr>
      </w:pPr>
      <w:r>
        <w:rPr>
          <w:rFonts w:hint="eastAsia" w:ascii="仿宋_GB2312" w:eastAsia="仿宋_GB2312"/>
          <w:sz w:val="32"/>
          <w:szCs w:val="32"/>
        </w:rPr>
        <w:t>表七：政府性基金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spacing w:line="560" w:lineRule="exact"/>
        <w:rPr>
          <w:rFonts w:hint="eastAsia" w:ascii="仿宋_GB2312" w:eastAsia="仿宋_GB2312"/>
          <w:sz w:val="32"/>
          <w:szCs w:val="32"/>
        </w:rPr>
      </w:pPr>
      <w:r>
        <w:rPr>
          <w:rFonts w:hint="eastAsia" w:ascii="仿宋_GB2312" w:eastAsia="仿宋_GB2312"/>
          <w:sz w:val="32"/>
          <w:szCs w:val="32"/>
        </w:rPr>
        <w:t>表八：国有资本经营预算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keepNext w:val="0"/>
        <w:keepLines w:val="0"/>
        <w:pageBreakBefore w:val="0"/>
        <w:widowControl w:val="0"/>
        <w:kinsoku/>
        <w:wordWrap/>
        <w:overflowPunct/>
        <w:topLinePunct w:val="0"/>
        <w:bidi w:val="0"/>
        <w:snapToGrid/>
        <w:spacing w:line="520" w:lineRule="exact"/>
        <w:jc w:val="both"/>
        <w:textAlignment w:val="auto"/>
        <w:rPr>
          <w:rFonts w:hint="eastAsia" w:ascii="仿宋_GB2312" w:eastAsia="仿宋_GB2312"/>
          <w:sz w:val="32"/>
          <w:szCs w:val="32"/>
        </w:rPr>
      </w:pPr>
      <w:r>
        <w:rPr>
          <w:rFonts w:hint="eastAsia" w:ascii="仿宋_GB2312" w:eastAsia="仿宋_GB2312"/>
          <w:sz w:val="32"/>
          <w:szCs w:val="32"/>
        </w:rPr>
        <w:t>表九：财政拨款安排的“三公”经费支出决算表</w:t>
      </w:r>
    </w:p>
    <w:p>
      <w:pPr>
        <w:keepNext w:val="0"/>
        <w:keepLines w:val="0"/>
        <w:pageBreakBefore w:val="0"/>
        <w:widowControl w:val="0"/>
        <w:kinsoku/>
        <w:wordWrap/>
        <w:overflowPunct/>
        <w:topLinePunct w:val="0"/>
        <w:bidi w:val="0"/>
        <w:snapToGrid/>
        <w:spacing w:line="520" w:lineRule="exact"/>
        <w:jc w:val="both"/>
        <w:textAlignment w:val="auto"/>
        <w:rPr>
          <w:rFonts w:ascii="仿宋" w:hAnsi="仿宋" w:eastAsia="仿宋" w:cs="仿宋"/>
          <w:sz w:val="32"/>
          <w:szCs w:val="32"/>
          <w:highlight w:val="none"/>
        </w:rPr>
      </w:pPr>
      <w:r>
        <w:rPr>
          <w:rFonts w:hint="eastAsia" w:ascii="黑体" w:hAnsi="黑体" w:eastAsia="黑体" w:cs="黑体"/>
          <w:sz w:val="32"/>
          <w:szCs w:val="32"/>
          <w:highlight w:val="none"/>
        </w:rPr>
        <w:t>第三部分：202</w:t>
      </w:r>
      <w:r>
        <w:rPr>
          <w:rFonts w:hint="eastAsia" w:ascii="黑体" w:hAnsi="黑体" w:eastAsia="黑体" w:cs="黑体"/>
          <w:sz w:val="32"/>
          <w:szCs w:val="32"/>
          <w:highlight w:val="none"/>
          <w:lang w:val="en-US" w:eastAsia="zh-CN"/>
        </w:rPr>
        <w:t>3</w:t>
      </w:r>
      <w:r>
        <w:rPr>
          <w:rFonts w:hint="eastAsia" w:ascii="黑体" w:hAnsi="黑体" w:eastAsia="黑体" w:cs="黑体"/>
          <w:sz w:val="32"/>
          <w:szCs w:val="32"/>
          <w:highlight w:val="none"/>
        </w:rPr>
        <w:t>年度部门决算情况说明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rPr>
        <w:t>202</w:t>
      </w:r>
      <w:r>
        <w:rPr>
          <w:rFonts w:hint="eastAsia" w:ascii="仿宋_GB2312" w:eastAsia="仿宋_GB2312"/>
          <w:kern w:val="0"/>
          <w:sz w:val="32"/>
          <w:szCs w:val="32"/>
          <w:lang w:val="en-US" w:eastAsia="zh-CN"/>
        </w:rPr>
        <w:t>3</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五、202</w:t>
      </w:r>
      <w:r>
        <w:rPr>
          <w:rFonts w:hint="eastAsia" w:ascii="仿宋_GB2312" w:eastAsia="仿宋_GB2312" w:cs="仿宋_GB2312"/>
          <w:kern w:val="0"/>
          <w:sz w:val="32"/>
          <w:szCs w:val="32"/>
          <w:lang w:val="en-US" w:eastAsia="zh-CN"/>
        </w:rPr>
        <w:t>3</w:t>
      </w:r>
      <w:r>
        <w:rPr>
          <w:rFonts w:hint="eastAsia" w:ascii="仿宋_GB2312" w:eastAsia="仿宋_GB2312" w:cs="仿宋_GB2312"/>
          <w:kern w:val="0"/>
          <w:sz w:val="32"/>
          <w:szCs w:val="32"/>
        </w:rPr>
        <w:t>年度国有资本经营预算支出决算情况</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六、财政拨款安排的“三公”经费支出决算情况说明。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autoSpaceDE w:val="0"/>
        <w:autoSpaceDN w:val="0"/>
        <w:adjustRightInd w:val="0"/>
        <w:spacing w:line="560" w:lineRule="exact"/>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八、</w:t>
      </w:r>
      <w:r>
        <w:rPr>
          <w:rFonts w:hint="eastAsia" w:ascii="仿宋_GB2312" w:eastAsia="仿宋_GB2312" w:cs="仿宋_GB2312"/>
          <w:kern w:val="0"/>
          <w:sz w:val="32"/>
          <w:szCs w:val="32"/>
        </w:rPr>
        <w:t>预算绩效管理工作开展情况。</w:t>
      </w:r>
    </w:p>
    <w:p>
      <w:pPr>
        <w:keepNext w:val="0"/>
        <w:keepLines w:val="0"/>
        <w:pageBreakBefore w:val="0"/>
        <w:widowControl w:val="0"/>
        <w:kinsoku/>
        <w:wordWrap/>
        <w:overflowPunct/>
        <w:topLinePunct w:val="0"/>
        <w:bidi w:val="0"/>
        <w:snapToGrid/>
        <w:spacing w:line="520" w:lineRule="exact"/>
        <w:jc w:val="both"/>
        <w:textAlignment w:val="auto"/>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hint="eastAsia" w:ascii="黑体" w:hAnsi="黑体" w:eastAsia="黑体" w:cs="黑体"/>
          <w:b/>
          <w:bCs/>
          <w:sz w:val="32"/>
          <w:szCs w:val="32"/>
          <w:highlight w:val="none"/>
          <w:lang w:eastAsia="zh-CN"/>
        </w:rPr>
        <w:t>县地方志编纂委员会办公室部门</w:t>
      </w:r>
      <w:r>
        <w:rPr>
          <w:rFonts w:hint="eastAsia" w:ascii="黑体" w:hAnsi="黑体" w:eastAsia="黑体" w:cs="黑体"/>
          <w:b/>
          <w:bCs/>
          <w:sz w:val="32"/>
          <w:szCs w:val="32"/>
          <w:highlight w:val="none"/>
        </w:rPr>
        <w:t>概况</w:t>
      </w:r>
    </w:p>
    <w:p>
      <w:pPr>
        <w:spacing w:line="560" w:lineRule="exact"/>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eastAsia="zh-CN"/>
        </w:rPr>
        <w:t>本部门职责</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1</w:t>
      </w:r>
      <w:r>
        <w:rPr>
          <w:rFonts w:hint="default" w:ascii="仿宋_GB2312" w:hAnsi="微软雅黑" w:eastAsia="仿宋_GB2312" w:cs="仿宋_GB2312"/>
          <w:color w:val="333333"/>
          <w:sz w:val="31"/>
          <w:szCs w:val="31"/>
          <w:shd w:val="clear" w:fill="FFFFFF"/>
        </w:rPr>
        <w:t>、拟定地方志、年鉴工作规划和编纂方案。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2</w:t>
      </w:r>
      <w:r>
        <w:rPr>
          <w:rFonts w:hint="default" w:ascii="仿宋_GB2312" w:hAnsi="微软雅黑" w:eastAsia="仿宋_GB2312" w:cs="仿宋_GB2312"/>
          <w:color w:val="333333"/>
          <w:sz w:val="31"/>
          <w:szCs w:val="31"/>
          <w:shd w:val="clear" w:fill="FFFFFF"/>
        </w:rPr>
        <w:t>、组织编纂地方志书、地方综合年鉴。</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3</w:t>
      </w:r>
      <w:r>
        <w:rPr>
          <w:rFonts w:hint="default" w:ascii="仿宋_GB2312" w:hAnsi="微软雅黑" w:eastAsia="仿宋_GB2312" w:cs="仿宋_GB2312"/>
          <w:color w:val="333333"/>
          <w:sz w:val="31"/>
          <w:szCs w:val="31"/>
          <w:shd w:val="clear" w:fill="FFFFFF"/>
        </w:rPr>
        <w:t>、搜集、保存地方志文献和资料，组织整理旧志，推动方志理论研究。</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4</w:t>
      </w:r>
      <w:r>
        <w:rPr>
          <w:rFonts w:hint="default" w:ascii="仿宋_GB2312" w:hAnsi="微软雅黑" w:eastAsia="仿宋_GB2312" w:cs="仿宋_GB2312"/>
          <w:color w:val="333333"/>
          <w:sz w:val="31"/>
          <w:szCs w:val="31"/>
          <w:shd w:val="clear" w:fill="FFFFFF"/>
        </w:rPr>
        <w:t>、组织开发利用地方志资源。</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5</w:t>
      </w:r>
      <w:r>
        <w:rPr>
          <w:rFonts w:hint="default" w:ascii="仿宋_GB2312" w:hAnsi="微软雅黑" w:eastAsia="仿宋_GB2312" w:cs="仿宋_GB2312"/>
          <w:color w:val="333333"/>
          <w:sz w:val="31"/>
          <w:szCs w:val="31"/>
          <w:shd w:val="clear" w:fill="FFFFFF"/>
        </w:rPr>
        <w:t>、宣传、贯彻执行《地方志工作条例》及法律、法规、规章和相关政策。</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6</w:t>
      </w:r>
      <w:r>
        <w:rPr>
          <w:rFonts w:hint="default" w:ascii="仿宋_GB2312" w:hAnsi="微软雅黑" w:eastAsia="仿宋_GB2312" w:cs="仿宋_GB2312"/>
          <w:color w:val="333333"/>
          <w:sz w:val="31"/>
          <w:szCs w:val="31"/>
          <w:shd w:val="clear" w:fill="FFFFFF"/>
        </w:rPr>
        <w:t>、组织乡镇志、部门志的审查验收、备案。</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7</w:t>
      </w:r>
      <w:r>
        <w:rPr>
          <w:rFonts w:hint="default" w:ascii="仿宋_GB2312" w:hAnsi="微软雅黑" w:eastAsia="仿宋_GB2312" w:cs="仿宋_GB2312"/>
          <w:color w:val="333333"/>
          <w:sz w:val="31"/>
          <w:szCs w:val="31"/>
          <w:shd w:val="clear" w:fill="FFFFFF"/>
        </w:rPr>
        <w:t>、培训乡镇志、部门志编纂人员。</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8</w:t>
      </w:r>
      <w:r>
        <w:rPr>
          <w:rFonts w:hint="default" w:ascii="仿宋_GB2312" w:hAnsi="微软雅黑" w:eastAsia="仿宋_GB2312" w:cs="仿宋_GB2312"/>
          <w:color w:val="333333"/>
          <w:sz w:val="31"/>
          <w:szCs w:val="31"/>
          <w:shd w:val="clear" w:fill="FFFFFF"/>
        </w:rPr>
        <w:t>、指导各乡镇、县直各单位编纂乡镇志，部门志或专业志。</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ind w:left="0" w:firstLine="645"/>
        <w:textAlignment w:val="auto"/>
        <w:rPr>
          <w:color w:val="666666"/>
        </w:rPr>
      </w:pPr>
      <w:r>
        <w:rPr>
          <w:rFonts w:hint="default" w:ascii="Times New Roman" w:hAnsi="Times New Roman" w:eastAsia="仿宋_GB2312" w:cs="Times New Roman"/>
          <w:color w:val="333333"/>
          <w:sz w:val="31"/>
          <w:szCs w:val="31"/>
          <w:shd w:val="clear" w:fill="FFFFFF"/>
        </w:rPr>
        <w:t>  9</w:t>
      </w:r>
      <w:r>
        <w:rPr>
          <w:rFonts w:hint="default" w:ascii="仿宋_GB2312" w:hAnsi="微软雅黑" w:eastAsia="仿宋_GB2312" w:cs="仿宋_GB2312"/>
          <w:color w:val="333333"/>
          <w:sz w:val="31"/>
          <w:szCs w:val="31"/>
          <w:shd w:val="clear" w:fill="FFFFFF"/>
        </w:rPr>
        <w:t>、承办自治县人民政府和上级领导、业务部门委托、交办的工作任务。</w:t>
      </w:r>
    </w:p>
    <w:p>
      <w:pPr>
        <w:pStyle w:val="5"/>
        <w:keepNext w:val="0"/>
        <w:keepLines w:val="0"/>
        <w:pageBreakBefore w:val="0"/>
        <w:widowControl/>
        <w:suppressLineNumbers w:val="0"/>
        <w:kinsoku/>
        <w:wordWrap/>
        <w:overflowPunct/>
        <w:topLinePunct w:val="0"/>
        <w:autoSpaceDE/>
        <w:autoSpaceDN/>
        <w:bidi w:val="0"/>
        <w:adjustRightInd/>
        <w:snapToGrid/>
        <w:spacing w:line="360" w:lineRule="exact"/>
        <w:textAlignment w:val="auto"/>
        <w:rPr>
          <w:color w:val="666666"/>
        </w:rPr>
      </w:pPr>
      <w:r>
        <w:rPr>
          <w:rFonts w:hint="default" w:ascii="Times New Roman" w:hAnsi="Times New Roman" w:eastAsia="仿宋_GB2312" w:cs="Times New Roman"/>
          <w:color w:val="333333"/>
          <w:sz w:val="31"/>
          <w:szCs w:val="31"/>
          <w:shd w:val="clear" w:fill="FFFFFF"/>
        </w:rPr>
        <w:t> </w:t>
      </w:r>
      <w:r>
        <w:rPr>
          <w:rFonts w:hint="default" w:ascii="仿宋_GB2312" w:hAnsi="微软雅黑" w:eastAsia="仿宋_GB2312" w:cs="仿宋_GB2312"/>
          <w:color w:val="333333"/>
          <w:sz w:val="31"/>
          <w:szCs w:val="31"/>
          <w:shd w:val="clear" w:fill="FFFFFF"/>
        </w:rPr>
        <w:t>  </w:t>
      </w:r>
      <w:r>
        <w:rPr>
          <w:rFonts w:hint="default" w:ascii="Times New Roman" w:hAnsi="Times New Roman" w:eastAsia="仿宋_GB2312" w:cs="Times New Roman"/>
          <w:color w:val="333333"/>
          <w:sz w:val="31"/>
          <w:szCs w:val="31"/>
          <w:shd w:val="clear" w:fill="FFFFFF"/>
        </w:rPr>
        <w:t>     10</w:t>
      </w:r>
      <w:r>
        <w:rPr>
          <w:rFonts w:hint="default" w:ascii="仿宋_GB2312" w:hAnsi="微软雅黑" w:eastAsia="仿宋_GB2312" w:cs="仿宋_GB2312"/>
          <w:color w:val="333333"/>
          <w:sz w:val="31"/>
          <w:szCs w:val="31"/>
          <w:shd w:val="clear" w:fill="FFFFFF"/>
        </w:rPr>
        <w:t>、其他工作。</w:t>
      </w:r>
    </w:p>
    <w:p>
      <w:pPr>
        <w:jc w:val="left"/>
        <w:rPr>
          <w:rFonts w:hint="eastAsia" w:ascii="黑体" w:hAnsi="黑体" w:eastAsia="黑体" w:cs="黑体"/>
          <w:b w:val="0"/>
          <w:bCs w:val="0"/>
          <w:sz w:val="32"/>
          <w:szCs w:val="32"/>
          <w:highlight w:val="none"/>
        </w:rPr>
      </w:pPr>
      <w:r>
        <w:rPr>
          <w:rFonts w:hint="eastAsia" w:ascii="黑体" w:hAnsi="黑体" w:eastAsia="黑体" w:cs="黑体"/>
          <w:b w:val="0"/>
          <w:bCs w:val="0"/>
          <w:sz w:val="32"/>
          <w:szCs w:val="32"/>
        </w:rPr>
        <w:t>二、</w:t>
      </w:r>
      <w:r>
        <w:rPr>
          <w:rFonts w:hint="eastAsia" w:ascii="黑体" w:hAnsi="黑体" w:eastAsia="黑体" w:cs="黑体"/>
          <w:b w:val="0"/>
          <w:bCs w:val="0"/>
          <w:sz w:val="32"/>
          <w:szCs w:val="32"/>
          <w:lang w:eastAsia="zh-CN"/>
        </w:rPr>
        <w:t>机构设置情况</w:t>
      </w:r>
    </w:p>
    <w:p>
      <w:pPr>
        <w:pStyle w:val="5"/>
        <w:keepNext w:val="0"/>
        <w:keepLines w:val="0"/>
        <w:widowControl/>
        <w:suppressLineNumbers w:val="0"/>
        <w:spacing w:line="555" w:lineRule="atLeast"/>
        <w:ind w:left="0" w:firstLine="645"/>
        <w:rPr>
          <w:rFonts w:hint="eastAsia" w:eastAsia="仿宋_GB2312"/>
          <w:color w:val="666666"/>
          <w:lang w:val="en-US" w:eastAsia="zh-CN"/>
        </w:rPr>
      </w:pPr>
      <w:r>
        <w:rPr>
          <w:rFonts w:hint="eastAsia" w:ascii="Times New Roman" w:hAnsi="Times New Roman" w:eastAsia="仿宋_GB2312" w:cs="Times New Roman"/>
          <w:color w:val="333333"/>
          <w:sz w:val="31"/>
          <w:szCs w:val="31"/>
          <w:shd w:val="clear" w:fill="FFFFFF"/>
          <w:lang w:eastAsia="zh-CN"/>
        </w:rPr>
        <w:t>2023</w:t>
      </w:r>
      <w:r>
        <w:rPr>
          <w:rFonts w:hint="default" w:ascii="仿宋_GB2312" w:hAnsi="微软雅黑" w:eastAsia="仿宋_GB2312" w:cs="仿宋_GB2312"/>
          <w:color w:val="333333"/>
          <w:sz w:val="31"/>
          <w:szCs w:val="31"/>
          <w:shd w:val="clear" w:fill="FFFFFF"/>
        </w:rPr>
        <w:t>年度我单位的决算报表由</w:t>
      </w:r>
      <w:r>
        <w:rPr>
          <w:rFonts w:hint="default" w:ascii="Times New Roman" w:hAnsi="Times New Roman" w:eastAsia="仿宋_GB2312" w:cs="Times New Roman"/>
          <w:color w:val="333333"/>
          <w:sz w:val="31"/>
          <w:szCs w:val="31"/>
          <w:shd w:val="clear" w:fill="FFFFFF"/>
        </w:rPr>
        <w:t>1</w:t>
      </w:r>
      <w:r>
        <w:rPr>
          <w:rFonts w:hint="default" w:ascii="仿宋_GB2312" w:hAnsi="微软雅黑" w:eastAsia="仿宋_GB2312" w:cs="仿宋_GB2312"/>
          <w:color w:val="333333"/>
          <w:sz w:val="31"/>
          <w:szCs w:val="31"/>
          <w:shd w:val="clear" w:fill="FFFFFF"/>
        </w:rPr>
        <w:t>个行政单位决算报表构成</w:t>
      </w:r>
      <w:r>
        <w:rPr>
          <w:rFonts w:hint="eastAsia" w:ascii="仿宋_GB2312" w:hAnsi="微软雅黑" w:eastAsia="仿宋_GB2312" w:cs="仿宋_GB2312"/>
          <w:color w:val="333333"/>
          <w:sz w:val="31"/>
          <w:szCs w:val="31"/>
          <w:shd w:val="clear" w:fill="FFFFFF"/>
          <w:lang w:eastAsia="zh-CN"/>
        </w:rPr>
        <w:t>。</w:t>
      </w:r>
    </w:p>
    <w:p>
      <w:pPr>
        <w:jc w:val="left"/>
        <w:rPr>
          <w:rFonts w:hint="eastAsia" w:ascii="仿宋" w:hAnsi="仿宋" w:eastAsia="仿宋" w:cs="仿宋"/>
          <w:sz w:val="32"/>
          <w:szCs w:val="32"/>
          <w:highlight w:val="none"/>
          <w:lang w:val="en-US" w:eastAsia="zh-CN"/>
        </w:rPr>
      </w:pPr>
    </w:p>
    <w:p>
      <w:pPr>
        <w:jc w:val="both"/>
        <w:rPr>
          <w:rFonts w:hint="eastAsia" w:ascii="黑体" w:hAnsi="黑体" w:eastAsia="黑体" w:cs="黑体"/>
          <w:sz w:val="32"/>
          <w:szCs w:val="32"/>
          <w:highlight w:val="none"/>
          <w:lang w:val="en-US" w:eastAsia="zh-CN"/>
        </w:rPr>
        <w:sectPr>
          <w:footerReference r:id="rId5" w:type="default"/>
          <w:pgSz w:w="11906" w:h="16838"/>
          <w:pgMar w:top="1440" w:right="1800" w:bottom="1440" w:left="1800" w:header="851" w:footer="992" w:gutter="0"/>
          <w:cols w:space="425" w:num="1"/>
          <w:docGrid w:type="lines" w:linePitch="312" w:charSpace="0"/>
        </w:sectPr>
      </w:pPr>
    </w:p>
    <w:p>
      <w:pPr>
        <w:jc w:val="center"/>
        <w:rPr>
          <w:rFonts w:hint="eastAsia"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b w:val="0"/>
          <w:bCs w:val="0"/>
          <w:sz w:val="32"/>
          <w:szCs w:val="32"/>
          <w:highlight w:val="none"/>
        </w:rPr>
        <w:t xml:space="preserve"> </w:t>
      </w:r>
      <w:r>
        <w:rPr>
          <w:rFonts w:hint="eastAsia" w:ascii="黑体" w:hAnsi="黑体" w:eastAsia="黑体" w:cs="黑体"/>
          <w:b w:val="0"/>
          <w:bCs w:val="0"/>
          <w:sz w:val="32"/>
          <w:szCs w:val="32"/>
          <w:highlight w:val="none"/>
          <w:lang w:eastAsia="zh-CN"/>
        </w:rPr>
        <w:t>县地方志编纂委员会办公室2023</w:t>
      </w:r>
      <w:r>
        <w:rPr>
          <w:rFonts w:hint="eastAsia" w:ascii="黑体" w:hAnsi="黑体" w:eastAsia="黑体" w:cs="黑体"/>
          <w:b w:val="0"/>
          <w:bCs w:val="0"/>
          <w:sz w:val="32"/>
          <w:szCs w:val="32"/>
          <w:highlight w:val="none"/>
        </w:rPr>
        <w:t>年度部门决算报表</w:t>
      </w:r>
    </w:p>
    <w:p>
      <w:pPr>
        <w:keepNext w:val="0"/>
        <w:keepLines w:val="0"/>
        <w:suppressLineNumbers w:val="0"/>
        <w:spacing w:before="0" w:beforeAutospacing="0" w:after="0" w:afterAutospacing="0"/>
        <w:ind w:left="0" w:right="0"/>
        <w:jc w:val="left"/>
        <w:rPr>
          <w:rFonts w:hint="eastAsia" w:ascii="黑体" w:hAnsi="黑体" w:eastAsia="黑体" w:cs="黑体"/>
          <w:sz w:val="32"/>
          <w:szCs w:val="32"/>
          <w:highlight w:val="none"/>
        </w:rPr>
      </w:pPr>
      <w:r>
        <w:rPr>
          <w:rFonts w:hint="eastAsia" w:ascii="仿宋" w:hAnsi="仿宋" w:eastAsia="仿宋" w:cs="仿宋"/>
          <w:sz w:val="24"/>
          <w:highlight w:val="none"/>
        </w:rPr>
        <w:t>表一：收入支出决算总表</w:t>
      </w:r>
    </w:p>
    <w:tbl>
      <w:tblPr>
        <w:tblStyle w:val="6"/>
        <w:tblW w:w="140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815"/>
        <w:gridCol w:w="846"/>
        <w:gridCol w:w="1129"/>
        <w:gridCol w:w="4532"/>
        <w:gridCol w:w="846"/>
        <w:gridCol w:w="19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070" w:type="dxa"/>
            <w:gridSpan w:val="6"/>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5"/>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使用非财政拨款结余（含专用结余）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6"/>
            <w:tcBorders>
              <w:top w:val="nil"/>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jc w:val="both"/>
        <w:rPr>
          <w:rFonts w:ascii="宋体" w:hAnsi="宋体" w:eastAsia="宋体" w:cs="宋体"/>
          <w:color w:val="000000"/>
          <w:kern w:val="0"/>
          <w:sz w:val="30"/>
          <w:szCs w:val="30"/>
          <w:highlight w:val="none"/>
          <w:lang w:bidi="ar"/>
        </w:rPr>
      </w:pPr>
    </w:p>
    <w:p>
      <w:pPr>
        <w:jc w:val="both"/>
        <w:rPr>
          <w:rFonts w:ascii="宋体" w:hAnsi="宋体" w:eastAsia="宋体" w:cs="宋体"/>
          <w:color w:val="000000"/>
          <w:kern w:val="0"/>
          <w:sz w:val="30"/>
          <w:szCs w:val="30"/>
          <w:highlight w:val="none"/>
          <w:lang w:bidi="ar"/>
        </w:rPr>
      </w:pPr>
    </w:p>
    <w:p>
      <w:pPr>
        <w:jc w:val="both"/>
        <w:rPr>
          <w:rFonts w:ascii="宋体" w:hAnsi="宋体" w:eastAsia="宋体" w:cs="宋体"/>
          <w:color w:val="000000"/>
          <w:kern w:val="0"/>
          <w:sz w:val="30"/>
          <w:szCs w:val="30"/>
          <w:highlight w:val="none"/>
          <w:lang w:bidi="ar"/>
        </w:rPr>
      </w:pPr>
    </w:p>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tbl>
      <w:tblPr>
        <w:tblStyle w:val="6"/>
        <w:tblW w:w="147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8"/>
        <w:gridCol w:w="4676"/>
        <w:gridCol w:w="1484"/>
        <w:gridCol w:w="1484"/>
        <w:gridCol w:w="1050"/>
        <w:gridCol w:w="1050"/>
        <w:gridCol w:w="1050"/>
        <w:gridCol w:w="1050"/>
        <w:gridCol w:w="20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48" w:hRule="atLeast"/>
        </w:trPr>
        <w:tc>
          <w:tcPr>
            <w:tcW w:w="1474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 w:hRule="atLeast"/>
        </w:trPr>
        <w:tc>
          <w:tcPr>
            <w:tcW w:w="0" w:type="auto"/>
            <w:gridSpan w:val="10"/>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489"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124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182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5"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12" w:hRule="atLeast"/>
        </w:trPr>
        <w:tc>
          <w:tcPr>
            <w:tcW w:w="82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825"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489"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82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8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89"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820"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3" w:hRule="atLeast"/>
        </w:trPr>
        <w:tc>
          <w:tcPr>
            <w:tcW w:w="0" w:type="auto"/>
            <w:gridSpan w:val="11"/>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both"/>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4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8"/>
        <w:gridCol w:w="4819"/>
        <w:gridCol w:w="1618"/>
        <w:gridCol w:w="1618"/>
        <w:gridCol w:w="1503"/>
        <w:gridCol w:w="1155"/>
        <w:gridCol w:w="1155"/>
        <w:gridCol w:w="2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496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62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55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13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19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93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2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55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9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6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62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558"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3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354"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987"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tbl>
      <w:tblPr>
        <w:tblStyle w:val="6"/>
        <w:tblW w:w="15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83"/>
        <w:gridCol w:w="540"/>
        <w:gridCol w:w="1298"/>
        <w:gridCol w:w="4078"/>
        <w:gridCol w:w="540"/>
        <w:gridCol w:w="969"/>
        <w:gridCol w:w="1298"/>
        <w:gridCol w:w="912"/>
        <w:gridCol w:w="1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4" w:hRule="atLeast"/>
        </w:trPr>
        <w:tc>
          <w:tcPr>
            <w:tcW w:w="1506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7"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3541"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385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4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372"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财政拨款</w:t>
            </w:r>
          </w:p>
        </w:tc>
        <w:tc>
          <w:tcPr>
            <w:tcW w:w="11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算财政拨款</w:t>
            </w:r>
          </w:p>
        </w:tc>
        <w:tc>
          <w:tcPr>
            <w:tcW w:w="176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7" w:hRule="atLeast"/>
        </w:trPr>
        <w:tc>
          <w:tcPr>
            <w:tcW w:w="3541"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85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4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72"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1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76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bCs/>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6" w:hRule="atLeast"/>
        </w:trPr>
        <w:tc>
          <w:tcPr>
            <w:tcW w:w="0" w:type="auto"/>
            <w:gridSpan w:val="8"/>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0" w:type="auto"/>
            <w:tcBorders>
              <w:top w:val="single" w:color="000000" w:sz="4" w:space="0"/>
              <w:left w:val="nil"/>
              <w:bottom w:val="nil"/>
              <w:right w:val="nil"/>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0"/>
                <w:szCs w:val="20"/>
                <w:u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47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9"/>
        <w:gridCol w:w="329"/>
        <w:gridCol w:w="329"/>
        <w:gridCol w:w="5040"/>
        <w:gridCol w:w="2618"/>
        <w:gridCol w:w="2537"/>
        <w:gridCol w:w="36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760"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98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300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28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396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00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8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6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133.57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114.07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2010301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103.77</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84.26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2012999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其他群众团体事务支出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机关事业单位基本养老保险缴费支出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tbl>
      <w:tblPr>
        <w:tblStyle w:val="6"/>
        <w:tblW w:w="14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3"/>
        <w:gridCol w:w="3142"/>
        <w:gridCol w:w="801"/>
        <w:gridCol w:w="704"/>
        <w:gridCol w:w="2166"/>
        <w:gridCol w:w="606"/>
        <w:gridCol w:w="704"/>
        <w:gridCol w:w="3922"/>
        <w:gridCol w:w="133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trPr>
        <w:tc>
          <w:tcPr>
            <w:tcW w:w="14000" w:type="dxa"/>
            <w:gridSpan w:val="9"/>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 w:hRule="atLeast"/>
        </w:trPr>
        <w:tc>
          <w:tcPr>
            <w:tcW w:w="0" w:type="auto"/>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148"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84"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2163"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58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3936"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327"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148"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784"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163"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58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3936"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327"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27.62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39910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7"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106.44</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7" w:hRule="atLeast"/>
        </w:trPr>
        <w:tc>
          <w:tcPr>
            <w:tcW w:w="0" w:type="auto"/>
            <w:gridSpan w:val="9"/>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tbl>
      <w:tblPr>
        <w:tblStyle w:val="6"/>
        <w:tblW w:w="150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86"/>
        <w:gridCol w:w="386"/>
        <w:gridCol w:w="386"/>
        <w:gridCol w:w="1905"/>
        <w:gridCol w:w="1839"/>
        <w:gridCol w:w="1839"/>
        <w:gridCol w:w="1839"/>
        <w:gridCol w:w="1839"/>
        <w:gridCol w:w="1839"/>
        <w:gridCol w:w="27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5000" w:type="dxa"/>
            <w:gridSpan w:val="10"/>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5040"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6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6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10"/>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jc w:val="left"/>
        <w:rPr>
          <w:rFonts w:hint="eastAsia" w:ascii="仿宋" w:hAnsi="仿宋" w:eastAsia="仿宋" w:cs="仿宋"/>
          <w:sz w:val="24"/>
          <w:highlight w:val="none"/>
        </w:rPr>
      </w:pP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tbl>
      <w:tblPr>
        <w:tblStyle w:val="6"/>
        <w:tblW w:w="1216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12"/>
        <w:gridCol w:w="412"/>
        <w:gridCol w:w="412"/>
        <w:gridCol w:w="2033"/>
        <w:gridCol w:w="2519"/>
        <w:gridCol w:w="2519"/>
        <w:gridCol w:w="3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165" w:type="dxa"/>
            <w:gridSpan w:val="7"/>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0" w:type="auto"/>
            <w:gridSpan w:val="6"/>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724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80"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268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990" w:type="dxa"/>
            <w:gridSpan w:val="3"/>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280"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268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F1F1F1"/>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7"/>
            <w:tcBorders>
              <w:top w:val="single" w:color="000000" w:sz="4" w:space="0"/>
              <w:left w:val="nil"/>
              <w:bottom w:val="nil"/>
              <w:right w:val="nil"/>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jc w:val="left"/>
        <w:rPr>
          <w:rFonts w:hint="eastAsia" w:ascii="仿宋" w:hAnsi="仿宋" w:eastAsia="仿宋" w:cs="仿宋"/>
          <w:color w:val="auto"/>
          <w:sz w:val="24"/>
          <w:highlight w:val="none"/>
        </w:rPr>
      </w:pPr>
    </w:p>
    <w:p>
      <w:pPr>
        <w:keepNext w:val="0"/>
        <w:keepLines w:val="0"/>
        <w:widowControl w:val="0"/>
        <w:suppressLineNumbers w:val="0"/>
        <w:spacing w:before="0" w:beforeAutospacing="0" w:after="0" w:afterAutospacing="0"/>
        <w:ind w:right="0"/>
        <w:jc w:val="both"/>
        <w:rPr>
          <w:rFonts w:hint="default"/>
          <w:color w:val="auto"/>
        </w:rPr>
      </w:pPr>
      <w:r>
        <w:rPr>
          <w:rFonts w:hint="eastAsia" w:ascii="宋体" w:hAnsi="宋体" w:eastAsia="宋体" w:cs="宋体"/>
          <w:color w:val="auto"/>
          <w:kern w:val="2"/>
          <w:sz w:val="21"/>
          <w:szCs w:val="21"/>
          <w:lang w:val="en-US" w:eastAsia="zh-CN" w:bidi="ar"/>
        </w:rPr>
        <w:t>说明：“本部门</w:t>
      </w:r>
      <w:r>
        <w:rPr>
          <w:rFonts w:hint="eastAsia" w:ascii="Times New Roman" w:hAnsi="Times New Roman" w:eastAsia="宋体" w:cs="Times New Roman"/>
          <w:color w:val="auto"/>
          <w:kern w:val="2"/>
          <w:sz w:val="21"/>
          <w:szCs w:val="21"/>
          <w:lang w:val="en-US" w:eastAsia="zh-CN" w:bidi="ar"/>
        </w:rPr>
        <w:t>2023</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ind w:firstLine="420" w:firstLineChars="0"/>
        <w:jc w:val="left"/>
        <w:rPr>
          <w:rFonts w:ascii="仿宋" w:hAnsi="仿宋" w:eastAsia="仿宋" w:cs="仿宋"/>
          <w:sz w:val="24"/>
          <w:highlight w:val="none"/>
        </w:rPr>
      </w:pPr>
    </w:p>
    <w:tbl>
      <w:tblPr>
        <w:tblStyle w:val="6"/>
        <w:tblW w:w="149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5"/>
        <w:gridCol w:w="1245"/>
        <w:gridCol w:w="1207"/>
        <w:gridCol w:w="1207"/>
        <w:gridCol w:w="1207"/>
        <w:gridCol w:w="1245"/>
        <w:gridCol w:w="1245"/>
        <w:gridCol w:w="1245"/>
        <w:gridCol w:w="1207"/>
        <w:gridCol w:w="1207"/>
        <w:gridCol w:w="1207"/>
        <w:gridCol w:w="14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14940" w:type="dxa"/>
            <w:gridSpan w:val="12"/>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trPr>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2" w:hRule="atLeast"/>
        </w:trPr>
        <w:tc>
          <w:tcPr>
            <w:tcW w:w="0" w:type="auto"/>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部门：环江毛南族自治县地方志编纂委员会办公室</w:t>
            </w:r>
          </w:p>
        </w:tc>
        <w:tc>
          <w:tcPr>
            <w:tcW w:w="0" w:type="auto"/>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744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7500" w:type="dxa"/>
            <w:gridSpan w:val="6"/>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3705" w:type="dxa"/>
            <w:gridSpan w:val="3"/>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公务用车购置及运行维护费</w:t>
            </w:r>
          </w:p>
        </w:tc>
        <w:tc>
          <w:tcPr>
            <w:tcW w:w="1305" w:type="dxa"/>
            <w:vMerge w:val="restart"/>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公务用车运行维护费</w:t>
            </w:r>
          </w:p>
        </w:tc>
        <w:tc>
          <w:tcPr>
            <w:tcW w:w="1305" w:type="dxa"/>
            <w:vMerge w:val="continue"/>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4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3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305" w:type="dxa"/>
            <w:tcBorders>
              <w:top w:val="single" w:color="000000" w:sz="4" w:space="0"/>
              <w:left w:val="single" w:color="000000" w:sz="4" w:space="0"/>
              <w:bottom w:val="single" w:color="000000" w:sz="4" w:space="0"/>
              <w:right w:val="single" w:color="000000" w:sz="4" w:space="0"/>
            </w:tcBorders>
            <w:shd w:val="clear" w:color="auto" w:fill="F1F1F1"/>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1"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suppressLineNumbers w:val="0"/>
              <w:spacing w:before="0" w:beforeAutospacing="0" w:after="0" w:afterAutospacing="0"/>
              <w:ind w:left="0" w:right="0"/>
              <w:jc w:val="right"/>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940" w:type="dxa"/>
            <w:gridSpan w:val="12"/>
            <w:vMerge w:val="restart"/>
            <w:tcBorders>
              <w:top w:val="single" w:color="000000" w:sz="4" w:space="0"/>
              <w:left w:val="nil"/>
              <w:bottom w:val="nil"/>
              <w:right w:val="nil"/>
            </w:tcBorders>
            <w:shd w:val="clear" w:color="auto" w:fill="FFFFFF"/>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注：本表反映部门本年度财政拨款“三公”经费支出预决算情况。其中，预算数为“三公”经费全年预算数，反映按规定程序调整后的预算数；决算数是包括当年财政拨款和以前年度结转资金安排的实际支出。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4940" w:type="dxa"/>
            <w:gridSpan w:val="12"/>
            <w:vMerge w:val="continue"/>
            <w:tcBorders>
              <w:top w:val="single" w:color="000000" w:sz="4" w:space="0"/>
              <w:left w:val="nil"/>
              <w:bottom w:val="nil"/>
              <w:right w:val="nil"/>
            </w:tcBorders>
            <w:shd w:val="clear" w:color="auto" w:fill="FFFFFF"/>
            <w:vAlign w:val="center"/>
          </w:tcPr>
          <w:p>
            <w:pPr>
              <w:keepNext w:val="0"/>
              <w:keepLines w:val="0"/>
              <w:suppressLineNumbers w:val="0"/>
              <w:spacing w:before="0" w:beforeAutospacing="0" w:after="0" w:afterAutospacing="0"/>
              <w:ind w:left="0" w:right="0"/>
              <w:jc w:val="left"/>
              <w:rPr>
                <w:rFonts w:hint="eastAsia" w:ascii="宋体" w:hAnsi="宋体" w:eastAsia="宋体" w:cs="宋体"/>
                <w:i w:val="0"/>
                <w:iCs w:val="0"/>
                <w:color w:val="000000"/>
                <w:sz w:val="22"/>
                <w:szCs w:val="22"/>
                <w:u w:val="none"/>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center"/>
        <w:rPr>
          <w:rFonts w:ascii="仿宋" w:hAnsi="仿宋" w:eastAsia="仿宋" w:cs="仿宋"/>
          <w:b/>
          <w:bCs/>
          <w:color w:val="auto"/>
          <w:sz w:val="32"/>
          <w:szCs w:val="32"/>
          <w:highlight w:val="none"/>
        </w:rPr>
      </w:pPr>
      <w:r>
        <w:rPr>
          <w:rFonts w:hint="eastAsia" w:ascii="黑体" w:hAnsi="黑体" w:eastAsia="黑体" w:cs="黑体"/>
          <w:b/>
          <w:bCs/>
          <w:color w:val="auto"/>
          <w:sz w:val="32"/>
          <w:szCs w:val="32"/>
          <w:highlight w:val="none"/>
        </w:rPr>
        <w:t>第三部分：</w:t>
      </w:r>
      <w:r>
        <w:rPr>
          <w:rFonts w:hint="eastAsia" w:ascii="黑体" w:hAnsi="黑体" w:eastAsia="黑体" w:cs="黑体"/>
          <w:b/>
          <w:bCs/>
          <w:sz w:val="32"/>
          <w:szCs w:val="32"/>
          <w:highlight w:val="none"/>
          <w:lang w:eastAsia="zh-CN"/>
        </w:rPr>
        <w:t>县地方志编纂委员会办公室</w:t>
      </w:r>
      <w:r>
        <w:rPr>
          <w:rFonts w:hint="eastAsia" w:ascii="黑体" w:hAnsi="黑体" w:eastAsia="黑体" w:cs="黑体"/>
          <w:b/>
          <w:bCs/>
          <w:color w:val="auto"/>
          <w:sz w:val="32"/>
          <w:szCs w:val="32"/>
          <w:highlight w:val="none"/>
          <w:lang w:eastAsia="zh-CN"/>
        </w:rPr>
        <w:t>2023</w:t>
      </w:r>
      <w:r>
        <w:rPr>
          <w:rFonts w:hint="eastAsia" w:ascii="黑体" w:hAnsi="黑体" w:eastAsia="黑体" w:cs="黑体"/>
          <w:b/>
          <w:bCs/>
          <w:color w:val="auto"/>
          <w:sz w:val="32"/>
          <w:szCs w:val="32"/>
          <w:highlight w:val="none"/>
        </w:rPr>
        <w:t>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年度总收入</w:t>
      </w:r>
      <w:r>
        <w:rPr>
          <w:rFonts w:hint="eastAsia" w:ascii="仿宋" w:hAnsi="仿宋" w:eastAsia="仿宋" w:cs="仿宋"/>
          <w:sz w:val="32"/>
          <w:szCs w:val="32"/>
          <w:highlight w:val="none"/>
          <w:lang w:val="en-US" w:eastAsia="zh-CN"/>
        </w:rPr>
        <w:t>133.57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7.89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6.28</w:t>
      </w:r>
      <w:r>
        <w:rPr>
          <w:rFonts w:hint="eastAsia" w:ascii="仿宋" w:hAnsi="仿宋" w:eastAsia="仿宋" w:cs="仿宋"/>
          <w:sz w:val="32"/>
          <w:u w:color="auto"/>
          <w:lang w:val="en-US" w:eastAsia="zh-CN"/>
        </w:rPr>
        <w:t>%</w:t>
      </w:r>
      <w:r>
        <w:rPr>
          <w:rFonts w:hint="eastAsia" w:ascii="仿宋" w:hAnsi="仿宋" w:eastAsia="仿宋" w:cs="仿宋"/>
          <w:sz w:val="32"/>
          <w:szCs w:val="32"/>
          <w:highlight w:val="none"/>
        </w:rPr>
        <w:t>，其中本年收入</w:t>
      </w:r>
      <w:r>
        <w:rPr>
          <w:rFonts w:hint="eastAsia" w:ascii="仿宋" w:hAnsi="仿宋" w:eastAsia="仿宋" w:cs="仿宋"/>
          <w:sz w:val="32"/>
          <w:szCs w:val="32"/>
          <w:highlight w:val="none"/>
          <w:lang w:val="en-US" w:eastAsia="zh-CN"/>
        </w:rPr>
        <w:t>133.57</w:t>
      </w:r>
      <w:r>
        <w:rPr>
          <w:rFonts w:hint="eastAsia" w:ascii="仿宋" w:hAnsi="仿宋" w:eastAsia="仿宋" w:cs="仿宋"/>
          <w:sz w:val="32"/>
          <w:szCs w:val="32"/>
          <w:highlight w:val="none"/>
        </w:rPr>
        <w:t>万元。收入具体情况如下。</w:t>
      </w:r>
    </w:p>
    <w:p>
      <w:pPr>
        <w:pStyle w:val="5"/>
        <w:keepNext w:val="0"/>
        <w:keepLines w:val="0"/>
        <w:widowControl/>
        <w:suppressLineNumbers w:val="0"/>
        <w:spacing w:line="555" w:lineRule="atLeast"/>
        <w:ind w:left="0" w:firstLine="630"/>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1.一般公共预算财政拨款收入</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133.57</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7.89</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6.28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%，主要原因:</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项目增加。</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2.政府性基金预算财政拨款收入0万元，为自治区本级财政当年拨付的资金。较202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3.国有资本经营预算财政拨款收入0万元，为自治区本级财政当年拨付的资金。较202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4.事业收入0万元，为事业单位开展业务活动取得的收入。较2020年度决算数增加（减少）0万元，增长（下降）0%。</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5.经营收入0万，为事业单位在业务活动之外开展非独立核算经营活动取得的收入。较202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6.其他收入0万元，为预算单位在“财政拨款收入”</w:t>
      </w:r>
    </w:p>
    <w:p>
      <w:pPr>
        <w:pStyle w:val="5"/>
        <w:keepNext w:val="0"/>
        <w:keepLines w:val="0"/>
        <w:widowControl/>
        <w:suppressLineNumbers w:val="0"/>
        <w:spacing w:line="555" w:lineRule="atLeast"/>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“事业收入”“经营收入”之外取得的收入。如：较202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7.使用非财政拨款结余 0 万元，主要是所属事业单位在当年的“财政拨款收入”“事业收入”“经营收入”及“其他收入”不能保证其支出的情况下，使用以前年度积累的非财政拨款结余弥补本年度收支缺口的资金。较202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 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8.上年结转和结余 0 万元，为以前年度支出预算因客观条件变化未执行完毕、结转到本年度按有关规定继续使用的资金。较202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 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810000"/>
            <wp:effectExtent l="4445" t="4445" r="20955" b="1460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（二）本部门202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3</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年度总支出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133.57</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万元，其中本年支出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133.57</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 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增加</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7.89</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eastAsia" w:ascii="仿宋_GB2312" w:hAnsi="微软雅黑" w:eastAsia="仿宋_GB2312" w:cs="仿宋_GB2312"/>
          <w:color w:val="000000" w:themeColor="text1"/>
          <w:sz w:val="31"/>
          <w:szCs w:val="31"/>
          <w:shd w:val="clear" w:fill="FFFFFF"/>
          <w:lang w:eastAsia="zh-CN"/>
          <w14:textFill>
            <w14:solidFill>
              <w14:schemeClr w14:val="tx1"/>
            </w14:solidFill>
          </w14:textFill>
        </w:rPr>
        <w:t>增长</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6.28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%。支出具体情况如下：</w:t>
      </w:r>
    </w:p>
    <w:p>
      <w:pPr>
        <w:pStyle w:val="5"/>
        <w:keepNext w:val="0"/>
        <w:keepLines w:val="0"/>
        <w:widowControl/>
        <w:suppressLineNumbers w:val="0"/>
        <w:spacing w:line="555" w:lineRule="atLeast"/>
        <w:ind w:left="0" w:firstLine="630"/>
        <w:rPr>
          <w:color w:val="auto"/>
        </w:rPr>
      </w:pPr>
      <w:r>
        <w:rPr>
          <w:rFonts w:hint="default" w:ascii="仿宋_GB2312" w:hAnsi="微软雅黑" w:eastAsia="仿宋_GB2312" w:cs="仿宋_GB2312"/>
          <w:color w:val="000000" w:themeColor="text1"/>
          <w:sz w:val="31"/>
          <w:szCs w:val="31"/>
          <w:shd w:val="clear" w:fill="FFFFFF"/>
          <w14:textFill>
            <w14:solidFill>
              <w14:schemeClr w14:val="tx1"/>
            </w14:solidFill>
          </w14:textFill>
        </w:rPr>
        <w:t>1.一般公共服务支出（</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201</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类）</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104.90</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万元：</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主</w:t>
      </w:r>
      <w:r>
        <w:rPr>
          <w:rFonts w:hint="default" w:ascii="仿宋_GB2312" w:hAnsi="微软雅黑" w:eastAsia="仿宋_GB2312" w:cs="仿宋_GB2312"/>
          <w:color w:val="auto"/>
          <w:spacing w:val="0"/>
          <w:sz w:val="31"/>
          <w:szCs w:val="31"/>
          <w:shd w:val="clear" w:fill="FFFFFF"/>
        </w:rPr>
        <w:t>要用于本部门为保证日常运转发生的基本支出和为完成各项工作任务、保障单位事业发展而发生的项目支出。</w:t>
      </w:r>
      <w:r>
        <w:rPr>
          <w:rFonts w:hint="default" w:ascii="仿宋_GB2312" w:hAnsi="微软雅黑" w:eastAsia="仿宋_GB2312" w:cs="仿宋_GB2312"/>
          <w:color w:val="auto"/>
          <w:sz w:val="31"/>
          <w:szCs w:val="31"/>
          <w:shd w:val="clear" w:fill="FFFFFF"/>
        </w:rPr>
        <w:t>较202</w:t>
      </w:r>
      <w:r>
        <w:rPr>
          <w:rFonts w:hint="eastAsia" w:ascii="仿宋_GB2312" w:hAnsi="微软雅黑" w:eastAsia="仿宋_GB2312" w:cs="仿宋_GB2312"/>
          <w:color w:val="auto"/>
          <w:sz w:val="31"/>
          <w:szCs w:val="31"/>
          <w:shd w:val="clear" w:fill="FFFFFF"/>
          <w:lang w:val="en-US" w:eastAsia="zh-CN"/>
        </w:rPr>
        <w:t>2</w:t>
      </w:r>
      <w:r>
        <w:rPr>
          <w:rFonts w:hint="default" w:ascii="仿宋_GB2312" w:hAnsi="微软雅黑" w:eastAsia="仿宋_GB2312" w:cs="仿宋_GB2312"/>
          <w:color w:val="auto"/>
          <w:sz w:val="31"/>
          <w:szCs w:val="31"/>
          <w:shd w:val="clear" w:fill="FFFFFF"/>
        </w:rPr>
        <w:t>年度决算数增加</w:t>
      </w:r>
      <w:r>
        <w:rPr>
          <w:rFonts w:hint="eastAsia" w:ascii="仿宋_GB2312" w:hAnsi="微软雅黑" w:eastAsia="仿宋_GB2312" w:cs="仿宋_GB2312"/>
          <w:color w:val="auto"/>
          <w:sz w:val="31"/>
          <w:szCs w:val="31"/>
          <w:shd w:val="clear" w:fill="FFFFFF"/>
          <w:lang w:val="en-US" w:eastAsia="zh-CN"/>
        </w:rPr>
        <w:t>6.88</w:t>
      </w:r>
      <w:r>
        <w:rPr>
          <w:rFonts w:hint="default" w:ascii="仿宋_GB2312" w:hAnsi="微软雅黑" w:eastAsia="仿宋_GB2312" w:cs="仿宋_GB2312"/>
          <w:color w:val="auto"/>
          <w:sz w:val="31"/>
          <w:szCs w:val="31"/>
          <w:shd w:val="clear" w:fill="FFFFFF"/>
        </w:rPr>
        <w:t>万元，增长</w:t>
      </w:r>
      <w:r>
        <w:rPr>
          <w:rFonts w:hint="eastAsia" w:ascii="仿宋_GB2312" w:hAnsi="微软雅黑" w:eastAsia="仿宋_GB2312" w:cs="仿宋_GB2312"/>
          <w:color w:val="auto"/>
          <w:sz w:val="31"/>
          <w:szCs w:val="31"/>
          <w:shd w:val="clear" w:fill="FFFFFF"/>
          <w:lang w:val="en-US" w:eastAsia="zh-CN"/>
        </w:rPr>
        <w:t>7.02</w:t>
      </w:r>
      <w:r>
        <w:rPr>
          <w:rFonts w:hint="default" w:ascii="仿宋_GB2312" w:hAnsi="微软雅黑" w:eastAsia="仿宋_GB2312" w:cs="仿宋_GB2312"/>
          <w:color w:val="auto"/>
          <w:sz w:val="31"/>
          <w:szCs w:val="31"/>
          <w:shd w:val="clear" w:fill="FFFFFF"/>
        </w:rPr>
        <w:t>%，主要原因是</w:t>
      </w:r>
      <w:r>
        <w:rPr>
          <w:rFonts w:hint="eastAsia" w:ascii="仿宋_GB2312" w:hAnsi="微软雅黑" w:eastAsia="仿宋_GB2312" w:cs="仿宋_GB2312"/>
          <w:color w:val="auto"/>
          <w:sz w:val="31"/>
          <w:szCs w:val="31"/>
          <w:shd w:val="clear" w:fill="FFFFFF"/>
          <w:lang w:eastAsia="zh-CN"/>
        </w:rPr>
        <w:t>：项目增加</w:t>
      </w:r>
      <w:r>
        <w:rPr>
          <w:rFonts w:hint="default" w:ascii="仿宋_GB2312" w:hAnsi="微软雅黑" w:eastAsia="仿宋_GB2312" w:cs="仿宋_GB2312"/>
          <w:color w:val="auto"/>
          <w:sz w:val="31"/>
          <w:szCs w:val="31"/>
          <w:shd w:val="clear" w:fill="FFFFFF"/>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社会保障</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和就业支出（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208类</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11.06</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万元，主要用于职工机关事业单位基本养老保险缴费支出。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2.54</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29.81</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主要原因是：基数调整。</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555" w:lineRule="atLeast"/>
        <w:ind w:left="0" w:firstLine="645"/>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3</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rPr>
        <w:t>7.72</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万元，主要用于按照国家政策规定向职工发放的住房公积金、提租补贴、购房补贴等住房改革方面的支出。</w:t>
      </w:r>
      <w:r>
        <w:rPr>
          <w:rFonts w:hint="eastAsia" w:ascii="仿宋" w:hAnsi="仿宋" w:eastAsia="仿宋" w:cs="仿宋"/>
          <w:sz w:val="32"/>
          <w:szCs w:val="32"/>
          <w:highlight w:val="none"/>
        </w:rPr>
        <w:t>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1.31</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20.44</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主要原因是：基数调整。</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p>
    <w:p>
      <w:pPr>
        <w:pStyle w:val="5"/>
        <w:keepNext w:val="0"/>
        <w:keepLines w:val="0"/>
        <w:widowControl/>
        <w:suppressLineNumbers w:val="0"/>
        <w:spacing w:line="555" w:lineRule="atLeast"/>
        <w:ind w:left="0" w:firstLine="420"/>
        <w:rPr>
          <w:color w:val="000000" w:themeColor="text1"/>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4</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．其他支出</w:t>
      </w: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9.90</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万元，</w:t>
      </w:r>
      <w:r>
        <w:rPr>
          <w:rFonts w:hint="default" w:ascii="仿宋_GB2312" w:hAnsi="微软雅黑" w:eastAsia="仿宋_GB2312" w:cs="仿宋_GB2312"/>
          <w:color w:val="333333"/>
          <w:sz w:val="31"/>
          <w:szCs w:val="31"/>
          <w:shd w:val="clear" w:color="auto" w:fill="FFFFFF"/>
        </w:rPr>
        <w:t>主要用于奖励性绩效补贴支出。较202</w:t>
      </w:r>
      <w:r>
        <w:rPr>
          <w:rFonts w:hint="eastAsia" w:ascii="仿宋_GB2312" w:hAnsi="微软雅黑" w:eastAsia="仿宋_GB2312" w:cs="仿宋_GB2312"/>
          <w:color w:val="333333"/>
          <w:sz w:val="31"/>
          <w:szCs w:val="31"/>
          <w:shd w:val="clear" w:color="auto" w:fill="FFFFFF"/>
          <w:lang w:val="en-US" w:eastAsia="zh-CN"/>
        </w:rPr>
        <w:t>2</w:t>
      </w:r>
      <w:r>
        <w:rPr>
          <w:rFonts w:hint="default" w:ascii="仿宋_GB2312" w:hAnsi="微软雅黑" w:eastAsia="仿宋_GB2312" w:cs="仿宋_GB2312"/>
          <w:color w:val="333333"/>
          <w:sz w:val="31"/>
          <w:szCs w:val="31"/>
          <w:shd w:val="clear" w:color="auto" w:fill="FFFFFF"/>
        </w:rPr>
        <w:t>年度决算数</w:t>
      </w:r>
      <w:r>
        <w:rPr>
          <w:rFonts w:hint="eastAsia" w:ascii="仿宋_GB2312" w:hAnsi="微软雅黑" w:eastAsia="仿宋_GB2312" w:cs="仿宋_GB2312"/>
          <w:color w:val="333333"/>
          <w:sz w:val="31"/>
          <w:szCs w:val="31"/>
          <w:shd w:val="clear" w:color="auto" w:fill="FFFFFF"/>
          <w:lang w:eastAsia="zh-CN"/>
        </w:rPr>
        <w:t>减少</w:t>
      </w:r>
      <w:r>
        <w:rPr>
          <w:rFonts w:hint="eastAsia" w:ascii="仿宋_GB2312" w:hAnsi="微软雅黑" w:eastAsia="仿宋_GB2312" w:cs="仿宋_GB2312"/>
          <w:color w:val="333333"/>
          <w:sz w:val="31"/>
          <w:szCs w:val="31"/>
          <w:shd w:val="clear" w:color="auto" w:fill="FFFFFF"/>
          <w:lang w:val="en-US" w:eastAsia="zh-CN"/>
        </w:rPr>
        <w:t>2.66</w:t>
      </w:r>
      <w:r>
        <w:rPr>
          <w:rFonts w:hint="default" w:ascii="仿宋_GB2312" w:hAnsi="微软雅黑" w:eastAsia="仿宋_GB2312" w:cs="仿宋_GB2312"/>
          <w:color w:val="333333"/>
          <w:sz w:val="31"/>
          <w:szCs w:val="31"/>
          <w:shd w:val="clear" w:color="auto" w:fill="FFFFFF"/>
        </w:rPr>
        <w:t>万元，</w:t>
      </w:r>
      <w:r>
        <w:rPr>
          <w:rFonts w:hint="eastAsia" w:ascii="仿宋_GB2312" w:hAnsi="微软雅黑" w:eastAsia="仿宋_GB2312" w:cs="仿宋_GB2312"/>
          <w:color w:val="333333"/>
          <w:sz w:val="31"/>
          <w:szCs w:val="31"/>
          <w:shd w:val="clear" w:color="auto" w:fill="FFFFFF"/>
          <w:lang w:eastAsia="zh-CN"/>
        </w:rPr>
        <w:t>下降</w:t>
      </w:r>
      <w:r>
        <w:rPr>
          <w:rFonts w:hint="eastAsia" w:ascii="仿宋_GB2312" w:hAnsi="微软雅黑" w:eastAsia="仿宋_GB2312" w:cs="仿宋_GB2312"/>
          <w:color w:val="333333"/>
          <w:sz w:val="31"/>
          <w:szCs w:val="31"/>
          <w:shd w:val="clear" w:color="auto" w:fill="FFFFFF"/>
          <w:lang w:val="en-US" w:eastAsia="zh-CN"/>
        </w:rPr>
        <w:t>21.18</w:t>
      </w:r>
      <w:r>
        <w:rPr>
          <w:rFonts w:hint="default" w:ascii="仿宋_GB2312" w:hAnsi="微软雅黑" w:eastAsia="仿宋_GB2312" w:cs="仿宋_GB2312"/>
          <w:color w:val="333333"/>
          <w:sz w:val="31"/>
          <w:szCs w:val="31"/>
          <w:shd w:val="clear" w:color="auto" w:fill="FFFFFF"/>
        </w:rPr>
        <w:t>%，主要原因是奖励性绩效补贴基数的</w:t>
      </w:r>
      <w:r>
        <w:rPr>
          <w:rFonts w:hint="eastAsia" w:ascii="仿宋_GB2312" w:hAnsi="微软雅黑" w:eastAsia="仿宋_GB2312" w:cs="仿宋_GB2312"/>
          <w:color w:val="333333"/>
          <w:sz w:val="31"/>
          <w:szCs w:val="31"/>
          <w:shd w:val="clear" w:color="auto" w:fill="FFFFFF"/>
          <w:lang w:eastAsia="zh-CN"/>
        </w:rPr>
        <w:t>减少</w:t>
      </w:r>
      <w:r>
        <w:rPr>
          <w:rFonts w:hint="default" w:ascii="仿宋_GB2312" w:hAnsi="微软雅黑" w:eastAsia="仿宋_GB2312" w:cs="仿宋_GB2312"/>
          <w:color w:val="333333"/>
          <w:sz w:val="31"/>
          <w:szCs w:val="31"/>
          <w:shd w:val="clear" w:color="auto" w:fill="FFFFFF"/>
        </w:rPr>
        <w:t>。</w:t>
      </w:r>
    </w:p>
    <w:p>
      <w:pPr>
        <w:pStyle w:val="5"/>
        <w:keepNext w:val="0"/>
        <w:keepLines w:val="0"/>
        <w:widowControl/>
        <w:suppressLineNumbers w:val="0"/>
        <w:spacing w:line="555" w:lineRule="atLeast"/>
        <w:ind w:left="0" w:firstLine="630"/>
        <w:rPr>
          <w:color w:val="000000" w:themeColor="text1"/>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5</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.结余分配0万元，为事业单位按规定提取的专用结余、缴纳所得税和转入非财政拨款结余等。较202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 万元，增长（下降）0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6</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.年末结转和结余 0万元，为本年度或以前年度预算安排、因客观条件发生变化无法按原计划实施，需要延迟到以后年度按有关规定继续使用的资金。较202</w:t>
      </w:r>
      <w:r>
        <w:rPr>
          <w:rFonts w:hint="eastAsia" w:ascii="仿宋_GB2312" w:hAnsi="微软雅黑" w:eastAsia="仿宋_GB2312" w:cs="仿宋_GB2312"/>
          <w:color w:val="000000" w:themeColor="text1"/>
          <w:sz w:val="31"/>
          <w:szCs w:val="31"/>
          <w:shd w:val="clear" w:fill="FFFFFF"/>
          <w:lang w:val="en-US" w:eastAsia="zh-CN"/>
          <w14:textFill>
            <w14:solidFill>
              <w14:schemeClr w14:val="tx1"/>
            </w14:solidFill>
          </w14:textFill>
        </w:rPr>
        <w:t>2</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年度决算数增加（减少）0万元，增长（下降）0  %。</w:t>
      </w:r>
    </w:p>
    <w:p>
      <w:pPr>
        <w:pStyle w:val="5"/>
        <w:keepNext w:val="0"/>
        <w:keepLines w:val="0"/>
        <w:widowControl/>
        <w:suppressLineNumbers w:val="0"/>
        <w:spacing w:line="555" w:lineRule="atLeast"/>
        <w:ind w:left="0" w:firstLine="630"/>
        <w:rPr>
          <w:rFonts w:hint="default" w:ascii="仿宋_GB2312" w:hAnsi="微软雅黑" w:eastAsia="仿宋_GB2312" w:cs="仿宋_GB2312"/>
          <w:color w:val="000000" w:themeColor="text1"/>
          <w:sz w:val="31"/>
          <w:szCs w:val="31"/>
          <w:shd w:val="clear" w:fill="FFFFFF"/>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5080000" cy="3022600"/>
            <wp:effectExtent l="4445" t="4445" r="20955" b="2095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rPr>
        <w:t>二、</w:t>
      </w:r>
      <w:r>
        <w:rPr>
          <w:rFonts w:hint="eastAsia" w:ascii="黑体" w:hAnsi="黑体" w:eastAsia="黑体" w:cs="黑体"/>
          <w:color w:val="auto"/>
          <w:sz w:val="32"/>
          <w:szCs w:val="32"/>
          <w:highlight w:val="none"/>
          <w:lang w:eastAsia="zh-CN"/>
        </w:rPr>
        <w:t>2023</w:t>
      </w:r>
      <w:r>
        <w:rPr>
          <w:rFonts w:hint="eastAsia" w:ascii="黑体" w:hAnsi="黑体" w:eastAsia="黑体" w:cs="黑体"/>
          <w:color w:val="auto"/>
          <w:sz w:val="32"/>
          <w:szCs w:val="32"/>
          <w:highlight w:val="none"/>
        </w:rPr>
        <w:t xml:space="preserve"> 年度</w:t>
      </w:r>
      <w:bookmarkStart w:id="0" w:name="OLE_LINK1"/>
      <w:r>
        <w:rPr>
          <w:rFonts w:hint="eastAsia" w:ascii="黑体" w:hAnsi="黑体" w:eastAsia="黑体" w:cs="黑体"/>
          <w:color w:val="auto"/>
          <w:sz w:val="32"/>
          <w:szCs w:val="32"/>
          <w:highlight w:val="none"/>
        </w:rPr>
        <w:t>一般公共预算财政拨款支出决算情况</w:t>
      </w:r>
      <w:bookmarkEnd w:id="0"/>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年度一般公共预算财政拨款支出</w:t>
      </w:r>
      <w:r>
        <w:rPr>
          <w:rFonts w:hint="eastAsia" w:ascii="仿宋" w:hAnsi="仿宋" w:eastAsia="仿宋" w:cs="仿宋"/>
          <w:sz w:val="32"/>
          <w:szCs w:val="32"/>
          <w:highlight w:val="none"/>
          <w:lang w:val="en-US" w:eastAsia="zh-CN"/>
        </w:rPr>
        <w:t>133.57</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7.89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6.28</w:t>
      </w:r>
      <w:r>
        <w:rPr>
          <w:rFonts w:hint="default" w:ascii="仿宋_GB2312" w:hAnsi="微软雅黑" w:eastAsia="仿宋_GB2312" w:cs="仿宋_GB2312"/>
          <w:color w:val="000000" w:themeColor="text1"/>
          <w:sz w:val="31"/>
          <w:szCs w:val="31"/>
          <w:shd w:val="clear" w:fill="FFFFFF"/>
          <w14:textFill>
            <w14:solidFill>
              <w14:schemeClr w14:val="tx1"/>
            </w14:solidFill>
          </w14:textFill>
        </w:rPr>
        <w:t> %</w:t>
      </w:r>
      <w:r>
        <w:rPr>
          <w:rFonts w:hint="eastAsia" w:ascii="仿宋" w:hAnsi="仿宋" w:eastAsia="仿宋" w:cs="仿宋"/>
          <w:sz w:val="32"/>
          <w:szCs w:val="32"/>
          <w:highlight w:val="none"/>
        </w:rPr>
        <w:t>。其中：基本支出</w:t>
      </w:r>
      <w:r>
        <w:rPr>
          <w:rFonts w:hint="eastAsia" w:ascii="仿宋" w:hAnsi="仿宋" w:eastAsia="仿宋" w:cs="仿宋"/>
          <w:sz w:val="32"/>
          <w:szCs w:val="32"/>
          <w:highlight w:val="none"/>
          <w:lang w:val="en-US" w:eastAsia="zh-CN"/>
        </w:rPr>
        <w:t>114.07</w:t>
      </w:r>
      <w:r>
        <w:rPr>
          <w:rFonts w:hint="eastAsia" w:ascii="仿宋" w:hAnsi="仿宋" w:eastAsia="仿宋" w:cs="仿宋"/>
          <w:sz w:val="32"/>
          <w:szCs w:val="32"/>
          <w:highlight w:val="none"/>
        </w:rPr>
        <w:t>万元，项目支出</w:t>
      </w:r>
      <w:r>
        <w:rPr>
          <w:rFonts w:hint="eastAsia" w:ascii="仿宋" w:hAnsi="仿宋" w:eastAsia="仿宋" w:cs="仿宋"/>
          <w:sz w:val="32"/>
          <w:szCs w:val="32"/>
          <w:highlight w:val="none"/>
          <w:lang w:val="en-US" w:eastAsia="zh-CN"/>
        </w:rPr>
        <w:t>19.50</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 xml:space="preserve"> 年度一般公共预算财政拨款支出年初预算</w:t>
      </w:r>
      <w:r>
        <w:rPr>
          <w:rFonts w:hint="eastAsia" w:ascii="仿宋" w:hAnsi="仿宋" w:eastAsia="仿宋" w:cs="仿宋"/>
          <w:sz w:val="32"/>
          <w:szCs w:val="32"/>
          <w:highlight w:val="none"/>
          <w:lang w:eastAsia="zh-CN"/>
        </w:rPr>
        <w:t>为</w:t>
      </w:r>
      <w:r>
        <w:rPr>
          <w:rFonts w:hint="eastAsia" w:ascii="仿宋" w:hAnsi="仿宋" w:eastAsia="仿宋" w:cs="仿宋"/>
          <w:sz w:val="32"/>
          <w:szCs w:val="32"/>
          <w:highlight w:val="none"/>
          <w:lang w:val="en-US" w:eastAsia="zh-CN"/>
        </w:rPr>
        <w:t>87.03</w:t>
      </w:r>
      <w:r>
        <w:rPr>
          <w:rFonts w:hint="eastAsia" w:ascii="仿宋" w:hAnsi="仿宋" w:eastAsia="仿宋" w:cs="仿宋"/>
          <w:sz w:val="32"/>
          <w:szCs w:val="32"/>
          <w:highlight w:val="none"/>
        </w:rPr>
        <w:t>万元，支出决算为</w:t>
      </w:r>
      <w:r>
        <w:rPr>
          <w:rFonts w:hint="eastAsia" w:ascii="仿宋" w:hAnsi="仿宋" w:eastAsia="仿宋" w:cs="仿宋"/>
          <w:sz w:val="32"/>
          <w:szCs w:val="32"/>
          <w:highlight w:val="none"/>
          <w:lang w:val="en-US" w:eastAsia="zh-CN"/>
        </w:rPr>
        <w:t>133.57</w:t>
      </w:r>
      <w:r>
        <w:rPr>
          <w:rFonts w:hint="eastAsia" w:ascii="仿宋" w:hAnsi="仿宋" w:eastAsia="仿宋" w:cs="仿宋"/>
          <w:sz w:val="32"/>
          <w:szCs w:val="32"/>
          <w:highlight w:val="none"/>
        </w:rPr>
        <w:t>万元，完成年初预算的</w:t>
      </w:r>
      <w:r>
        <w:rPr>
          <w:rFonts w:hint="eastAsia" w:ascii="仿宋" w:hAnsi="仿宋" w:eastAsia="仿宋" w:cs="仿宋"/>
          <w:sz w:val="32"/>
          <w:szCs w:val="32"/>
          <w:highlight w:val="none"/>
          <w:lang w:val="en-US" w:eastAsia="zh-CN"/>
        </w:rPr>
        <w:t>153.48</w:t>
      </w:r>
      <w:r>
        <w:rPr>
          <w:rFonts w:ascii="仿宋" w:hAnsi="仿宋" w:eastAsia="仿宋" w:cs="仿宋"/>
          <w:sz w:val="32"/>
          <w:u w:color="auto"/>
        </w:rPr>
        <w:t>%</w:t>
      </w:r>
      <w:r>
        <w:rPr>
          <w:rFonts w:hint="eastAsia" w:ascii="仿宋" w:hAnsi="仿宋" w:eastAsia="仿宋" w:cs="仿宋"/>
          <w:sz w:val="32"/>
          <w:szCs w:val="32"/>
          <w:highlight w:val="none"/>
        </w:rPr>
        <w:t>。</w:t>
      </w:r>
      <w:bookmarkStart w:id="1" w:name="OLE_LINK2"/>
      <w:bookmarkEnd w:id="1"/>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一般公共服务</w:t>
      </w:r>
      <w:r>
        <w:rPr>
          <w:rFonts w:hint="eastAsia" w:ascii="仿宋" w:hAnsi="仿宋" w:eastAsia="仿宋"/>
          <w:sz w:val="32"/>
          <w:szCs w:val="32"/>
          <w:highlight w:val="none"/>
        </w:rPr>
        <w:t>支出</w:t>
      </w:r>
      <w:r>
        <w:rPr>
          <w:rFonts w:ascii="仿宋" w:hAnsi="仿宋" w:eastAsia="仿宋"/>
          <w:sz w:val="32"/>
          <w:u w:color="auto"/>
        </w:rPr>
        <w:t>（20</w:t>
      </w:r>
      <w:r>
        <w:rPr>
          <w:rFonts w:hint="eastAsia" w:ascii="仿宋" w:hAnsi="仿宋" w:eastAsia="仿宋"/>
          <w:sz w:val="32"/>
          <w:u w:color="auto"/>
          <w:lang w:val="en-US" w:eastAsia="zh-CN"/>
        </w:rPr>
        <w:t>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71.14</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104.90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147.46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原因是：费用增加。</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482"/>
        <w:gridCol w:w="825"/>
        <w:gridCol w:w="735"/>
        <w:gridCol w:w="846"/>
        <w:gridCol w:w="2625"/>
        <w:gridCol w:w="10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26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2010301</w:t>
            </w:r>
          </w:p>
        </w:tc>
        <w:tc>
          <w:tcPr>
            <w:tcW w:w="1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70</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103.76</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148.24%</w:t>
            </w:r>
          </w:p>
        </w:tc>
        <w:tc>
          <w:tcPr>
            <w:tcW w:w="26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auto"/>
                <w:spacing w:val="0"/>
                <w:sz w:val="21"/>
                <w:szCs w:val="21"/>
                <w:shd w:val="clear" w:fill="FFFFFF"/>
              </w:rPr>
              <w:t>日常运转发生的基本支出</w:t>
            </w: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 xml:space="preserve"> 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2" w:hRule="atLeast"/>
        </w:trPr>
        <w:tc>
          <w:tcPr>
            <w:tcW w:w="95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2012999</w:t>
            </w:r>
          </w:p>
        </w:tc>
        <w:tc>
          <w:tcPr>
            <w:tcW w:w="1482"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82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1.14</w:t>
            </w:r>
          </w:p>
        </w:tc>
        <w:tc>
          <w:tcPr>
            <w:tcW w:w="73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1.14</w:t>
            </w:r>
          </w:p>
        </w:tc>
        <w:tc>
          <w:tcPr>
            <w:tcW w:w="846"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2625"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21"/>
                <w:szCs w:val="21"/>
                <w:highlight w:val="none"/>
                <w:lang w:val="en-US" w:eastAsia="zh-CN"/>
              </w:rPr>
            </w:pPr>
            <w:r>
              <w:rPr>
                <w:rFonts w:hint="default" w:ascii="仿宋_GB2312" w:hAnsi="微软雅黑" w:eastAsia="仿宋_GB2312" w:cs="仿宋_GB2312"/>
                <w:color w:val="auto"/>
                <w:spacing w:val="0"/>
                <w:sz w:val="21"/>
                <w:szCs w:val="21"/>
                <w:shd w:val="clear" w:fill="FFFFFF"/>
              </w:rPr>
              <w:t>日常运转发生的基本支出</w:t>
            </w:r>
          </w:p>
        </w:tc>
        <w:tc>
          <w:tcPr>
            <w:tcW w:w="1068" w:type="dxa"/>
            <w:tcBorders>
              <w:top w:val="single" w:color="auto" w:sz="4"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color w:val="FF0000"/>
                <w:sz w:val="18"/>
                <w:szCs w:val="18"/>
                <w:highlight w:val="none"/>
                <w:lang w:val="en-US" w:eastAsia="zh-CN"/>
              </w:rPr>
            </w:pPr>
            <w:r>
              <w:rPr>
                <w:rFonts w:hint="eastAsia" w:asciiTheme="minorEastAsia" w:hAnsiTheme="minorEastAsia" w:eastAsiaTheme="minorEastAsia" w:cstheme="minorEastAsia"/>
                <w:b w:val="0"/>
                <w:bCs w:val="0"/>
                <w:color w:val="auto"/>
                <w:sz w:val="18"/>
                <w:szCs w:val="18"/>
                <w:highlight w:val="none"/>
                <w:lang w:val="en-US" w:eastAsia="zh-CN"/>
              </w:rPr>
              <w:t>与上年时平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48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71.14</w:t>
            </w:r>
          </w:p>
        </w:tc>
        <w:tc>
          <w:tcPr>
            <w:tcW w:w="73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104.90</w:t>
            </w:r>
          </w:p>
        </w:tc>
        <w:tc>
          <w:tcPr>
            <w:tcW w:w="84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26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06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cs="仿宋"/>
          <w:sz w:val="32"/>
          <w:szCs w:val="32"/>
          <w:highlight w:val="none"/>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9.08</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11.06</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121.81</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原因是：基数调整。</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支出具体情况如下：</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职工机关事业单位基本养老保险缴费支出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基数调整、费用增加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9.08</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121.81%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lang w:val="en-US" w:eastAsia="zh-CN"/>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 w:hAnsi="仿宋" w:eastAsia="仿宋"/>
          <w:sz w:val="32"/>
          <w:szCs w:val="32"/>
          <w:highlight w:val="none"/>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6.81</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7.72</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113.36</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原因是：缴纳职员住房公积金加费用增加。</w:t>
      </w:r>
    </w:p>
    <w:p>
      <w:pPr>
        <w:ind w:firstLine="640" w:firstLineChars="200"/>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缴纳职员住房公积金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6.81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7.72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113.36%</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 w:hAnsi="仿宋" w:eastAsia="仿宋"/>
          <w:sz w:val="32"/>
          <w:szCs w:val="32"/>
          <w:highlight w:val="none"/>
        </w:rPr>
      </w:pP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pPr>
      <w:r>
        <w:rPr>
          <w:rFonts w:hint="eastAsia" w:ascii="仿宋" w:hAnsi="仿宋" w:eastAsia="仿宋"/>
          <w:sz w:val="32"/>
          <w:szCs w:val="32"/>
          <w:highlight w:val="none"/>
          <w:lang w:eastAsia="zh-CN"/>
        </w:rPr>
        <w:t>其他支出（229类）</w:t>
      </w:r>
      <w:r>
        <w:rPr>
          <w:rFonts w:hint="eastAsia" w:ascii="仿宋" w:hAnsi="仿宋" w:eastAsia="仿宋"/>
          <w:sz w:val="32"/>
          <w:szCs w:val="32"/>
          <w:highlight w:val="none"/>
        </w:rPr>
        <w:t>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9.90</w:t>
      </w:r>
      <w:r>
        <w:rPr>
          <w:rFonts w:hint="eastAsia" w:ascii="仿宋" w:hAnsi="仿宋" w:eastAsia="仿宋"/>
          <w:sz w:val="32"/>
          <w:szCs w:val="32"/>
          <w:highlight w:val="none"/>
        </w:rPr>
        <w:t>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default" w:ascii="仿宋_GB2312" w:hAnsi="微软雅黑" w:eastAsia="仿宋_GB2312" w:cs="仿宋_GB2312"/>
          <w:color w:val="000000" w:themeColor="text1"/>
          <w:spacing w:val="0"/>
          <w:sz w:val="31"/>
          <w:szCs w:val="31"/>
          <w:shd w:val="clear" w:fill="FFFFFF"/>
          <w14:textFill>
            <w14:solidFill>
              <w14:schemeClr w14:val="tx1"/>
            </w14:solidFill>
          </w14:textFill>
        </w:rPr>
        <w:t>年度绩效奖金支出</w:t>
      </w:r>
      <w:r>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t>。</w:t>
      </w: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 xml:space="preserve">  支出具体情况如下：</w:t>
      </w:r>
    </w:p>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pPr>
      <w:r>
        <w:rPr>
          <w:rFonts w:hint="eastAsia"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t xml:space="preserve">  </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967"/>
        <w:gridCol w:w="1875"/>
        <w:gridCol w:w="18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9.90</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w:t>
            </w: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c>
          <w:tcPr>
            <w:tcW w:w="1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default" w:ascii="仿宋_GB2312" w:hAnsi="微软雅黑" w:eastAsia="仿宋_GB2312" w:cs="仿宋_GB2312"/>
                <w:color w:val="000000" w:themeColor="text1"/>
                <w:spacing w:val="0"/>
                <w:sz w:val="21"/>
                <w:szCs w:val="21"/>
                <w:shd w:val="clear" w:fill="FFFFFF"/>
                <w14:textFill>
                  <w14:solidFill>
                    <w14:schemeClr w14:val="tx1"/>
                  </w14:solidFill>
                </w14:textFill>
              </w:rPr>
              <w:t>年度绩效奖金支出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9.90</w:t>
            </w:r>
          </w:p>
        </w:tc>
        <w:tc>
          <w:tcPr>
            <w:tcW w:w="96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100%</w:t>
            </w:r>
          </w:p>
        </w:tc>
        <w:tc>
          <w:tcPr>
            <w:tcW w:w="187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6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ascii="仿宋_GB2312" w:hAnsi="微软雅黑" w:eastAsia="仿宋_GB2312" w:cs="仿宋_GB2312"/>
          <w:color w:val="000000" w:themeColor="text1"/>
          <w:spacing w:val="0"/>
          <w:sz w:val="31"/>
          <w:szCs w:val="31"/>
          <w:shd w:val="clear" w:fill="FFFFFF"/>
          <w:lang w:val="en-US" w:eastAsia="zh-CN"/>
          <w14:textFill>
            <w14:solidFill>
              <w14:schemeClr w14:val="tx1"/>
            </w14:solidFill>
          </w14:textFill>
        </w:rPr>
      </w:pPr>
    </w:p>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ascii="仿宋_GB2312" w:hAnsi="微软雅黑" w:eastAsia="仿宋_GB2312" w:cs="仿宋_GB2312"/>
          <w:color w:val="000000" w:themeColor="text1"/>
          <w:spacing w:val="0"/>
          <w:sz w:val="31"/>
          <w:szCs w:val="31"/>
          <w:shd w:val="clear" w:fill="FFFFFF"/>
          <w:lang w:eastAsia="zh-CN"/>
          <w14:textFill>
            <w14:solidFill>
              <w14:schemeClr w14:val="tx1"/>
            </w14:solidFill>
          </w14:textFill>
        </w:rPr>
      </w:pPr>
      <w:r>
        <w:rPr>
          <w:rFonts w:hint="eastAsia" w:ascii="仿宋" w:hAnsi="仿宋" w:eastAsia="仿宋" w:cs="仿宋"/>
          <w:sz w:val="32"/>
          <w:szCs w:val="32"/>
          <w:highlight w:val="none"/>
        </w:rPr>
        <w:drawing>
          <wp:inline distT="0" distB="0" distL="114300" distR="114300">
            <wp:extent cx="4474845" cy="3215640"/>
            <wp:effectExtent l="4445" t="4445" r="16510" b="18415"/>
            <wp:docPr id="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color w:val="000000" w:themeColor="text1"/>
          <w:sz w:val="32"/>
          <w:szCs w:val="32"/>
          <w:highlight w:val="none"/>
          <w14:textFill>
            <w14:solidFill>
              <w14:schemeClr w14:val="tx1"/>
            </w14:solidFill>
          </w14:textFill>
        </w:rPr>
      </w:pPr>
      <w:r>
        <w:rPr>
          <w:rFonts w:hint="eastAsia" w:ascii="黑体" w:hAnsi="黑体" w:eastAsia="黑体" w:cs="黑体"/>
          <w:color w:val="auto"/>
          <w:sz w:val="32"/>
          <w:szCs w:val="32"/>
          <w:highlight w:val="none"/>
        </w:rPr>
        <w:t>三、</w:t>
      </w:r>
      <w:r>
        <w:rPr>
          <w:rFonts w:hint="eastAsia" w:ascii="黑体" w:hAnsi="黑体" w:eastAsia="黑体" w:cs="黑体"/>
          <w:color w:val="auto"/>
          <w:sz w:val="32"/>
          <w:szCs w:val="32"/>
          <w:highlight w:val="none"/>
          <w:lang w:eastAsia="zh-CN"/>
        </w:rPr>
        <w:t>2023</w:t>
      </w:r>
      <w:r>
        <w:rPr>
          <w:rFonts w:hint="eastAsia" w:ascii="黑体" w:hAnsi="黑体" w:eastAsia="黑体" w:cs="黑体"/>
          <w:color w:val="000000" w:themeColor="text1"/>
          <w:sz w:val="32"/>
          <w:szCs w:val="32"/>
          <w:highlight w:val="none"/>
          <w14:textFill>
            <w14:solidFill>
              <w14:schemeClr w14:val="tx1"/>
            </w14:solidFill>
          </w14:textFill>
        </w:rPr>
        <w:t>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年度一般公共预算财政拨款基本支出</w:t>
      </w:r>
      <w:r>
        <w:rPr>
          <w:rFonts w:hint="eastAsia" w:ascii="仿宋" w:hAnsi="仿宋" w:eastAsia="仿宋" w:cs="仿宋"/>
          <w:sz w:val="32"/>
          <w:szCs w:val="32"/>
          <w:highlight w:val="none"/>
          <w:lang w:val="en-US" w:eastAsia="zh-CN"/>
        </w:rPr>
        <w:t>114.06</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106.44</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7.62</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szCs w:val="32"/>
          <w:highlight w:val="none"/>
          <w:lang w:val="en-US" w:eastAsia="zh-CN"/>
        </w:rPr>
        <w:t>97.51</w:t>
      </w:r>
      <w:r>
        <w:rPr>
          <w:rFonts w:ascii="仿宋" w:hAnsi="仿宋" w:eastAsia="仿宋" w:cs="仿宋"/>
          <w:sz w:val="32"/>
          <w:highlight w:val="none"/>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147.41</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主要原因是：人员变动。</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30101基本工资43.15万元，30102津贴补贴4.25万元，30103奖金27.62万元，30108机关事业单位基本养老保险缴费11.06万元，30110职工基本医疗保险缴费3.60万元，30112其他社会保障缴费0.11万元，30113住房公积金7.72万元。</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szCs w:val="32"/>
          <w:highlight w:val="none"/>
          <w:lang w:val="en-US" w:eastAsia="zh-CN"/>
        </w:rPr>
        <w:t>7.62</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99.35</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主要原因是：项目减少，费用减少。</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30201办公费0.47万元，30205水费0.01万元，30206电费0.1万元，30207邮电费0.91万元，30211差率费0.5万元，30228工会经费1.13万元。</w:t>
      </w:r>
    </w:p>
    <w:p>
      <w:pPr>
        <w:jc w:val="left"/>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w:t>
      </w:r>
      <w:r>
        <w:rPr>
          <w:rFonts w:hint="eastAsia" w:ascii="仿宋" w:hAnsi="仿宋" w:eastAsia="仿宋" w:cs="仿宋"/>
          <w:color w:val="auto"/>
          <w:sz w:val="32"/>
          <w:szCs w:val="32"/>
          <w:highlight w:val="none"/>
        </w:rPr>
        <w:t>补</w:t>
      </w:r>
      <w:r>
        <w:rPr>
          <w:rFonts w:hint="eastAsia" w:ascii="仿宋" w:hAnsi="仿宋" w:eastAsia="仿宋" w:cs="仿宋"/>
          <w:sz w:val="32"/>
          <w:szCs w:val="32"/>
          <w:highlight w:val="none"/>
        </w:rPr>
        <w:t>助</w:t>
      </w:r>
      <w:r>
        <w:rPr>
          <w:rFonts w:hint="eastAsia" w:ascii="仿宋" w:hAnsi="仿宋" w:eastAsia="仿宋" w:cs="仿宋"/>
          <w:sz w:val="32"/>
          <w:szCs w:val="32"/>
          <w:highlight w:val="none"/>
          <w:lang w:val="en-US" w:eastAsia="zh-CN"/>
        </w:rPr>
        <w:t>8.94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178.44</w:t>
      </w:r>
      <w:r>
        <w:rPr>
          <w:rFonts w:hint="eastAsia" w:ascii="仿宋" w:hAnsi="仿宋" w:eastAsia="仿宋" w:cs="仿宋"/>
          <w:sz w:val="32"/>
          <w:szCs w:val="32"/>
          <w:highlight w:val="none"/>
        </w:rPr>
        <w:t>%</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主要原因是：退休人员生活补助及遗属补助人员。</w:t>
      </w:r>
    </w:p>
    <w:p>
      <w:pPr>
        <w:jc w:val="left"/>
        <w:rPr>
          <w:rFonts w:hint="eastAsia"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30305生活补助8.94万元。</w:t>
      </w:r>
    </w:p>
    <w:p>
      <w:pPr>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四、</w:t>
      </w:r>
      <w:r>
        <w:rPr>
          <w:rFonts w:hint="eastAsia" w:ascii="黑体" w:hAnsi="黑体" w:eastAsia="黑体" w:cs="黑体"/>
          <w:color w:val="000000" w:themeColor="text1"/>
          <w:sz w:val="32"/>
          <w:szCs w:val="32"/>
          <w:highlight w:val="none"/>
          <w:lang w:eastAsia="zh-CN"/>
          <w14:textFill>
            <w14:solidFill>
              <w14:schemeClr w14:val="tx1"/>
            </w14:solidFill>
          </w14:textFill>
        </w:rPr>
        <w:t>2023</w:t>
      </w:r>
      <w:r>
        <w:rPr>
          <w:rFonts w:hint="eastAsia" w:ascii="黑体" w:hAnsi="黑体" w:eastAsia="黑体" w:cs="黑体"/>
          <w:color w:val="000000" w:themeColor="text1"/>
          <w:sz w:val="32"/>
          <w:szCs w:val="32"/>
          <w:highlight w:val="none"/>
          <w14:textFill>
            <w14:solidFill>
              <w14:schemeClr w14:val="tx1"/>
            </w14:solidFill>
          </w14:textFill>
        </w:rPr>
        <w:t>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w:t>
      </w:r>
      <w:r>
        <w:rPr>
          <w:rFonts w:hint="eastAsia" w:ascii="黑体" w:hAnsi="黑体" w:eastAsia="黑体" w:cs="黑体"/>
          <w:sz w:val="32"/>
          <w:szCs w:val="32"/>
          <w:highlight w:val="none"/>
          <w:lang w:eastAsia="zh-CN"/>
        </w:rPr>
        <w:t>2023</w:t>
      </w:r>
      <w:r>
        <w:rPr>
          <w:rFonts w:hint="eastAsia" w:ascii="黑体" w:hAnsi="黑体" w:eastAsia="黑体" w:cs="黑体"/>
          <w:sz w:val="32"/>
          <w:szCs w:val="32"/>
          <w:highlight w:val="none"/>
        </w:rPr>
        <w:t>年度国有资本经营预算支出决算情况</w:t>
      </w:r>
    </w:p>
    <w:p>
      <w:pPr>
        <w:pStyle w:val="5"/>
        <w:keepNext w:val="0"/>
        <w:keepLines w:val="0"/>
        <w:widowControl/>
        <w:suppressLineNumbers w:val="0"/>
        <w:spacing w:line="555" w:lineRule="atLeast"/>
        <w:ind w:left="0" w:firstLine="645"/>
        <w:rPr>
          <w:rFonts w:hint="eastAsia" w:ascii="仿宋" w:hAnsi="仿宋" w:eastAsia="仿宋" w:cs="仿宋"/>
          <w:color w:val="666666"/>
          <w:sz w:val="32"/>
          <w:szCs w:val="32"/>
        </w:rPr>
      </w:pPr>
      <w:r>
        <w:rPr>
          <w:rFonts w:hint="eastAsia" w:ascii="仿宋" w:hAnsi="仿宋" w:eastAsia="仿宋" w:cs="仿宋"/>
          <w:color w:val="333333"/>
          <w:sz w:val="32"/>
          <w:szCs w:val="32"/>
          <w:shd w:val="clear" w:color="auto" w:fill="FFFFFF"/>
        </w:rPr>
        <w:t>本部门</w:t>
      </w:r>
      <w:r>
        <w:rPr>
          <w:rFonts w:hint="eastAsia" w:ascii="仿宋" w:hAnsi="仿宋" w:eastAsia="仿宋" w:cs="仿宋"/>
          <w:color w:val="333333"/>
          <w:sz w:val="32"/>
          <w:szCs w:val="32"/>
          <w:shd w:val="clear" w:color="auto" w:fill="FFFFFF"/>
          <w:lang w:eastAsia="zh-CN"/>
        </w:rPr>
        <w:t>2023</w:t>
      </w:r>
      <w:r>
        <w:rPr>
          <w:rFonts w:hint="eastAsia" w:ascii="仿宋" w:hAnsi="仿宋" w:eastAsia="仿宋" w:cs="仿宋"/>
          <w:color w:val="333333"/>
          <w:sz w:val="32"/>
          <w:szCs w:val="32"/>
          <w:shd w:val="clear" w:color="auto" w:fill="FFFFFF"/>
        </w:rPr>
        <w:t>年度没有国有资本经营预算收入，也没有国有</w:t>
      </w:r>
      <w:r>
        <w:rPr>
          <w:rFonts w:hint="eastAsia" w:ascii="仿宋" w:hAnsi="仿宋" w:eastAsia="仿宋" w:cs="仿宋"/>
          <w:color w:val="333333"/>
          <w:sz w:val="32"/>
          <w:szCs w:val="32"/>
          <w:shd w:val="clear" w:color="auto" w:fill="FFFFFF"/>
          <w:lang w:eastAsia="zh-CN"/>
        </w:rPr>
        <w:t>资本</w:t>
      </w:r>
      <w:r>
        <w:rPr>
          <w:rFonts w:hint="eastAsia" w:ascii="仿宋" w:hAnsi="仿宋" w:eastAsia="仿宋" w:cs="仿宋"/>
          <w:color w:val="333333"/>
          <w:sz w:val="32"/>
          <w:szCs w:val="32"/>
          <w:shd w:val="clear" w:color="auto" w:fill="FFFFFF"/>
        </w:rPr>
        <w:t>经营安排的支出，故此项无数据。</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（一）</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年度一般公共预算财政拨款安排的“三公”经费支出决算0万元，完成</w:t>
      </w:r>
      <w:r>
        <w:rPr>
          <w:rStyle w:val="8"/>
          <w:rFonts w:hint="default" w:ascii="仿宋_GB2312" w:hAnsi="微软雅黑" w:eastAsia="仿宋_GB2312" w:cs="仿宋_GB2312"/>
          <w:color w:val="333333"/>
          <w:sz w:val="31"/>
          <w:szCs w:val="31"/>
          <w:shd w:val="clear" w:color="auto" w:fill="FFFFFF"/>
        </w:rPr>
        <w:t>年初预算</w:t>
      </w:r>
      <w:r>
        <w:rPr>
          <w:rFonts w:hint="default" w:ascii="仿宋_GB2312" w:hAnsi="微软雅黑" w:eastAsia="仿宋_GB2312" w:cs="仿宋_GB2312"/>
          <w:color w:val="333333"/>
          <w:sz w:val="31"/>
          <w:szCs w:val="31"/>
          <w:shd w:val="clear" w:color="auto" w:fill="FFFFFF"/>
        </w:rPr>
        <w:t>的 0 %。其中：因公出国（境）费支出决算0万元，完成年初预算的 0 %；公务用车购置及运行费</w:t>
      </w:r>
      <w:r>
        <w:rPr>
          <w:rFonts w:hint="default" w:ascii="仿宋_GB2312" w:hAnsi="微软雅黑" w:eastAsia="仿宋_GB2312" w:cs="仿宋_GB2312"/>
          <w:color w:val="333333"/>
          <w:spacing w:val="0"/>
          <w:sz w:val="31"/>
          <w:szCs w:val="31"/>
          <w:shd w:val="clear" w:color="auto" w:fill="FFFFFF"/>
        </w:rPr>
        <w:t>支出决算0万元，完成年初预算的 0 %；公务接待费支出决算0万元，完成年初预算的 0 %。支出数未超出年初预算数主要原因是：认真贯彻落实中央“八项规定”精神和厉行节约要求，严控和压缩“三公”经费相关支</w:t>
      </w:r>
      <w:r>
        <w:rPr>
          <w:rFonts w:hint="default" w:ascii="仿宋_GB2312" w:hAnsi="微软雅黑" w:eastAsia="仿宋_GB2312" w:cs="仿宋_GB2312"/>
          <w:color w:val="333333"/>
          <w:sz w:val="31"/>
          <w:szCs w:val="31"/>
          <w:shd w:val="clear" w:color="auto" w:fill="FFFFFF"/>
        </w:rPr>
        <w:t>出。</w:t>
      </w:r>
    </w:p>
    <w:p>
      <w:pPr>
        <w:pStyle w:val="5"/>
        <w:keepNext w:val="0"/>
        <w:keepLines w:val="0"/>
        <w:widowControl/>
        <w:suppressLineNumbers w:val="0"/>
        <w:spacing w:line="555" w:lineRule="atLeast"/>
        <w:ind w:left="0" w:firstLine="645"/>
        <w:rPr>
          <w:rFonts w:hint="default" w:ascii="仿宋_GB2312" w:hAnsi="微软雅黑" w:eastAsia="仿宋_GB2312" w:cs="仿宋_GB2312"/>
          <w:color w:val="333333"/>
          <w:sz w:val="31"/>
          <w:szCs w:val="31"/>
          <w:shd w:val="clear" w:color="auto" w:fill="FFFFFF"/>
        </w:rPr>
      </w:pPr>
      <w:r>
        <w:rPr>
          <w:rFonts w:hint="default" w:ascii="仿宋_GB2312" w:hAnsi="微软雅黑" w:eastAsia="仿宋_GB2312" w:cs="仿宋_GB2312"/>
          <w:color w:val="333333"/>
          <w:sz w:val="31"/>
          <w:szCs w:val="31"/>
          <w:shd w:val="clear" w:color="auto" w:fill="FFFFFF"/>
        </w:rPr>
        <w:t>（二）</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年度一般公共预算财政拨款安排的“三公”经费支出决算数</w:t>
      </w:r>
      <w:r>
        <w:rPr>
          <w:rStyle w:val="8"/>
          <w:rFonts w:hint="default" w:ascii="仿宋_GB2312" w:hAnsi="微软雅黑" w:eastAsia="仿宋_GB2312" w:cs="仿宋_GB2312"/>
          <w:b w:val="0"/>
          <w:bCs/>
          <w:color w:val="333333"/>
          <w:sz w:val="31"/>
          <w:szCs w:val="31"/>
          <w:shd w:val="clear" w:color="auto" w:fill="FFFFFF"/>
        </w:rPr>
        <w:t>较202</w:t>
      </w:r>
      <w:r>
        <w:rPr>
          <w:rStyle w:val="8"/>
          <w:rFonts w:hint="eastAsia" w:ascii="仿宋_GB2312" w:hAnsi="微软雅黑" w:eastAsia="仿宋_GB2312" w:cs="仿宋_GB2312"/>
          <w:b w:val="0"/>
          <w:bCs/>
          <w:color w:val="333333"/>
          <w:sz w:val="31"/>
          <w:szCs w:val="31"/>
          <w:shd w:val="clear" w:color="auto" w:fill="FFFFFF"/>
          <w:lang w:val="en-US" w:eastAsia="zh-CN"/>
        </w:rPr>
        <w:t>2</w:t>
      </w:r>
      <w:r>
        <w:rPr>
          <w:rStyle w:val="8"/>
          <w:rFonts w:hint="default" w:ascii="仿宋_GB2312" w:hAnsi="微软雅黑" w:eastAsia="仿宋_GB2312" w:cs="仿宋_GB2312"/>
          <w:b w:val="0"/>
          <w:bCs/>
          <w:color w:val="333333"/>
          <w:sz w:val="31"/>
          <w:szCs w:val="31"/>
          <w:shd w:val="clear" w:color="auto" w:fill="FFFFFF"/>
        </w:rPr>
        <w:t>年决算数</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减少0万元，</w:t>
      </w:r>
      <w:r>
        <w:rPr>
          <w:rStyle w:val="8"/>
          <w:rFonts w:hint="eastAsia" w:ascii="仿宋_GB2312" w:hAnsi="微软雅黑" w:eastAsia="仿宋_GB2312" w:cs="仿宋_GB2312"/>
          <w:b w:val="0"/>
          <w:bCs/>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下降1</w:t>
      </w:r>
      <w:r>
        <w:rPr>
          <w:rFonts w:hint="eastAsia" w:ascii="仿宋_GB2312" w:hAnsi="微软雅黑" w:eastAsia="仿宋_GB2312" w:cs="仿宋_GB2312"/>
          <w:color w:val="333333"/>
          <w:sz w:val="31"/>
          <w:szCs w:val="31"/>
          <w:shd w:val="clear" w:color="auto" w:fill="FFFFFF"/>
          <w:lang w:val="en-US" w:eastAsia="zh-CN"/>
        </w:rPr>
        <w:t>0</w:t>
      </w:r>
      <w:r>
        <w:rPr>
          <w:rFonts w:hint="default" w:ascii="仿宋_GB2312" w:hAnsi="微软雅黑" w:eastAsia="仿宋_GB2312" w:cs="仿宋_GB2312"/>
          <w:color w:val="333333"/>
          <w:sz w:val="31"/>
          <w:szCs w:val="31"/>
          <w:shd w:val="clear" w:color="auto" w:fill="FFFFFF"/>
        </w:rPr>
        <w:t> %，主要原因是财政没有安排资金结账。具体情况如下：</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pacing w:val="15"/>
          <w:sz w:val="31"/>
          <w:szCs w:val="31"/>
          <w:shd w:val="clear" w:color="auto" w:fill="FFFFFF"/>
        </w:rPr>
        <w:t>1.</w:t>
      </w:r>
      <w:r>
        <w:rPr>
          <w:rFonts w:hint="default" w:ascii="仿宋_GB2312" w:hAnsi="微软雅黑" w:eastAsia="仿宋_GB2312" w:cs="仿宋_GB2312"/>
          <w:color w:val="333333"/>
          <w:sz w:val="31"/>
          <w:szCs w:val="31"/>
          <w:shd w:val="clear" w:color="auto" w:fill="FFFFFF"/>
        </w:rPr>
        <w:t>因公出国（境）费支出0万元，完成年初预算的 0 %，比上年增减（减少）0万元。全年使用财政拨款安排机关、所属单位出国团0个，参加其他单位组织的出国团0个，全年因公出国（境）团组共计0个，累计0人次。</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2.公务用车购置及运行费支出 0 万元。</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公务用车购置支出0万元。较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年决算数增加（减少）0万元，增长（下降）0 %。主要原因是本单位未配备有公务车。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公务用车运行费支出0万元。主要用于单位机要文件交换、城区乡镇因公出行以及开展业务所需车辆燃料费、维修费、过路过桥费、保险费等。</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年本单位开支财政拨款的公务用车保有量为0辆，全年运行费支出0万元，平均每辆0万元。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年决算数较</w:t>
      </w:r>
      <w:r>
        <w:rPr>
          <w:rFonts w:hint="eastAsia" w:ascii="仿宋_GB2312" w:hAnsi="微软雅黑" w:eastAsia="仿宋_GB2312" w:cs="仿宋_GB2312"/>
          <w:color w:val="333333"/>
          <w:sz w:val="31"/>
          <w:szCs w:val="31"/>
          <w:shd w:val="clear" w:color="auto" w:fill="FFFFFF"/>
          <w:lang w:eastAsia="zh-CN"/>
        </w:rPr>
        <w:t>2023</w:t>
      </w:r>
      <w:r>
        <w:rPr>
          <w:rFonts w:hint="default" w:ascii="仿宋_GB2312" w:hAnsi="微软雅黑" w:eastAsia="仿宋_GB2312" w:cs="仿宋_GB2312"/>
          <w:color w:val="333333"/>
          <w:sz w:val="31"/>
          <w:szCs w:val="31"/>
          <w:shd w:val="clear" w:color="auto" w:fill="FFFFFF"/>
        </w:rPr>
        <w:t>年决算数增加（减少）0万元，增长（下降）0%，主要原因是本单位未配备有公务车。</w:t>
      </w:r>
    </w:p>
    <w:p>
      <w:pPr>
        <w:pStyle w:val="5"/>
        <w:keepNext w:val="0"/>
        <w:keepLines w:val="0"/>
        <w:widowControl/>
        <w:suppressLineNumbers w:val="0"/>
        <w:spacing w:line="555" w:lineRule="atLeast"/>
        <w:ind w:left="0" w:firstLine="645"/>
        <w:rPr>
          <w:color w:val="666666"/>
        </w:rPr>
      </w:pPr>
      <w:r>
        <w:rPr>
          <w:rFonts w:hint="default" w:ascii="仿宋_GB2312" w:hAnsi="微软雅黑" w:eastAsia="仿宋_GB2312" w:cs="仿宋_GB2312"/>
          <w:color w:val="333333"/>
          <w:sz w:val="31"/>
          <w:szCs w:val="31"/>
          <w:shd w:val="clear" w:color="auto" w:fill="FFFFFF"/>
        </w:rPr>
        <w:t xml:space="preserve">3.公务接待费支出 </w:t>
      </w:r>
      <w:r>
        <w:rPr>
          <w:rFonts w:hint="eastAsia" w:ascii="仿宋_GB2312" w:hAnsi="微软雅黑" w:eastAsia="仿宋_GB2312" w:cs="仿宋_GB2312"/>
          <w:color w:val="333333"/>
          <w:sz w:val="31"/>
          <w:szCs w:val="31"/>
          <w:shd w:val="clear" w:color="auto" w:fill="FFFFFF"/>
          <w:lang w:val="en-US" w:eastAsia="zh-CN"/>
        </w:rPr>
        <w:t>0.13</w:t>
      </w:r>
      <w:r>
        <w:rPr>
          <w:rFonts w:hint="default" w:ascii="仿宋_GB2312" w:hAnsi="微软雅黑" w:eastAsia="仿宋_GB2312" w:cs="仿宋_GB2312"/>
          <w:color w:val="333333"/>
          <w:sz w:val="31"/>
          <w:szCs w:val="31"/>
          <w:shd w:val="clear" w:color="auto" w:fill="FFFFFF"/>
        </w:rPr>
        <w:t xml:space="preserve">万元，完成年初预算的 </w:t>
      </w:r>
      <w:r>
        <w:rPr>
          <w:rFonts w:hint="eastAsia" w:ascii="仿宋_GB2312" w:hAnsi="微软雅黑" w:eastAsia="仿宋_GB2312" w:cs="仿宋_GB2312"/>
          <w:color w:val="333333"/>
          <w:sz w:val="31"/>
          <w:szCs w:val="31"/>
          <w:shd w:val="clear" w:color="auto" w:fill="FFFFFF"/>
          <w:lang w:val="en-US" w:eastAsia="zh-CN"/>
        </w:rPr>
        <w:t>52</w:t>
      </w:r>
      <w:r>
        <w:rPr>
          <w:rFonts w:hint="default" w:ascii="仿宋_GB2312" w:hAnsi="微软雅黑" w:eastAsia="仿宋_GB2312" w:cs="仿宋_GB2312"/>
          <w:color w:val="333333"/>
          <w:sz w:val="31"/>
          <w:szCs w:val="31"/>
          <w:shd w:val="clear" w:color="auto" w:fill="FFFFFF"/>
        </w:rPr>
        <w:t>%， 比上年</w:t>
      </w:r>
      <w:r>
        <w:rPr>
          <w:rFonts w:hint="eastAsia" w:ascii="仿宋_GB2312" w:hAnsi="微软雅黑" w:eastAsia="仿宋_GB2312" w:cs="仿宋_GB2312"/>
          <w:color w:val="333333"/>
          <w:sz w:val="31"/>
          <w:szCs w:val="31"/>
          <w:shd w:val="clear" w:color="auto" w:fill="FFFFFF"/>
          <w:lang w:eastAsia="zh-CN"/>
        </w:rPr>
        <w:t>增加</w:t>
      </w:r>
      <w:r>
        <w:rPr>
          <w:rFonts w:hint="default" w:ascii="仿宋_GB2312" w:hAnsi="微软雅黑" w:eastAsia="仿宋_GB2312" w:cs="仿宋_GB2312"/>
          <w:color w:val="333333"/>
          <w:sz w:val="31"/>
          <w:szCs w:val="31"/>
          <w:shd w:val="clear" w:color="auto" w:fill="FFFFFF"/>
        </w:rPr>
        <w:t>0</w:t>
      </w:r>
      <w:r>
        <w:rPr>
          <w:rFonts w:hint="eastAsia" w:ascii="仿宋_GB2312" w:hAnsi="微软雅黑" w:eastAsia="仿宋_GB2312" w:cs="仿宋_GB2312"/>
          <w:color w:val="333333"/>
          <w:sz w:val="31"/>
          <w:szCs w:val="31"/>
          <w:shd w:val="clear" w:color="auto" w:fill="FFFFFF"/>
          <w:lang w:val="en-US" w:eastAsia="zh-CN"/>
        </w:rPr>
        <w:t>.13</w:t>
      </w:r>
      <w:r>
        <w:rPr>
          <w:rFonts w:hint="default" w:ascii="仿宋_GB2312" w:hAnsi="微软雅黑" w:eastAsia="仿宋_GB2312" w:cs="仿宋_GB2312"/>
          <w:color w:val="333333"/>
          <w:sz w:val="31"/>
          <w:szCs w:val="31"/>
          <w:shd w:val="clear" w:color="auto" w:fill="FFFFFF"/>
        </w:rPr>
        <w:t>万元，原因是</w:t>
      </w:r>
      <w:r>
        <w:rPr>
          <w:rFonts w:hint="eastAsia" w:ascii="仿宋_GB2312" w:hAnsi="微软雅黑" w:eastAsia="仿宋_GB2312" w:cs="仿宋_GB2312"/>
          <w:color w:val="333333"/>
          <w:sz w:val="31"/>
          <w:szCs w:val="31"/>
          <w:shd w:val="clear" w:color="auto" w:fill="FFFFFF"/>
          <w:lang w:eastAsia="zh-CN"/>
        </w:rPr>
        <w:t>公务接待费用增加</w:t>
      </w:r>
      <w:r>
        <w:rPr>
          <w:rFonts w:hint="default" w:ascii="仿宋_GB2312" w:hAnsi="微软雅黑" w:eastAsia="仿宋_GB2312" w:cs="仿宋_GB2312"/>
          <w:color w:val="333333"/>
          <w:sz w:val="31"/>
          <w:szCs w:val="31"/>
          <w:shd w:val="clear" w:color="auto" w:fill="FFFFFF"/>
        </w:rPr>
        <w:t>。国内公务接待批次0次，人次0次，国（境）外公务接待批次0次，人次0次。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（一） 机关运行经费支出情况说明</w:t>
      </w:r>
    </w:p>
    <w:p>
      <w:pPr>
        <w:ind w:firstLine="640" w:firstLineChars="200"/>
        <w:jc w:val="left"/>
        <w:rPr>
          <w:rFonts w:hint="eastAsia" w:ascii="仿宋" w:hAnsi="仿宋" w:eastAsia="仿宋" w:cs="仿宋"/>
          <w:color w:val="FF0000"/>
          <w:sz w:val="32"/>
          <w:szCs w:val="32"/>
          <w:highlight w:val="none"/>
          <w:lang w:eastAsia="zh-CN"/>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年度机关运行经费支出</w:t>
      </w:r>
      <w:r>
        <w:rPr>
          <w:rFonts w:hint="eastAsia" w:ascii="仿宋" w:hAnsi="仿宋" w:eastAsia="仿宋" w:cs="仿宋"/>
          <w:sz w:val="32"/>
          <w:szCs w:val="32"/>
          <w:highlight w:val="none"/>
          <w:lang w:val="en-US" w:eastAsia="zh-CN"/>
        </w:rPr>
        <w:t>7.62</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w:t>
      </w:r>
      <w:r>
        <w:rPr>
          <w:rFonts w:hint="eastAsia" w:ascii="仿宋" w:hAnsi="仿宋" w:eastAsia="仿宋" w:cs="仿宋"/>
          <w:sz w:val="32"/>
          <w:szCs w:val="32"/>
          <w:highlight w:val="none"/>
          <w:lang w:val="en-US" w:eastAsia="zh-CN"/>
        </w:rPr>
        <w:t>0.05</w:t>
      </w:r>
      <w:r>
        <w:rPr>
          <w:rFonts w:hint="eastAsia" w:ascii="仿宋" w:hAnsi="仿宋" w:eastAsia="仿宋" w:cs="仿宋"/>
          <w:sz w:val="32"/>
          <w:szCs w:val="32"/>
          <w:highlight w:val="none"/>
        </w:rPr>
        <w:t>万元，</w:t>
      </w:r>
      <w:r>
        <w:rPr>
          <w:rFonts w:ascii="仿宋" w:hAnsi="仿宋" w:eastAsia="仿宋" w:cs="仿宋"/>
          <w:sz w:val="32"/>
          <w:szCs w:val="32"/>
          <w:highlight w:val="none"/>
        </w:rPr>
        <w:t>下降</w:t>
      </w:r>
      <w:r>
        <w:rPr>
          <w:rFonts w:hint="eastAsia" w:ascii="仿宋" w:hAnsi="仿宋" w:eastAsia="仿宋" w:cs="仿宋"/>
          <w:sz w:val="32"/>
          <w:szCs w:val="32"/>
          <w:highlight w:val="none"/>
          <w:lang w:val="en-US" w:eastAsia="zh-CN"/>
        </w:rPr>
        <w:t>0.65</w:t>
      </w:r>
      <w:r>
        <w:rPr>
          <w:rFonts w:ascii="仿宋" w:hAnsi="仿宋" w:eastAsia="仿宋" w:cs="仿宋"/>
          <w:sz w:val="32"/>
          <w:szCs w:val="32"/>
          <w:highlight w:val="none"/>
        </w:rPr>
        <w:t>%</w:t>
      </w:r>
      <w:r>
        <w:rPr>
          <w:rFonts w:hint="eastAsia" w:ascii="仿宋" w:hAnsi="仿宋" w:eastAsia="仿宋" w:cs="仿宋"/>
          <w:sz w:val="32"/>
          <w:szCs w:val="32"/>
          <w:highlight w:val="none"/>
        </w:rPr>
        <w:t>，比上年决算数</w:t>
      </w:r>
      <w:r>
        <w:rPr>
          <w:rFonts w:hint="eastAsia" w:ascii="仿宋" w:hAnsi="仿宋" w:eastAsia="仿宋" w:cs="仿宋"/>
          <w:sz w:val="32"/>
          <w:szCs w:val="32"/>
          <w:highlight w:val="none"/>
          <w:lang w:eastAsia="zh-CN"/>
        </w:rPr>
        <w:t>增加</w:t>
      </w:r>
      <w:r>
        <w:rPr>
          <w:rFonts w:hint="eastAsia" w:ascii="仿宋" w:hAnsi="仿宋" w:eastAsia="仿宋" w:cs="仿宋"/>
          <w:sz w:val="32"/>
          <w:szCs w:val="32"/>
          <w:highlight w:val="none"/>
          <w:lang w:val="en-US" w:eastAsia="zh-CN"/>
        </w:rPr>
        <w:t>4.97</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增长</w:t>
      </w:r>
      <w:r>
        <w:rPr>
          <w:rFonts w:hint="eastAsia" w:ascii="仿宋" w:hAnsi="仿宋" w:eastAsia="仿宋" w:cs="仿宋"/>
          <w:sz w:val="32"/>
          <w:szCs w:val="32"/>
          <w:highlight w:val="none"/>
          <w:lang w:val="en-US" w:eastAsia="zh-CN"/>
        </w:rPr>
        <w:t>187.55</w:t>
      </w:r>
      <w:r>
        <w:rPr>
          <w:rFonts w:ascii="仿宋" w:hAnsi="仿宋" w:eastAsia="仿宋" w:cs="仿宋"/>
          <w:sz w:val="32"/>
          <w:szCs w:val="32"/>
          <w:highlight w:val="none"/>
        </w:rPr>
        <w:t>%</w:t>
      </w:r>
      <w:r>
        <w:rPr>
          <w:rFonts w:hint="eastAsia" w:ascii="仿宋" w:hAnsi="仿宋" w:eastAsia="仿宋" w:cs="仿宋"/>
          <w:color w:val="000000" w:themeColor="text1"/>
          <w:sz w:val="32"/>
          <w:szCs w:val="32"/>
          <w:highlight w:val="none"/>
          <w14:textFill>
            <w14:solidFill>
              <w14:schemeClr w14:val="tx1"/>
            </w14:solidFill>
          </w14:textFill>
        </w:rPr>
        <w:t>。原因是：</w:t>
      </w:r>
      <w:r>
        <w:rPr>
          <w:rFonts w:hint="eastAsia" w:ascii="仿宋" w:hAnsi="仿宋" w:eastAsia="仿宋" w:cs="仿宋"/>
          <w:color w:val="000000" w:themeColor="text1"/>
          <w:sz w:val="32"/>
          <w:szCs w:val="32"/>
          <w:highlight w:val="none"/>
          <w:lang w:eastAsia="zh-CN"/>
          <w14:textFill>
            <w14:solidFill>
              <w14:schemeClr w14:val="tx1"/>
            </w14:solidFill>
          </w14:textFill>
        </w:rPr>
        <w:t>项目增加。</w:t>
      </w:r>
    </w:p>
    <w:p>
      <w:pPr>
        <w:jc w:val="left"/>
        <w:rPr>
          <w:rFonts w:ascii="黑体" w:hAnsi="黑体" w:eastAsia="黑体" w:cs="黑体"/>
          <w:color w:val="000000" w:themeColor="text1"/>
          <w:sz w:val="32"/>
          <w:szCs w:val="32"/>
          <w:highlight w:val="none"/>
          <w14:textFill>
            <w14:solidFill>
              <w14:schemeClr w14:val="tx1"/>
            </w14:solidFill>
          </w14:textFill>
        </w:rPr>
      </w:pPr>
      <w:r>
        <w:rPr>
          <w:rFonts w:hint="eastAsia" w:ascii="黑体" w:hAnsi="黑体" w:eastAsia="黑体" w:cs="黑体"/>
          <w:color w:val="000000" w:themeColor="text1"/>
          <w:sz w:val="32"/>
          <w:szCs w:val="32"/>
          <w:highlight w:val="none"/>
          <w14:textFill>
            <w14:solidFill>
              <w14:schemeClr w14:val="tx1"/>
            </w14:solidFill>
          </w14:textFill>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年度政府采购支出总额</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万元，其中：政府采购货物支出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w:t>
      </w:r>
      <w:r>
        <w:rPr>
          <w:rFonts w:hint="eastAsia" w:ascii="仿宋" w:hAnsi="仿宋" w:eastAsia="仿宋" w:cs="仿宋"/>
          <w:sz w:val="32"/>
          <w:szCs w:val="32"/>
          <w:highlight w:val="none"/>
          <w:lang w:eastAsia="zh-CN"/>
        </w:rPr>
        <w:t>2023</w:t>
      </w:r>
      <w:r>
        <w:rPr>
          <w:rFonts w:hint="eastAsia" w:ascii="仿宋" w:hAnsi="仿宋" w:eastAsia="仿宋" w:cs="仿宋"/>
          <w:sz w:val="32"/>
          <w:szCs w:val="32"/>
          <w:highlight w:val="none"/>
        </w:rPr>
        <w:t>年12月31日，本部门共有车辆</w:t>
      </w:r>
      <w:r>
        <w:rPr>
          <w:rFonts w:ascii="仿宋" w:hAnsi="仿宋" w:eastAsia="仿宋" w:cs="仿宋"/>
          <w:sz w:val="32"/>
          <w:szCs w:val="32"/>
          <w:highlight w:val="none"/>
        </w:rPr>
        <w:t>0</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0</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numPr>
          <w:ilvl w:val="0"/>
          <w:numId w:val="0"/>
        </w:num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lang w:eastAsia="zh-CN"/>
        </w:rPr>
        <w:t>（四）</w:t>
      </w:r>
      <w:r>
        <w:rPr>
          <w:rFonts w:hint="eastAsia" w:ascii="黑体" w:hAnsi="黑体" w:eastAsia="黑体" w:cs="黑体"/>
          <w:color w:val="auto"/>
          <w:sz w:val="32"/>
          <w:szCs w:val="32"/>
          <w:highlight w:val="none"/>
        </w:rPr>
        <w:t>预算绩效管理工作开展情况</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default" w:ascii="仿宋_GB2312" w:hAnsi="Times New Roman" w:eastAsia="仿宋_GB2312" w:cs="仿宋_GB2312"/>
          <w:b w:val="0"/>
          <w:bCs w:val="0"/>
          <w:caps w:val="0"/>
          <w:color w:val="auto"/>
          <w:kern w:val="0"/>
          <w:sz w:val="32"/>
          <w:szCs w:val="32"/>
          <w:vertAlign w:val="baseline"/>
          <w:lang w:val="en-US"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整体支出绩效自评结果。</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我部门2023年度部门预算数87.03万元，执行数133.57万元，整体支出绩效自评结果为</w:t>
      </w:r>
      <w:r>
        <w:rPr>
          <w:rFonts w:hint="eastAsia" w:ascii="仿宋_GB2312" w:eastAsia="仿宋_GB2312" w:cs="仿宋_GB2312"/>
          <w:kern w:val="0"/>
          <w:sz w:val="32"/>
          <w:szCs w:val="32"/>
          <w:lang w:val="en-US" w:eastAsia="zh-CN"/>
        </w:rPr>
        <w:t>一</w:t>
      </w:r>
      <w:r>
        <w:rPr>
          <w:rFonts w:hint="eastAsia" w:ascii="仿宋_GB2312" w:hAnsi="Times New Roman" w:eastAsia="仿宋_GB2312" w:cs="仿宋_GB2312"/>
          <w:b w:val="0"/>
          <w:bCs w:val="0"/>
          <w:caps w:val="0"/>
          <w:color w:val="auto"/>
          <w:kern w:val="0"/>
          <w:sz w:val="32"/>
          <w:szCs w:val="32"/>
          <w:vertAlign w:val="baseline"/>
          <w:lang w:val="en-US" w:eastAsia="zh-CN" w:bidi="ar"/>
        </w:rPr>
        <w:t>等。从自评情况来看，2023年度我部门年初预算87.03万元，调整后预算162.15万元，实际支出133.57万元，预算执行率82.38%，整体支出主要产出指标和效果目标均达到预期的目标。</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2.项目支出绩效自评结果。</w:t>
      </w:r>
    </w:p>
    <w:p>
      <w:pPr>
        <w:keepNext w:val="0"/>
        <w:keepLines w:val="0"/>
        <w:pageBreakBefore w:val="0"/>
        <w:widowControl w:val="0"/>
        <w:numPr>
          <w:ilvl w:val="0"/>
          <w:numId w:val="0"/>
        </w:numPr>
        <w:suppressLineNumbers w:val="0"/>
        <w:tabs>
          <w:tab w:val="left" w:pos="0"/>
        </w:tabs>
        <w:suppressAutoHyphens w:val="0"/>
        <w:kinsoku/>
        <w:wordWrap/>
        <w:overflowPunct/>
        <w:topLinePunct w:val="0"/>
        <w:autoSpaceDE w:val="0"/>
        <w:autoSpaceDN w:val="0"/>
        <w:bidi w:val="0"/>
        <w:adjustRightInd w:val="0"/>
        <w:snapToGrid/>
        <w:spacing w:before="0" w:beforeAutospacing="0" w:after="0" w:afterAutospacing="0" w:line="560" w:lineRule="exact"/>
        <w:ind w:right="0" w:firstLine="640" w:firstLineChars="200"/>
        <w:jc w:val="both"/>
        <w:textAlignment w:val="auto"/>
        <w:outlineLvl w:val="9"/>
        <w:rPr>
          <w:rFonts w:hint="eastAsia" w:ascii="仿宋_GB2312" w:eastAsia="仿宋_GB2312" w:cs="仿宋_GB2312"/>
          <w:caps w:val="0"/>
          <w:color w:val="auto"/>
          <w:kern w:val="0"/>
          <w:sz w:val="32"/>
          <w:szCs w:val="32"/>
          <w:vertAlign w:val="baseline"/>
          <w:lang w:eastAsia="zh-CN" w:bidi="ar"/>
        </w:rPr>
      </w:pPr>
      <w:r>
        <w:rPr>
          <w:rFonts w:hint="default" w:ascii="仿宋_GB2312" w:hAnsi="Times New Roman" w:eastAsia="仿宋_GB2312" w:cs="仿宋_GB2312"/>
          <w:b w:val="0"/>
          <w:bCs w:val="0"/>
          <w:caps w:val="0"/>
          <w:color w:val="auto"/>
          <w:kern w:val="0"/>
          <w:sz w:val="32"/>
          <w:szCs w:val="32"/>
          <w:vertAlign w:val="baseline"/>
          <w:lang w:val="en" w:eastAsia="zh-CN" w:bidi="ar"/>
        </w:rPr>
        <w:t>(1)</w:t>
      </w:r>
      <w:r>
        <w:rPr>
          <w:rFonts w:hint="eastAsia" w:ascii="仿宋_GB2312" w:hAnsi="Times New Roman" w:eastAsia="仿宋_GB2312" w:cs="仿宋_GB2312"/>
          <w:b w:val="0"/>
          <w:bCs w:val="0"/>
          <w:caps w:val="0"/>
          <w:color w:val="auto"/>
          <w:kern w:val="0"/>
          <w:sz w:val="32"/>
          <w:szCs w:val="32"/>
          <w:vertAlign w:val="baseline"/>
          <w:lang w:val="en-US" w:eastAsia="zh-CN" w:bidi="ar"/>
        </w:rPr>
        <w:t>项目绩效自评总体情况：我部门2023年度项目10个，项目支出总额29.40万元。其中，本级项目10个，本级项目支出29.40万元；对下转移支付项目0个，对下转移支付0万元。项目中，敏感涉密项目</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vertAlign w:val="baseline"/>
          <w:lang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所有项目均开展了绩效自评，其中非敏感涉密项目绩效自评结果为：10个项目评为一等，涉及资金29.40万元，占项目总数比例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100</w:t>
      </w:r>
      <w:r>
        <w:rPr>
          <w:rFonts w:hint="eastAsia" w:ascii="仿宋_GB2312" w:hAnsi="Times New Roman" w:eastAsia="仿宋_GB2312" w:cs="仿宋_GB2312"/>
          <w:b w:val="0"/>
          <w:bCs w:val="0"/>
          <w:caps w:val="0"/>
          <w:color w:val="auto"/>
          <w:kern w:val="0"/>
          <w:sz w:val="32"/>
          <w:szCs w:val="32"/>
          <w:vertAlign w:val="baseline"/>
          <w:lang w:val="en-US" w:eastAsia="zh-CN" w:bidi="ar"/>
        </w:rPr>
        <w:t>%；</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个项目评为二等，涉及资金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个项目评为三等，涉及资金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个项目评为四等，涉及资金</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万元，占项目总数比例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%，占项目支出总额比例</w:t>
      </w:r>
      <w:r>
        <w:rPr>
          <w:rFonts w:hint="eastAsia" w:ascii="仿宋_GB2312" w:eastAsia="仿宋_GB2312" w:cs="仿宋_GB2312"/>
          <w:kern w:val="0"/>
          <w:sz w:val="32"/>
          <w:szCs w:val="32"/>
          <w:lang w:val="en-US" w:eastAsia="zh-CN"/>
        </w:rPr>
        <w:t>0</w:t>
      </w:r>
      <w:r>
        <w:rPr>
          <w:rFonts w:hint="eastAsia" w:ascii="仿宋_GB2312" w:hAnsi="Times New Roman" w:eastAsia="仿宋_GB2312" w:cs="仿宋_GB2312"/>
          <w:b w:val="0"/>
          <w:bCs w:val="0"/>
          <w:caps w:val="0"/>
          <w:color w:val="auto"/>
          <w:kern w:val="0"/>
          <w:sz w:val="32"/>
          <w:szCs w:val="32"/>
          <w:vertAlign w:val="baseline"/>
          <w:lang w:val="en-US" w:eastAsia="zh-CN" w:bidi="ar"/>
        </w:rPr>
        <w:t xml:space="preserve"> %。自评发现的主要问题及原因：</w:t>
      </w:r>
      <w:r>
        <w:rPr>
          <w:rFonts w:hint="eastAsia" w:ascii="仿宋_GB2312" w:hAnsi="Times New Roman" w:eastAsia="仿宋_GB2312" w:cs="仿宋_GB2312"/>
          <w:b w:val="0"/>
          <w:bCs w:val="0"/>
          <w:caps w:val="0"/>
          <w:color w:val="FF0000"/>
          <w:kern w:val="0"/>
          <w:sz w:val="32"/>
          <w:szCs w:val="32"/>
          <w:vertAlign w:val="baseline"/>
          <w:lang w:val="en-US" w:eastAsia="zh-CN" w:bidi="ar"/>
        </w:rPr>
        <w:t>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FF0000"/>
          <w:kern w:val="0"/>
          <w:sz w:val="32"/>
          <w:szCs w:val="32"/>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（2）部分重点项目绩效自评情况：根据年初设定的绩效目标，10个项目自评得分为97.68分，一等，项目全年预算数为57.83万元，执行数为29.40万元，完成预算的50.84%。项目绩效目标完成情况：全年项目支出</w:t>
      </w:r>
      <w:r>
        <w:rPr>
          <w:rFonts w:hint="eastAsia" w:ascii="仿宋" w:hAnsi="仿宋" w:eastAsia="仿宋" w:cs="仿宋"/>
          <w:kern w:val="0"/>
          <w:sz w:val="32"/>
          <w:szCs w:val="32"/>
        </w:rPr>
        <w:t>绩效情况理想，达到项目申请时设定的各项绩效目标。社会公众或服务对象满意度达9</w:t>
      </w: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%以上。</w:t>
      </w:r>
      <w:r>
        <w:rPr>
          <w:rFonts w:hint="eastAsia" w:ascii="仿宋_GB2312" w:hAnsi="Times New Roman" w:eastAsia="仿宋_GB2312" w:cs="仿宋_GB2312"/>
          <w:b w:val="0"/>
          <w:bCs w:val="0"/>
          <w:caps w:val="0"/>
          <w:color w:val="auto"/>
          <w:kern w:val="0"/>
          <w:sz w:val="32"/>
          <w:szCs w:val="32"/>
          <w:vertAlign w:val="baseline"/>
          <w:lang w:val="en-US" w:eastAsia="zh-CN" w:bidi="ar"/>
        </w:rPr>
        <w:t>自评发现的主要问题及原因：</w:t>
      </w:r>
      <w:r>
        <w:rPr>
          <w:rFonts w:hint="eastAsia" w:ascii="仿宋_GB2312" w:hAnsi="Times New Roman" w:eastAsia="仿宋_GB2312" w:cs="仿宋_GB2312"/>
          <w:b w:val="0"/>
          <w:bCs w:val="0"/>
          <w:caps w:val="0"/>
          <w:color w:val="FF0000"/>
          <w:kern w:val="0"/>
          <w:sz w:val="32"/>
          <w:szCs w:val="32"/>
          <w:vertAlign w:val="baseline"/>
          <w:lang w:val="en-US" w:eastAsia="zh-CN" w:bidi="ar"/>
        </w:rPr>
        <w:t>财政资金紧张无法及时支付项目款。</w:t>
      </w:r>
    </w:p>
    <w:p>
      <w:pPr>
        <w:keepNext w:val="0"/>
        <w:keepLines w:val="0"/>
        <w:pageBreakBefore w:val="0"/>
        <w:widowControl w:val="0"/>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eastAsia="仿宋_GB2312" w:cs="仿宋_GB2312"/>
          <w:caps w:val="0"/>
          <w:color w:val="auto"/>
          <w:kern w:val="0"/>
          <w:sz w:val="32"/>
          <w:szCs w:val="32"/>
          <w:highlight w:val="lightGray"/>
          <w:vertAlign w:val="baseline"/>
          <w:lang w:eastAsia="zh-CN" w:bidi="ar"/>
        </w:rPr>
      </w:pPr>
      <w:r>
        <w:rPr>
          <w:rFonts w:hint="eastAsia" w:ascii="仿宋_GB2312" w:hAnsi="Times New Roman" w:eastAsia="仿宋_GB2312" w:cs="仿宋_GB2312"/>
          <w:b w:val="0"/>
          <w:bCs w:val="0"/>
          <w:caps w:val="0"/>
          <w:color w:val="auto"/>
          <w:kern w:val="0"/>
          <w:sz w:val="32"/>
          <w:szCs w:val="32"/>
          <w:vertAlign w:val="baseline"/>
          <w:lang w:val="en-US" w:eastAsia="zh-CN" w:bidi="ar"/>
        </w:rPr>
        <w:t>3.部门绩效评价结果。</w:t>
      </w:r>
    </w:p>
    <w:p>
      <w:pPr>
        <w:pStyle w:val="5"/>
        <w:keepNext w:val="0"/>
        <w:keepLines w:val="0"/>
        <w:widowControl/>
        <w:suppressLineNumbers w:val="0"/>
        <w:spacing w:line="555" w:lineRule="atLeast"/>
        <w:ind w:left="0" w:firstLine="645"/>
        <w:rPr>
          <w:rFonts w:ascii="仿宋" w:hAnsi="仿宋" w:eastAsia="仿宋" w:cs="仿宋"/>
          <w:color w:val="000000" w:themeColor="text1"/>
          <w:kern w:val="0"/>
          <w:sz w:val="32"/>
          <w:szCs w:val="32"/>
          <w:u w:val="single"/>
          <w14:textFill>
            <w14:solidFill>
              <w14:schemeClr w14:val="tx1"/>
            </w14:solidFill>
          </w14:textFill>
        </w:rPr>
      </w:pP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组织对</w:t>
      </w:r>
      <w:r>
        <w:rPr>
          <w:rFonts w:hint="eastAsia" w:ascii="仿宋" w:hAnsi="仿宋" w:eastAsia="仿宋" w:cs="仿宋"/>
          <w:color w:val="000000" w:themeColor="text1"/>
          <w:sz w:val="32"/>
          <w:szCs w:val="32"/>
          <w14:textFill>
            <w14:solidFill>
              <w14:schemeClr w14:val="tx1"/>
            </w14:solidFill>
          </w14:textFill>
        </w:rPr>
        <w:t>“地方志资料年报收集工”</w:t>
      </w:r>
      <w:r>
        <w:rPr>
          <w:rFonts w:hint="eastAsia" w:ascii="仿宋_GB2312" w:hAnsi="Times New Roman" w:eastAsia="仿宋_GB2312" w:cs="仿宋_GB2312"/>
          <w:b w:val="0"/>
          <w:bCs w:val="0"/>
          <w:caps w:val="0"/>
          <w:color w:val="000000" w:themeColor="text1"/>
          <w:kern w:val="0"/>
          <w:sz w:val="32"/>
          <w:szCs w:val="32"/>
          <w:vertAlign w:val="baseline"/>
          <w:lang w:val="en-US" w:eastAsia="zh-CN" w:bidi="ar"/>
          <w14:textFill>
            <w14:solidFill>
              <w14:schemeClr w14:val="tx1"/>
            </w14:solidFill>
          </w14:textFill>
        </w:rPr>
        <w:t>等1个重点项目进行了部门评价，评价结果为一等，涉及资金1.85万元。</w:t>
      </w:r>
      <w:r>
        <w:rPr>
          <w:rFonts w:hint="default" w:ascii="仿宋_GB2312" w:hAnsi="微软雅黑" w:eastAsia="仿宋_GB2312" w:cs="仿宋_GB2312"/>
          <w:color w:val="333333"/>
          <w:sz w:val="31"/>
          <w:szCs w:val="31"/>
          <w:shd w:val="clear" w:color="auto" w:fill="FFFFFF"/>
        </w:rPr>
        <w:t>从评价情况来看一年来，本部门各单位能认真履行职责，做好统筹协调、各类重要工作文稿起草、重要会议服务、督查、机要、保密、信息、后勤服务等工作；工作经费及时落实到位，保证了各项工作的按时、有序开展；业务管理和财务管理制度比较健全，并能得到贯彻执行，整体支出绩效评价效果较好，达到了预期目标。</w:t>
      </w:r>
    </w:p>
    <w:p>
      <w:pPr>
        <w:keepNext w:val="0"/>
        <w:keepLines w:val="0"/>
        <w:pageBreakBefore w:val="0"/>
        <w:widowControl w:val="0"/>
        <w:numPr>
          <w:ilvl w:val="0"/>
          <w:numId w:val="3"/>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t>财政绩效评价结果。无。</w:t>
      </w:r>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p>
    <w:p>
      <w:pPr>
        <w:keepNext w:val="0"/>
        <w:keepLines w:val="0"/>
        <w:pageBreakBefore w:val="0"/>
        <w:widowControl w:val="0"/>
        <w:numPr>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textAlignment w:val="auto"/>
        <w:outlineLvl w:val="9"/>
        <w:rPr>
          <w:rFonts w:hint="eastAsia" w:ascii="仿宋_GB2312" w:hAnsi="Times New Roman" w:eastAsia="仿宋_GB2312" w:cs="仿宋_GB2312"/>
          <w:caps w:val="0"/>
          <w:color w:val="auto"/>
          <w:kern w:val="0"/>
          <w:sz w:val="32"/>
          <w:szCs w:val="32"/>
          <w:vertAlign w:val="baseline"/>
          <w:lang w:val="en-US" w:eastAsia="zh-CN" w:bidi="ar"/>
        </w:rPr>
      </w:pPr>
      <w:r>
        <w:rPr>
          <w:rFonts w:hint="eastAsia" w:ascii="仿宋_GB2312" w:hAnsi="Times New Roman" w:eastAsia="仿宋_GB2312" w:cs="仿宋_GB2312"/>
          <w:caps w:val="0"/>
          <w:color w:val="auto"/>
          <w:kern w:val="0"/>
          <w:sz w:val="32"/>
          <w:szCs w:val="32"/>
          <w:vertAlign w:val="baseline"/>
          <w:lang w:val="en-US" w:eastAsia="zh-CN" w:bidi="ar"/>
        </w:rPr>
        <w:object>
          <v:shape id="_x0000_i1027" o:spt="75" alt="" type="#_x0000_t75" style="height:25.5pt;width:99.45pt;" o:ole="t" filled="f" o:preferrelative="t" stroked="f" coordsize="21600,21600">
            <v:path/>
            <v:fill on="f" focussize="0,0"/>
            <v:stroke on="f"/>
            <v:imagedata r:id="rId17" o:title=""/>
            <o:lock v:ext="edit" aspectratio="t"/>
            <w10:wrap type="none"/>
            <w10:anchorlock/>
          </v:shape>
          <o:OLEObject Type="Embed" ProgID="Package" ShapeID="_x0000_i1027" DrawAspect="Content" ObjectID="_1468075725" r:id="rId16">
            <o:LockedField>false</o:LockedField>
          </o:OLEObject>
        </w:object>
      </w:r>
      <w:bookmarkStart w:id="2" w:name="_GoBack"/>
      <w:bookmarkEnd w:id="2"/>
    </w:p>
    <w:p>
      <w:pPr>
        <w:keepNext w:val="0"/>
        <w:keepLines w:val="0"/>
        <w:pageBreakBefore w:val="0"/>
        <w:widowControl w:val="0"/>
        <w:numPr>
          <w:ilvl w:val="0"/>
          <w:numId w:val="0"/>
        </w:numPr>
        <w:suppressLineNumbers w:val="0"/>
        <w:suppressAutoHyphens w:val="0"/>
        <w:kinsoku/>
        <w:wordWrap/>
        <w:overflowPunct/>
        <w:topLinePunct w:val="0"/>
        <w:autoSpaceDE w:val="0"/>
        <w:autoSpaceDN w:val="0"/>
        <w:bidi w:val="0"/>
        <w:adjustRightInd w:val="0"/>
        <w:snapToGrid/>
        <w:spacing w:before="0" w:beforeAutospacing="0" w:after="0" w:afterAutospacing="0" w:line="560" w:lineRule="exact"/>
        <w:ind w:leftChars="200" w:right="0" w:rightChars="0"/>
        <w:jc w:val="both"/>
        <w:textAlignment w:val="auto"/>
        <w:outlineLvl w:val="9"/>
        <w:rPr>
          <w:rFonts w:hint="default" w:ascii="仿宋_GB2312" w:hAnsi="Times New Roman" w:eastAsia="仿宋_GB2312" w:cs="仿宋_GB2312"/>
          <w:caps w:val="0"/>
          <w:color w:val="auto"/>
          <w:kern w:val="0"/>
          <w:sz w:val="32"/>
          <w:szCs w:val="32"/>
          <w:vertAlign w:val="baseline"/>
          <w:lang w:val="en-US" w:eastAsia="zh-CN" w:bidi="ar"/>
        </w:r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河池市财政部门当年拨付的资金。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河池市财政预决算管理的“三公”经费，是指河池市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09CC1CDB"/>
    <w:multiLevelType w:val="singleLevel"/>
    <w:tmpl w:val="09CC1CDB"/>
    <w:lvl w:ilvl="0" w:tentative="0">
      <w:start w:val="4"/>
      <w:numFmt w:val="decimal"/>
      <w:lvlText w:val="%1."/>
      <w:lvlJc w:val="left"/>
      <w:pPr>
        <w:tabs>
          <w:tab w:val="left"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U4ZGYxMThhZTUzZjQ0YTUwZjA4ODNmZmZiY2NlZT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5A39CF"/>
    <w:rsid w:val="006123AD"/>
    <w:rsid w:val="00645B83"/>
    <w:rsid w:val="0066173C"/>
    <w:rsid w:val="006D677A"/>
    <w:rsid w:val="007640BB"/>
    <w:rsid w:val="00771953"/>
    <w:rsid w:val="007756C4"/>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3BB5DF4"/>
    <w:rsid w:val="04E54546"/>
    <w:rsid w:val="058938A1"/>
    <w:rsid w:val="05992762"/>
    <w:rsid w:val="07B0770E"/>
    <w:rsid w:val="08275C22"/>
    <w:rsid w:val="093E76C7"/>
    <w:rsid w:val="0942143F"/>
    <w:rsid w:val="0A427C4C"/>
    <w:rsid w:val="0A434869"/>
    <w:rsid w:val="0A851B85"/>
    <w:rsid w:val="0CC223BD"/>
    <w:rsid w:val="0D100297"/>
    <w:rsid w:val="0D202B45"/>
    <w:rsid w:val="0E4312DC"/>
    <w:rsid w:val="0F8D4C87"/>
    <w:rsid w:val="0FD562F9"/>
    <w:rsid w:val="10505FAA"/>
    <w:rsid w:val="105F7E7E"/>
    <w:rsid w:val="11845E93"/>
    <w:rsid w:val="11E56B5B"/>
    <w:rsid w:val="12413D84"/>
    <w:rsid w:val="125C77AB"/>
    <w:rsid w:val="12C329EB"/>
    <w:rsid w:val="14CB726E"/>
    <w:rsid w:val="15075321"/>
    <w:rsid w:val="16E7052D"/>
    <w:rsid w:val="17E92249"/>
    <w:rsid w:val="189B0B61"/>
    <w:rsid w:val="18D304F1"/>
    <w:rsid w:val="191D7D22"/>
    <w:rsid w:val="19F32577"/>
    <w:rsid w:val="19F45B80"/>
    <w:rsid w:val="1A4E5290"/>
    <w:rsid w:val="1A6F14AB"/>
    <w:rsid w:val="1B0C078D"/>
    <w:rsid w:val="1B2B31E2"/>
    <w:rsid w:val="1B4C295A"/>
    <w:rsid w:val="1B973C63"/>
    <w:rsid w:val="1BA1001E"/>
    <w:rsid w:val="1C444B9D"/>
    <w:rsid w:val="1D317259"/>
    <w:rsid w:val="1E664F5B"/>
    <w:rsid w:val="1EB34BE1"/>
    <w:rsid w:val="20DF4E94"/>
    <w:rsid w:val="215E639F"/>
    <w:rsid w:val="21EC3183"/>
    <w:rsid w:val="225E72CD"/>
    <w:rsid w:val="22BD1205"/>
    <w:rsid w:val="22E744D4"/>
    <w:rsid w:val="23305048"/>
    <w:rsid w:val="233970C0"/>
    <w:rsid w:val="246E2F77"/>
    <w:rsid w:val="254B4E2B"/>
    <w:rsid w:val="25723843"/>
    <w:rsid w:val="25945D19"/>
    <w:rsid w:val="264B6F50"/>
    <w:rsid w:val="276854B7"/>
    <w:rsid w:val="283D7C94"/>
    <w:rsid w:val="28E55EF9"/>
    <w:rsid w:val="29480E03"/>
    <w:rsid w:val="2983634D"/>
    <w:rsid w:val="2BB02055"/>
    <w:rsid w:val="2BBB64FD"/>
    <w:rsid w:val="2C575A56"/>
    <w:rsid w:val="2C6E0973"/>
    <w:rsid w:val="2CF021D7"/>
    <w:rsid w:val="2E80144E"/>
    <w:rsid w:val="2F257714"/>
    <w:rsid w:val="2F3275E5"/>
    <w:rsid w:val="30AA08EF"/>
    <w:rsid w:val="30D23D1C"/>
    <w:rsid w:val="31221CF5"/>
    <w:rsid w:val="31400178"/>
    <w:rsid w:val="31554CFE"/>
    <w:rsid w:val="321E3342"/>
    <w:rsid w:val="327759C8"/>
    <w:rsid w:val="328F5FEE"/>
    <w:rsid w:val="33185FE3"/>
    <w:rsid w:val="33BE27AA"/>
    <w:rsid w:val="34045D2D"/>
    <w:rsid w:val="34D43519"/>
    <w:rsid w:val="34EE2E36"/>
    <w:rsid w:val="36777241"/>
    <w:rsid w:val="379404EC"/>
    <w:rsid w:val="37AE6F16"/>
    <w:rsid w:val="386B5844"/>
    <w:rsid w:val="38A951DB"/>
    <w:rsid w:val="38B31605"/>
    <w:rsid w:val="39003F4F"/>
    <w:rsid w:val="3A6A1ED9"/>
    <w:rsid w:val="3BC46D08"/>
    <w:rsid w:val="3C07002B"/>
    <w:rsid w:val="3CFE26EE"/>
    <w:rsid w:val="3D0D152A"/>
    <w:rsid w:val="3D826E7B"/>
    <w:rsid w:val="3DF62756"/>
    <w:rsid w:val="3F1B7587"/>
    <w:rsid w:val="40CD48B1"/>
    <w:rsid w:val="41E57B4F"/>
    <w:rsid w:val="42693067"/>
    <w:rsid w:val="432F26F6"/>
    <w:rsid w:val="43880F63"/>
    <w:rsid w:val="441C5A6F"/>
    <w:rsid w:val="44C44FCC"/>
    <w:rsid w:val="44CC7369"/>
    <w:rsid w:val="45344EFF"/>
    <w:rsid w:val="45401AF6"/>
    <w:rsid w:val="457F5108"/>
    <w:rsid w:val="466A4950"/>
    <w:rsid w:val="46951B6B"/>
    <w:rsid w:val="4832453B"/>
    <w:rsid w:val="4877476B"/>
    <w:rsid w:val="49262DB0"/>
    <w:rsid w:val="49A34401"/>
    <w:rsid w:val="4A3E30AB"/>
    <w:rsid w:val="4A5D40C0"/>
    <w:rsid w:val="4AC14DAC"/>
    <w:rsid w:val="4B1A06F3"/>
    <w:rsid w:val="4D154C85"/>
    <w:rsid w:val="4DCD0B4D"/>
    <w:rsid w:val="4EC8553A"/>
    <w:rsid w:val="4FBC621D"/>
    <w:rsid w:val="508F4E24"/>
    <w:rsid w:val="51461E90"/>
    <w:rsid w:val="51463753"/>
    <w:rsid w:val="518360A8"/>
    <w:rsid w:val="52553A93"/>
    <w:rsid w:val="53521F8B"/>
    <w:rsid w:val="53E22F47"/>
    <w:rsid w:val="54077C82"/>
    <w:rsid w:val="54522FF8"/>
    <w:rsid w:val="54F038B3"/>
    <w:rsid w:val="552F624E"/>
    <w:rsid w:val="553E69A8"/>
    <w:rsid w:val="55450629"/>
    <w:rsid w:val="56692963"/>
    <w:rsid w:val="568B0F48"/>
    <w:rsid w:val="577613A7"/>
    <w:rsid w:val="5786217B"/>
    <w:rsid w:val="57F16C7F"/>
    <w:rsid w:val="583077A8"/>
    <w:rsid w:val="59337A15"/>
    <w:rsid w:val="59810274"/>
    <w:rsid w:val="59D40607"/>
    <w:rsid w:val="5B8027F4"/>
    <w:rsid w:val="5CA96A00"/>
    <w:rsid w:val="5CAB1E33"/>
    <w:rsid w:val="5CF730BC"/>
    <w:rsid w:val="5E5F0DCE"/>
    <w:rsid w:val="5EE50BC0"/>
    <w:rsid w:val="5F117C85"/>
    <w:rsid w:val="5FA40A7B"/>
    <w:rsid w:val="5FD56D29"/>
    <w:rsid w:val="5FEC7F3F"/>
    <w:rsid w:val="60F74BC3"/>
    <w:rsid w:val="617D3BF8"/>
    <w:rsid w:val="61841F6A"/>
    <w:rsid w:val="623007A9"/>
    <w:rsid w:val="637D7558"/>
    <w:rsid w:val="63AB23D8"/>
    <w:rsid w:val="644F19AC"/>
    <w:rsid w:val="64E67277"/>
    <w:rsid w:val="657333CA"/>
    <w:rsid w:val="65AA4920"/>
    <w:rsid w:val="65B55790"/>
    <w:rsid w:val="66F53345"/>
    <w:rsid w:val="6723497B"/>
    <w:rsid w:val="67694F1E"/>
    <w:rsid w:val="68B27D65"/>
    <w:rsid w:val="69597934"/>
    <w:rsid w:val="69FA7C16"/>
    <w:rsid w:val="6B964DDC"/>
    <w:rsid w:val="6C38721E"/>
    <w:rsid w:val="6C783074"/>
    <w:rsid w:val="6D9E65C6"/>
    <w:rsid w:val="6DA81947"/>
    <w:rsid w:val="6E3B6A4F"/>
    <w:rsid w:val="6EB66DE2"/>
    <w:rsid w:val="6ED3075F"/>
    <w:rsid w:val="6F2A2D4B"/>
    <w:rsid w:val="6F8A0C1E"/>
    <w:rsid w:val="703F45D4"/>
    <w:rsid w:val="715D6546"/>
    <w:rsid w:val="71B96608"/>
    <w:rsid w:val="71BE069E"/>
    <w:rsid w:val="73953409"/>
    <w:rsid w:val="73C44DF0"/>
    <w:rsid w:val="73E069A3"/>
    <w:rsid w:val="74940C67"/>
    <w:rsid w:val="749F036B"/>
    <w:rsid w:val="76D17F50"/>
    <w:rsid w:val="78104AA8"/>
    <w:rsid w:val="78E257C5"/>
    <w:rsid w:val="794B35BE"/>
    <w:rsid w:val="7AB45BBF"/>
    <w:rsid w:val="7B0A3A31"/>
    <w:rsid w:val="7B3360ED"/>
    <w:rsid w:val="7B5319F3"/>
    <w:rsid w:val="7BB36F3F"/>
    <w:rsid w:val="7BDF037E"/>
    <w:rsid w:val="7BF50948"/>
    <w:rsid w:val="7C5E5DE2"/>
    <w:rsid w:val="7CE66A78"/>
    <w:rsid w:val="7D23564C"/>
    <w:rsid w:val="7D5E062D"/>
    <w:rsid w:val="7DF76CD8"/>
    <w:rsid w:val="7E6D055E"/>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3"/>
    <w:qFormat/>
    <w:uiPriority w:val="0"/>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i/>
    </w:rPr>
  </w:style>
  <w:style w:type="character" w:styleId="11">
    <w:name w:val="Hyperlink"/>
    <w:basedOn w:val="7"/>
    <w:qFormat/>
    <w:uiPriority w:val="0"/>
    <w:rPr>
      <w:color w:val="333333"/>
      <w:u w:val="none"/>
    </w:rPr>
  </w:style>
  <w:style w:type="character" w:customStyle="1" w:styleId="12">
    <w:name w:val="页眉 Char"/>
    <w:basedOn w:val="7"/>
    <w:link w:val="4"/>
    <w:qFormat/>
    <w:uiPriority w:val="0"/>
    <w:rPr>
      <w:rFonts w:asciiTheme="minorHAnsi" w:hAnsiTheme="minorHAnsi" w:eastAsiaTheme="minorEastAsia" w:cstheme="minorBidi"/>
      <w:kern w:val="2"/>
      <w:sz w:val="18"/>
      <w:szCs w:val="18"/>
    </w:rPr>
  </w:style>
  <w:style w:type="character" w:customStyle="1" w:styleId="13">
    <w:name w:val="页脚 Char"/>
    <w:basedOn w:val="7"/>
    <w:link w:val="3"/>
    <w:qFormat/>
    <w:uiPriority w:val="0"/>
    <w:rPr>
      <w:rFonts w:asciiTheme="minorHAnsi" w:hAnsiTheme="minorHAnsi" w:eastAsiaTheme="minorEastAsia" w:cstheme="minorBidi"/>
      <w:kern w:val="2"/>
      <w:sz w:val="18"/>
      <w:szCs w:val="18"/>
    </w:rPr>
  </w:style>
  <w:style w:type="paragraph" w:styleId="14">
    <w:name w:val="List Paragraph"/>
    <w:basedOn w:val="1"/>
    <w:qFormat/>
    <w:uiPriority w:val="99"/>
    <w:pPr>
      <w:ind w:firstLine="420" w:firstLineChars="200"/>
    </w:pPr>
  </w:style>
  <w:style w:type="character" w:customStyle="1" w:styleId="15">
    <w:name w:val="pages"/>
    <w:basedOn w:val="7"/>
    <w:qFormat/>
    <w:uiPriority w:val="0"/>
    <w:rPr>
      <w:color w:val="222222"/>
      <w:bdr w:val="single" w:color="DFDFDF" w:sz="6" w:space="0"/>
      <w:shd w:val="clear" w:fill="F9F9F9"/>
    </w:rPr>
  </w:style>
  <w:style w:type="character" w:customStyle="1" w:styleId="16">
    <w:name w:val="current"/>
    <w:basedOn w:val="7"/>
    <w:qFormat/>
    <w:uiPriority w:val="0"/>
    <w:rPr>
      <w:color w:val="FFFFFF"/>
      <w:shd w:val="clear" w:fill="00B2EE"/>
    </w:rPr>
  </w:style>
  <w:style w:type="character" w:customStyle="1" w:styleId="17">
    <w:name w:val="current1"/>
    <w:basedOn w:val="7"/>
    <w:qFormat/>
    <w:uiPriority w:val="0"/>
    <w:rPr>
      <w:bdr w:val="single" w:color="BBBBBB" w:sz="6" w:space="0"/>
      <w:shd w:val="clear" w:fill="EEEEEE"/>
    </w:rPr>
  </w:style>
  <w:style w:type="character" w:customStyle="1" w:styleId="18">
    <w:name w:val="extend"/>
    <w:basedOn w:val="7"/>
    <w:qFormat/>
    <w:uiPriority w:val="0"/>
    <w:rPr>
      <w:b/>
      <w:bCs/>
    </w:rPr>
  </w:style>
  <w:style w:type="character" w:customStyle="1" w:styleId="19">
    <w:name w:val="current2"/>
    <w:basedOn w:val="7"/>
    <w:qFormat/>
    <w:uiPriority w:val="0"/>
    <w:rPr>
      <w:bdr w:val="single" w:color="BBBBBB" w:sz="6" w:space="0"/>
      <w:shd w:val="clear" w:fill="EEEEEE"/>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emf"/><Relationship Id="rId16" Type="http://schemas.openxmlformats.org/officeDocument/2006/relationships/oleObject" Target="embeddings/oleObject1.bin"/><Relationship Id="rId15" Type="http://schemas.openxmlformats.org/officeDocument/2006/relationships/chart" Target="charts/chart9.xml"/><Relationship Id="rId14" Type="http://schemas.openxmlformats.org/officeDocument/2006/relationships/chart" Target="charts/chart8.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决算收入支出图表</a:t>
            </a:r>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其他收入</c:v>
                </c:pt>
              </c:strCache>
            </c:strRef>
          </c:cat>
          <c:val>
            <c:numRef>
              <c:f>Sheet1!$B$2:$B$3</c:f>
              <c:numCache>
                <c:formatCode>General</c:formatCode>
                <c:ptCount val="2"/>
                <c:pt idx="0">
                  <c:v>133.57</c:v>
                </c:pt>
                <c:pt idx="1">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2022年</c:v>
                </c:pt>
              </c:strCache>
            </c:strRef>
          </c:tx>
          <c:spPr>
            <a:solidFill>
              <a:schemeClr val="accent1"/>
            </a:solidFill>
            <a:ln>
              <a:noFill/>
            </a:ln>
            <a:effectLst/>
          </c:spPr>
          <c:invertIfNegative val="0"/>
          <c:dLbls>
            <c:delete val="1"/>
          </c:dLbls>
          <c:cat>
            <c:strRef>
              <c:f>Sheet1!$A$2:$A$5</c:f>
              <c:strCache>
                <c:ptCount val="4"/>
                <c:pt idx="0">
                  <c:v>一般公共服务支出</c:v>
                </c:pt>
                <c:pt idx="1">
                  <c:v>社会保障和就业支出</c:v>
                </c:pt>
                <c:pt idx="2">
                  <c:v>住房保障支出</c:v>
                </c:pt>
              </c:strCache>
            </c:strRef>
          </c:cat>
          <c:val>
            <c:numRef>
              <c:f>Sheet1!$B$2:$B$6</c:f>
              <c:numCache>
                <c:formatCode>General</c:formatCode>
                <c:ptCount val="5"/>
                <c:pt idx="0">
                  <c:v>98.2</c:v>
                </c:pt>
                <c:pt idx="1">
                  <c:v>8.52</c:v>
                </c:pt>
                <c:pt idx="2">
                  <c:v>6.41</c:v>
                </c:pt>
                <c:pt idx="4">
                  <c:v>12.56</c:v>
                </c:pt>
              </c:numCache>
            </c:numRef>
          </c:val>
        </c:ser>
        <c:ser>
          <c:idx val="1"/>
          <c:order val="1"/>
          <c:tx>
            <c:strRef>
              <c:f>Sheet1!$C$1</c:f>
              <c:strCache>
                <c:ptCount val="1"/>
                <c:pt idx="0">
                  <c:v>2023年</c:v>
                </c:pt>
              </c:strCache>
            </c:strRef>
          </c:tx>
          <c:spPr>
            <a:solidFill>
              <a:schemeClr val="accent2"/>
            </a:solidFill>
            <a:ln>
              <a:noFill/>
            </a:ln>
            <a:effectLst/>
          </c:spPr>
          <c:invertIfNegative val="0"/>
          <c:dLbls>
            <c:delete val="1"/>
          </c:dLbls>
          <c:cat>
            <c:strRef>
              <c:f>Sheet1!$A$2:$A$5</c:f>
              <c:strCache>
                <c:ptCount val="4"/>
                <c:pt idx="0">
                  <c:v>一般公共服务支出</c:v>
                </c:pt>
                <c:pt idx="1">
                  <c:v>社会保障和就业支出</c:v>
                </c:pt>
                <c:pt idx="2">
                  <c:v>住房保障支出</c:v>
                </c:pt>
              </c:strCache>
            </c:strRef>
          </c:cat>
          <c:val>
            <c:numRef>
              <c:f>Sheet1!$C$2:$C$6</c:f>
              <c:numCache>
                <c:formatCode>General</c:formatCode>
                <c:ptCount val="5"/>
                <c:pt idx="0">
                  <c:v>104.9</c:v>
                </c:pt>
                <c:pt idx="1">
                  <c:v>11.06</c:v>
                </c:pt>
                <c:pt idx="2">
                  <c:v>7.72</c:v>
                </c:pt>
                <c:pt idx="4">
                  <c:v>9.9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sz="1100"/>
              <a:t>一般公共服务支出</a:t>
            </a:r>
            <a:endParaRPr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Sheet1!$A$2:$A$10</c:f>
              <c:numCache>
                <c:formatCode>General</c:formatCode>
                <c:ptCount val="9"/>
                <c:pt idx="0">
                  <c:v>2010301</c:v>
                </c:pt>
                <c:pt idx="1">
                  <c:v>2010305</c:v>
                </c:pt>
                <c:pt idx="2">
                  <c:v>2010399</c:v>
                </c:pt>
                <c:pt idx="3">
                  <c:v>2012999</c:v>
                </c:pt>
              </c:numCache>
            </c:numRef>
          </c:cat>
          <c:val>
            <c:numRef>
              <c:f>Sheet1!$B$2:$B$10</c:f>
              <c:numCache>
                <c:formatCode>General</c:formatCode>
                <c:ptCount val="9"/>
                <c:pt idx="0">
                  <c:v>103.76</c:v>
                </c:pt>
                <c:pt idx="3">
                  <c:v>1.14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11.06</c:v>
                </c:pt>
                <c:pt idx="1">
                  <c:v>11.06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7.72</c:v>
                </c:pt>
                <c:pt idx="1">
                  <c:v>7.72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2299999</c:v>
                </c:pt>
                <c:pt idx="1">
                  <c:v>229x</c:v>
                </c:pt>
              </c:strCache>
            </c:strRef>
          </c:cat>
          <c:val>
            <c:numRef>
              <c:f>Sheet1!$B$2:$B$5</c:f>
              <c:numCache>
                <c:formatCode>General</c:formatCode>
                <c:ptCount val="4"/>
                <c:pt idx="0">
                  <c:v>9.9</c:v>
                </c:pt>
                <c:pt idx="1">
                  <c:v>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30101</c:v>
                </c:pt>
                <c:pt idx="1">
                  <c:v>30102</c:v>
                </c:pt>
                <c:pt idx="2">
                  <c:v>30103</c:v>
                </c:pt>
                <c:pt idx="3">
                  <c:v>30106</c:v>
                </c:pt>
                <c:pt idx="4">
                  <c:v>30108</c:v>
                </c:pt>
                <c:pt idx="5">
                  <c:v>30109</c:v>
                </c:pt>
                <c:pt idx="6">
                  <c:v>30110</c:v>
                </c:pt>
                <c:pt idx="7">
                  <c:v>30111</c:v>
                </c:pt>
                <c:pt idx="8">
                  <c:v>30112</c:v>
                </c:pt>
                <c:pt idx="9">
                  <c:v>30113</c:v>
                </c:pt>
                <c:pt idx="10">
                  <c:v>30114</c:v>
                </c:pt>
                <c:pt idx="11">
                  <c:v>30199</c:v>
                </c:pt>
              </c:numCache>
            </c:numRef>
          </c:cat>
          <c:val>
            <c:numRef>
              <c:f>Sheet1!$B$2:$B$13</c:f>
              <c:numCache>
                <c:formatCode>General</c:formatCode>
                <c:ptCount val="12"/>
                <c:pt idx="0">
                  <c:v>43.15</c:v>
                </c:pt>
                <c:pt idx="1">
                  <c:v>4.25</c:v>
                </c:pt>
                <c:pt idx="2">
                  <c:v>27.62</c:v>
                </c:pt>
                <c:pt idx="4">
                  <c:v>11.06</c:v>
                </c:pt>
                <c:pt idx="6">
                  <c:v>3.6</c:v>
                </c:pt>
                <c:pt idx="8">
                  <c:v>0.11</c:v>
                </c:pt>
                <c:pt idx="9">
                  <c:v>7.72</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0.47</c:v>
                </c:pt>
                <c:pt idx="4">
                  <c:v>0.01</c:v>
                </c:pt>
                <c:pt idx="5">
                  <c:v>0.1</c:v>
                </c:pt>
                <c:pt idx="6">
                  <c:v>0.91</c:v>
                </c:pt>
                <c:pt idx="9">
                  <c:v>0.5</c:v>
                </c:pt>
                <c:pt idx="21">
                  <c:v>1.13</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4">
                  <c:v>8.94</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33</Pages>
  <Words>1298</Words>
  <Characters>1430</Characters>
  <Lines>90</Lines>
  <Paragraphs>25</Paragraphs>
  <TotalTime>1</TotalTime>
  <ScaleCrop>false</ScaleCrop>
  <LinksUpToDate>false</LinksUpToDate>
  <CharactersWithSpaces>1457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snakeQ</cp:lastModifiedBy>
  <dcterms:modified xsi:type="dcterms:W3CDTF">2024-12-30T00:54:00Z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8165A941822E4D3080DFBABEF7AFC79A_13</vt:lpwstr>
  </property>
  <property fmtid="{D5CDD505-2E9C-101B-9397-08002B2CF9AE}" pid="4" name="KSOTemplateDocerSaveRecord">
    <vt:lpwstr>eyJoZGlkIjoiNGU4ZGYxMThhZTUzZjQ0YTUwZjA4ODNmZmZiY2NlZTMifQ==</vt:lpwstr>
  </property>
</Properties>
</file>