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center"/>
        <w:rPr>
          <w:rFonts w:hint="eastAsia" w:ascii="方正小标宋简体" w:hAnsi="黑体" w:eastAsia="方正小标宋简体"/>
          <w:b/>
          <w:bCs/>
          <w:color w:val="000000"/>
          <w:sz w:val="52"/>
          <w:szCs w:val="52"/>
          <w:lang w:eastAsia="zh-CN"/>
        </w:rPr>
      </w:pPr>
      <w:r>
        <w:rPr>
          <w:rFonts w:hint="eastAsia" w:ascii="方正小标宋简体" w:eastAsia="方正小标宋简体" w:cs="ArialUnicodeMS"/>
          <w:b/>
          <w:bCs/>
          <w:kern w:val="0"/>
          <w:sz w:val="52"/>
          <w:szCs w:val="52"/>
          <w:lang w:eastAsia="zh-CN"/>
        </w:rPr>
        <w:t>环江毛南族自治县</w:t>
      </w:r>
      <w:r>
        <w:rPr>
          <w:rFonts w:hint="eastAsia" w:ascii="方正小标宋简体" w:hAnsi="黑体" w:eastAsia="方正小标宋简体"/>
          <w:b/>
          <w:bCs/>
          <w:color w:val="000000"/>
          <w:sz w:val="52"/>
          <w:szCs w:val="52"/>
          <w:u w:val="none"/>
          <w:lang w:eastAsia="zh-CN"/>
        </w:rPr>
        <w:t>工商业联合会</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2日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keepNext w:val="0"/>
        <w:keepLines w:val="0"/>
        <w:pageBreakBefore w:val="0"/>
        <w:widowControl w:val="0"/>
        <w:kinsoku/>
        <w:wordWrap/>
        <w:overflowPunct/>
        <w:topLinePunct w:val="0"/>
        <w:bidi w:val="0"/>
        <w:snapToGrid/>
        <w:spacing w:line="52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val="en-US" w:eastAsia="zh-CN"/>
        </w:rPr>
        <w:t>部门</w:t>
      </w:r>
      <w:r>
        <w:rPr>
          <w:rFonts w:hint="eastAsia" w:ascii="黑体" w:hAnsi="黑体" w:eastAsia="黑体" w:cs="黑体"/>
          <w:sz w:val="32"/>
          <w:szCs w:val="32"/>
          <w:highlight w:val="none"/>
        </w:rPr>
        <w:t>概况</w:t>
      </w:r>
    </w:p>
    <w:p>
      <w:pPr>
        <w:spacing w:line="560" w:lineRule="exact"/>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本部门职责</w:t>
      </w:r>
    </w:p>
    <w:p>
      <w:pPr>
        <w:spacing w:line="560" w:lineRule="exact"/>
        <w:rPr>
          <w:rFonts w:ascii="仿宋" w:hAnsi="仿宋" w:eastAsia="仿宋" w:cs="仿宋"/>
          <w:sz w:val="32"/>
          <w:szCs w:val="32"/>
          <w:highlight w:val="none"/>
        </w:rPr>
      </w:pPr>
      <w:r>
        <w:rPr>
          <w:rFonts w:hint="eastAsia" w:ascii="仿宋_GB2312" w:eastAsia="仿宋_GB2312"/>
          <w:sz w:val="32"/>
          <w:szCs w:val="32"/>
        </w:rPr>
        <w:t>二、</w:t>
      </w:r>
      <w:r>
        <w:rPr>
          <w:rFonts w:hint="eastAsia" w:ascii="仿宋_GB2312" w:eastAsia="仿宋_GB2312"/>
          <w:sz w:val="32"/>
          <w:szCs w:val="32"/>
          <w:lang w:eastAsia="zh-CN"/>
        </w:rPr>
        <w:t>机构设置情况</w:t>
      </w:r>
    </w:p>
    <w:p>
      <w:pPr>
        <w:keepNext w:val="0"/>
        <w:keepLines w:val="0"/>
        <w:pageBreakBefore w:val="0"/>
        <w:widowControl w:val="0"/>
        <w:kinsoku/>
        <w:wordWrap/>
        <w:overflowPunct/>
        <w:topLinePunct w:val="0"/>
        <w:bidi w:val="0"/>
        <w:snapToGrid/>
        <w:spacing w:line="520" w:lineRule="exact"/>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第二部分：202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spacing w:line="560" w:lineRule="exact"/>
        <w:rPr>
          <w:rFonts w:hint="eastAsia" w:ascii="仿宋_GB2312" w:eastAsia="仿宋_GB2312"/>
          <w:sz w:val="32"/>
          <w:szCs w:val="32"/>
        </w:rPr>
      </w:pPr>
      <w:r>
        <w:rPr>
          <w:rFonts w:hint="eastAsia" w:ascii="仿宋_GB2312" w:eastAsia="仿宋_GB2312"/>
          <w:sz w:val="32"/>
          <w:szCs w:val="32"/>
        </w:rPr>
        <w:t>表一：收入支出决算总表</w:t>
      </w:r>
    </w:p>
    <w:p>
      <w:pPr>
        <w:spacing w:line="560" w:lineRule="exact"/>
        <w:rPr>
          <w:rFonts w:hint="eastAsia" w:ascii="仿宋_GB2312" w:eastAsia="仿宋_GB2312"/>
          <w:sz w:val="32"/>
          <w:szCs w:val="32"/>
        </w:rPr>
      </w:pPr>
      <w:r>
        <w:rPr>
          <w:rFonts w:hint="eastAsia" w:ascii="仿宋_GB2312" w:eastAsia="仿宋_GB2312"/>
          <w:sz w:val="32"/>
          <w:szCs w:val="32"/>
        </w:rPr>
        <w:t>表二：收入决算表</w:t>
      </w:r>
    </w:p>
    <w:p>
      <w:pPr>
        <w:spacing w:line="560" w:lineRule="exact"/>
        <w:rPr>
          <w:rFonts w:hint="eastAsia" w:ascii="仿宋_GB2312" w:eastAsia="仿宋_GB2312"/>
          <w:sz w:val="32"/>
          <w:szCs w:val="32"/>
        </w:rPr>
      </w:pPr>
      <w:r>
        <w:rPr>
          <w:rFonts w:hint="eastAsia" w:ascii="仿宋_GB2312" w:eastAsia="仿宋_GB2312"/>
          <w:sz w:val="32"/>
          <w:szCs w:val="32"/>
        </w:rPr>
        <w:t>表三：支出决算表</w:t>
      </w:r>
    </w:p>
    <w:p>
      <w:pPr>
        <w:spacing w:line="560" w:lineRule="exact"/>
        <w:rPr>
          <w:rFonts w:hint="eastAsia" w:ascii="仿宋_GB2312" w:eastAsia="仿宋_GB2312"/>
          <w:sz w:val="32"/>
          <w:szCs w:val="32"/>
        </w:rPr>
      </w:pPr>
      <w:r>
        <w:rPr>
          <w:rFonts w:hint="eastAsia" w:ascii="仿宋_GB2312" w:eastAsia="仿宋_GB2312"/>
          <w:sz w:val="32"/>
          <w:szCs w:val="32"/>
        </w:rPr>
        <w:t>表四：财政拨款收入支出决算总表</w:t>
      </w:r>
    </w:p>
    <w:p>
      <w:pPr>
        <w:spacing w:line="560" w:lineRule="exact"/>
        <w:rPr>
          <w:rFonts w:hint="eastAsia" w:ascii="仿宋_GB2312" w:eastAsia="仿宋_GB2312"/>
          <w:sz w:val="32"/>
          <w:szCs w:val="32"/>
        </w:rPr>
      </w:pPr>
      <w:r>
        <w:rPr>
          <w:rFonts w:hint="eastAsia" w:ascii="仿宋_GB2312" w:eastAsia="仿宋_GB2312"/>
          <w:sz w:val="32"/>
          <w:szCs w:val="32"/>
        </w:rPr>
        <w:t>表五：一般公共预算财政拨款支出决算表</w:t>
      </w:r>
    </w:p>
    <w:p>
      <w:pPr>
        <w:spacing w:line="560" w:lineRule="exact"/>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pPr>
        <w:spacing w:line="560" w:lineRule="exact"/>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pacing w:line="560" w:lineRule="exact"/>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keepNext w:val="0"/>
        <w:keepLines w:val="0"/>
        <w:pageBreakBefore w:val="0"/>
        <w:widowControl w:val="0"/>
        <w:kinsoku/>
        <w:wordWrap/>
        <w:overflowPunct/>
        <w:topLinePunct w:val="0"/>
        <w:bidi w:val="0"/>
        <w:snapToGrid/>
        <w:spacing w:line="520" w:lineRule="exact"/>
        <w:jc w:val="both"/>
        <w:textAlignment w:val="auto"/>
        <w:rPr>
          <w:rFonts w:hint="eastAsia" w:ascii="仿宋_GB2312" w:eastAsia="仿宋_GB2312"/>
          <w:sz w:val="32"/>
          <w:szCs w:val="32"/>
        </w:rPr>
      </w:pPr>
      <w:r>
        <w:rPr>
          <w:rFonts w:hint="eastAsia" w:ascii="仿宋_GB2312" w:eastAsia="仿宋_GB2312"/>
          <w:sz w:val="32"/>
          <w:szCs w:val="32"/>
        </w:rPr>
        <w:t>表九：财政拨款安排的“三公”经费支出决算表</w:t>
      </w:r>
    </w:p>
    <w:p>
      <w:pPr>
        <w:keepNext w:val="0"/>
        <w:keepLines w:val="0"/>
        <w:pageBreakBefore w:val="0"/>
        <w:widowControl w:val="0"/>
        <w:kinsoku/>
        <w:wordWrap/>
        <w:overflowPunct/>
        <w:topLinePunct w:val="0"/>
        <w:bidi w:val="0"/>
        <w:snapToGrid/>
        <w:spacing w:line="52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第三部分：202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年度国有资本经营预算支出决算情况</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pPr>
        <w:keepNext w:val="0"/>
        <w:keepLines w:val="0"/>
        <w:pageBreakBefore w:val="0"/>
        <w:widowControl w:val="0"/>
        <w:kinsoku/>
        <w:wordWrap/>
        <w:overflowPunct/>
        <w:topLinePunct w:val="0"/>
        <w:bidi w:val="0"/>
        <w:snapToGrid/>
        <w:spacing w:line="520" w:lineRule="exact"/>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szCs w:val="32"/>
          <w:highlight w:val="none"/>
          <w:lang w:eastAsia="zh-CN"/>
        </w:rPr>
        <w:t>环江毛南族自治县工商业联合会</w:t>
      </w:r>
      <w:r>
        <w:rPr>
          <w:rFonts w:hint="eastAsia" w:ascii="黑体" w:hAnsi="黑体" w:eastAsia="黑体" w:cs="黑体"/>
          <w:b/>
          <w:bCs/>
          <w:sz w:val="32"/>
          <w:szCs w:val="32"/>
          <w:highlight w:val="none"/>
        </w:rPr>
        <w:t>概况</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lang w:eastAsia="zh-CN"/>
        </w:rPr>
        <w:t>本部门职责</w:t>
      </w:r>
    </w:p>
    <w:p>
      <w:pPr>
        <w:pStyle w:val="5"/>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Verdana" w:eastAsia="仿宋_GB2312"/>
          <w:color w:val="000000"/>
          <w:sz w:val="32"/>
          <w:szCs w:val="32"/>
          <w:shd w:val="clear" w:color="auto" w:fill="FFFFFF"/>
        </w:rPr>
      </w:pPr>
      <w:r>
        <w:rPr>
          <w:rFonts w:hint="eastAsia" w:ascii="仿宋_GB2312" w:hAnsi="Verdana" w:eastAsia="仿宋_GB2312"/>
          <w:color w:val="000000"/>
          <w:sz w:val="32"/>
          <w:szCs w:val="32"/>
          <w:shd w:val="clear" w:color="auto" w:fill="FFFFFF"/>
          <w:lang w:eastAsia="zh-CN"/>
        </w:rPr>
        <w:t>环江毛南族自治县工商业联合会</w:t>
      </w:r>
      <w:r>
        <w:rPr>
          <w:rFonts w:hint="eastAsia" w:ascii="仿宋_GB2312" w:hAnsi="Verdana" w:eastAsia="仿宋_GB2312"/>
          <w:color w:val="000000"/>
          <w:sz w:val="32"/>
          <w:szCs w:val="32"/>
          <w:shd w:val="clear" w:color="auto" w:fill="FFFFFF"/>
        </w:rPr>
        <w:t>是中国共产党领导的面向工商界、以非公有制企业和非公有制经济人士为主体的人民团体和商会组织，是党和政府联系非公有制经济人士的桥梁 和纽带，是政府管理和服务非公有制经济的助手。工商联的主要工作内容有：</w:t>
      </w:r>
    </w:p>
    <w:p>
      <w:pPr>
        <w:pStyle w:val="5"/>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ascii="Verdana" w:hAnsi="Verdana" w:eastAsia="微软雅黑"/>
          <w:color w:val="000000"/>
          <w:sz w:val="32"/>
          <w:szCs w:val="32"/>
        </w:rPr>
      </w:pPr>
      <w:r>
        <w:rPr>
          <w:rFonts w:hint="eastAsia" w:ascii="仿宋_GB2312" w:hAnsi="Verdana" w:eastAsia="仿宋_GB2312"/>
          <w:color w:val="000000"/>
          <w:sz w:val="32"/>
          <w:szCs w:val="32"/>
        </w:rPr>
        <w:t>1.参政议政，民主监督；</w:t>
      </w:r>
      <w:r>
        <w:rPr>
          <w:rFonts w:hint="eastAsia" w:ascii="仿宋_GB2312" w:hAnsi="Verdana" w:eastAsia="仿宋_GB2312"/>
          <w:color w:val="000000"/>
          <w:sz w:val="32"/>
          <w:szCs w:val="32"/>
        </w:rPr>
        <w:br w:type="textWrapping"/>
      </w:r>
      <w:r>
        <w:rPr>
          <w:rFonts w:hint="eastAsia" w:ascii="仿宋_GB2312" w:hAnsi="Verdana" w:eastAsia="仿宋_GB2312"/>
          <w:color w:val="000000"/>
          <w:sz w:val="32"/>
          <w:szCs w:val="32"/>
        </w:rPr>
        <w:t>     2.引导会员积极参加国家经济建设，推动社会主义市场经济体制逐步完善，促进社会全面进步；</w:t>
      </w:r>
      <w:r>
        <w:rPr>
          <w:rFonts w:hint="eastAsia" w:ascii="仿宋_GB2312" w:hAnsi="Verdana" w:eastAsia="仿宋_GB2312"/>
          <w:color w:val="000000"/>
          <w:sz w:val="32"/>
          <w:szCs w:val="32"/>
        </w:rPr>
        <w:br w:type="textWrapping"/>
      </w:r>
      <w:r>
        <w:rPr>
          <w:rFonts w:hint="eastAsia" w:ascii="仿宋_GB2312" w:hAnsi="Verdana" w:eastAsia="仿宋_GB2312"/>
          <w:color w:val="000000"/>
          <w:sz w:val="32"/>
          <w:szCs w:val="32"/>
        </w:rPr>
        <w:t>     3.做工商界代表人士政治安排的推荐工作；</w:t>
      </w:r>
      <w:r>
        <w:rPr>
          <w:rFonts w:hint="eastAsia" w:ascii="仿宋_GB2312" w:hAnsi="Verdana" w:eastAsia="仿宋_GB2312"/>
          <w:color w:val="000000"/>
          <w:sz w:val="32"/>
          <w:szCs w:val="32"/>
        </w:rPr>
        <w:br w:type="textWrapping"/>
      </w:r>
      <w:r>
        <w:rPr>
          <w:rFonts w:hint="eastAsia" w:ascii="仿宋_GB2312" w:hAnsi="Verdana" w:eastAsia="仿宋_GB2312"/>
          <w:color w:val="000000"/>
          <w:sz w:val="32"/>
          <w:szCs w:val="32"/>
        </w:rPr>
        <w:t>     4.在非公有制经济人士中，宣传、贯彻党和国家的方针政策，加强思想政治工作，推动企业文化建设，引导会员做中国特色社会主义事业的建设者；</w:t>
      </w:r>
      <w:r>
        <w:rPr>
          <w:rFonts w:hint="eastAsia" w:ascii="仿宋_GB2312" w:hAnsi="Verdana" w:eastAsia="仿宋_GB2312"/>
          <w:color w:val="000000"/>
          <w:sz w:val="32"/>
          <w:szCs w:val="32"/>
        </w:rPr>
        <w:br w:type="textWrapping"/>
      </w:r>
      <w:r>
        <w:rPr>
          <w:rFonts w:hint="eastAsia" w:ascii="仿宋_GB2312" w:hAnsi="Verdana" w:eastAsia="仿宋_GB2312"/>
          <w:color w:val="000000"/>
          <w:sz w:val="32"/>
          <w:szCs w:val="32"/>
        </w:rPr>
        <w:t>     5.代表并维护会员的合法权益，反映会员的意见、要求和建议；引导会员积极参与“光彩事业”；</w:t>
      </w:r>
      <w:r>
        <w:rPr>
          <w:rFonts w:hint="eastAsia" w:ascii="仿宋_GB2312" w:hAnsi="Verdana" w:eastAsia="仿宋_GB2312"/>
          <w:color w:val="000000"/>
          <w:sz w:val="32"/>
          <w:szCs w:val="32"/>
        </w:rPr>
        <w:br w:type="textWrapping"/>
      </w:r>
      <w:r>
        <w:rPr>
          <w:rFonts w:hint="eastAsia" w:ascii="仿宋_GB2312" w:hAnsi="Verdana" w:eastAsia="仿宋_GB2312"/>
          <w:color w:val="000000"/>
          <w:sz w:val="32"/>
          <w:szCs w:val="32"/>
        </w:rPr>
        <w:t>     6.为会员提供信息和科技、管理、法律、会计、审计、融资、咨询等服务；</w:t>
      </w:r>
      <w:r>
        <w:rPr>
          <w:rFonts w:hint="eastAsia" w:ascii="仿宋_GB2312" w:hAnsi="Verdana" w:eastAsia="仿宋_GB2312"/>
          <w:color w:val="000000"/>
          <w:sz w:val="32"/>
          <w:szCs w:val="32"/>
        </w:rPr>
        <w:br w:type="textWrapping"/>
      </w:r>
      <w:r>
        <w:rPr>
          <w:rFonts w:hint="eastAsia" w:ascii="仿宋_GB2312" w:hAnsi="Verdana" w:eastAsia="仿宋_GB2312"/>
          <w:color w:val="000000"/>
          <w:sz w:val="32"/>
          <w:szCs w:val="32"/>
        </w:rPr>
        <w:t>     7.开展工商专业培训，帮助会员改进经营管理，完善财会管理，提高生产技术和产品质量。</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lang w:eastAsia="zh-CN"/>
        </w:rPr>
        <w:t>机构设置情况</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eastAsia="仿宋_GB2312"/>
          <w:sz w:val="32"/>
          <w:szCs w:val="32"/>
          <w:lang w:eastAsia="zh-CN"/>
        </w:rPr>
        <w:t>环江毛南族自治县工商业联合会设</w:t>
      </w:r>
      <w:r>
        <w:rPr>
          <w:rFonts w:hint="eastAsia" w:ascii="仿宋_GB2312" w:hAnsi="仿宋_GB2312" w:eastAsia="仿宋_GB2312" w:cs="仿宋_GB2312"/>
          <w:color w:val="000000"/>
          <w:sz w:val="32"/>
          <w:szCs w:val="32"/>
          <w:lang w:eastAsia="zh-CN"/>
        </w:rPr>
        <w:t>设有一个办事机构——办公室。</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jc w:val="both"/>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人员编制总数为</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人，其中</w:t>
      </w:r>
      <w:r>
        <w:rPr>
          <w:rFonts w:hint="eastAsia" w:ascii="仿宋_GB2312" w:eastAsia="仿宋_GB2312" w:cs="仿宋_GB2312"/>
          <w:kern w:val="0"/>
          <w:sz w:val="32"/>
          <w:szCs w:val="32"/>
          <w:lang w:eastAsia="zh-CN"/>
        </w:rPr>
        <w:t>：行政编制</w:t>
      </w:r>
      <w:r>
        <w:rPr>
          <w:rFonts w:hint="eastAsia" w:ascii="仿宋_GB2312" w:eastAsia="仿宋_GB2312" w:cs="仿宋_GB2312"/>
          <w:kern w:val="0"/>
          <w:sz w:val="32"/>
          <w:szCs w:val="32"/>
          <w:lang w:val="en-US" w:eastAsia="zh-CN"/>
        </w:rPr>
        <w:t>3人，</w:t>
      </w:r>
      <w:r>
        <w:rPr>
          <w:rFonts w:hint="eastAsia" w:ascii="仿宋_GB2312" w:eastAsia="仿宋_GB2312"/>
          <w:color w:val="000000"/>
          <w:sz w:val="32"/>
          <w:szCs w:val="32"/>
        </w:rPr>
        <w:t>事业编制</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人，机关后勤服务中心聘用人员控制数</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人。实有财政供养人数</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人，其中</w:t>
      </w:r>
      <w:r>
        <w:rPr>
          <w:rFonts w:hint="eastAsia" w:ascii="仿宋_GB2312" w:eastAsia="仿宋_GB2312"/>
          <w:color w:val="000000"/>
          <w:sz w:val="32"/>
          <w:szCs w:val="32"/>
          <w:lang w:eastAsia="zh-CN"/>
        </w:rPr>
        <w:t>：</w:t>
      </w:r>
      <w:r>
        <w:rPr>
          <w:rFonts w:hint="eastAsia" w:ascii="仿宋_GB2312" w:eastAsia="仿宋_GB2312"/>
          <w:color w:val="000000"/>
          <w:sz w:val="32"/>
          <w:szCs w:val="32"/>
        </w:rPr>
        <w:t>行政在职</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人，事业在职</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人，离退休人员</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人（其中离休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人）。编外在职实有人数</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人。</w:t>
      </w:r>
      <w:r>
        <w:rPr>
          <w:rFonts w:hint="eastAsia" w:ascii="仿宋_GB2312" w:eastAsia="仿宋_GB2312"/>
          <w:color w:val="000000"/>
          <w:sz w:val="32"/>
          <w:szCs w:val="32"/>
          <w:lang w:eastAsia="zh-CN"/>
        </w:rPr>
        <w:t>具体情况如下：三个行政编制分别为主席、专职副主席、办公室人员各一名，编外人员为政府购买人员。</w:t>
      </w: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环</w:t>
      </w:r>
      <w:r>
        <w:rPr>
          <w:rFonts w:hint="eastAsia" w:ascii="黑体" w:hAnsi="黑体" w:eastAsia="黑体" w:cs="黑体"/>
          <w:sz w:val="32"/>
          <w:szCs w:val="32"/>
          <w:highlight w:val="none"/>
          <w:lang w:eastAsia="zh-CN"/>
        </w:rPr>
        <w:t>江毛南族自治县工商业联合会</w:t>
      </w:r>
      <w:r>
        <w:rPr>
          <w:rFonts w:hint="eastAsia" w:ascii="黑体" w:hAnsi="黑体" w:eastAsia="黑体" w:cs="黑体"/>
          <w:sz w:val="32"/>
          <w:szCs w:val="32"/>
          <w:highlight w:val="none"/>
        </w:rPr>
        <w:t xml:space="preserve"> 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jc w:val="center"/>
        <w:rPr>
          <w:rFonts w:hint="eastAsia" w:ascii="黑体" w:hAnsi="黑体" w:eastAsia="黑体" w:cs="黑体"/>
          <w:sz w:val="32"/>
          <w:szCs w:val="32"/>
          <w:highlight w:val="none"/>
        </w:rPr>
      </w:pPr>
    </w:p>
    <w:p>
      <w:pPr>
        <w:jc w:val="left"/>
        <w:rPr>
          <w:rFonts w:hint="eastAsia" w:ascii="黑体" w:hAnsi="黑体" w:eastAsia="黑体" w:cs="黑体"/>
          <w:b/>
          <w:bCs/>
          <w:sz w:val="32"/>
          <w:szCs w:val="32"/>
          <w:highlight w:val="none"/>
        </w:rPr>
      </w:pPr>
      <w:r>
        <w:rPr>
          <w:rFonts w:hint="eastAsia" w:ascii="仿宋" w:hAnsi="仿宋" w:eastAsia="仿宋" w:cs="仿宋"/>
          <w:b/>
          <w:bCs/>
          <w:sz w:val="32"/>
          <w:szCs w:val="32"/>
          <w:highlight w:val="none"/>
        </w:rPr>
        <w:t>表</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en-US" w:eastAsia="zh-CN"/>
        </w:rPr>
        <w:t>收入支出决算总表</w:t>
      </w: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4"/>
        <w:gridCol w:w="854"/>
        <w:gridCol w:w="997"/>
        <w:gridCol w:w="4578"/>
        <w:gridCol w:w="854"/>
        <w:gridCol w:w="1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07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部门：环江毛南族自治县工商业联合会</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jc w:val="both"/>
        <w:rPr>
          <w:rFonts w:hint="eastAsia" w:ascii="黑体" w:hAnsi="黑体" w:eastAsia="黑体" w:cs="黑体"/>
          <w:sz w:val="32"/>
          <w:szCs w:val="32"/>
          <w:highlight w:val="none"/>
        </w:rPr>
      </w:pPr>
    </w:p>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p>
      <w:pPr>
        <w:jc w:val="left"/>
        <w:rPr>
          <w:rFonts w:ascii="仿宋" w:hAnsi="仿宋" w:eastAsia="仿宋" w:cs="仿宋"/>
          <w:b/>
          <w:bCs/>
          <w:sz w:val="32"/>
          <w:szCs w:val="32"/>
          <w:highlight w:val="none"/>
        </w:rPr>
      </w:pPr>
      <w:r>
        <w:rPr>
          <w:rFonts w:hint="eastAsia" w:ascii="仿宋" w:hAnsi="仿宋" w:eastAsia="仿宋" w:cs="仿宋"/>
          <w:b/>
          <w:bCs/>
          <w:sz w:val="32"/>
          <w:szCs w:val="32"/>
          <w:highlight w:val="none"/>
        </w:rPr>
        <w:t>表</w:t>
      </w:r>
      <w:r>
        <w:rPr>
          <w:rFonts w:hint="eastAsia" w:ascii="仿宋" w:hAnsi="仿宋" w:eastAsia="仿宋" w:cs="仿宋"/>
          <w:b/>
          <w:bCs/>
          <w:sz w:val="32"/>
          <w:szCs w:val="32"/>
          <w:highlight w:val="none"/>
          <w:lang w:val="en-US" w:eastAsia="zh-CN"/>
        </w:rPr>
        <w:t>二</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en-US" w:eastAsia="zh-CN"/>
        </w:rPr>
        <w:t>收入决算表</w:t>
      </w:r>
    </w:p>
    <w:tbl>
      <w:tblPr>
        <w:tblStyle w:val="6"/>
        <w:tblW w:w="17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5003"/>
        <w:gridCol w:w="1722"/>
        <w:gridCol w:w="1722"/>
        <w:gridCol w:w="1497"/>
        <w:gridCol w:w="1497"/>
        <w:gridCol w:w="1497"/>
        <w:gridCol w:w="1497"/>
        <w:gridCol w:w="2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17520"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10"/>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部门：环江毛南族自治县工商业联合会</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参政议政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1"/>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jc w:val="center"/>
        <w:rPr>
          <w:rFonts w:ascii="仿宋" w:hAnsi="仿宋" w:eastAsia="仿宋" w:cs="仿宋"/>
          <w:b/>
          <w:bCs/>
          <w:sz w:val="32"/>
          <w:szCs w:val="32"/>
          <w:highlight w:val="none"/>
        </w:rPr>
      </w:pPr>
    </w:p>
    <w:p>
      <w:pPr>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表三：支出决算表</w:t>
      </w:r>
    </w:p>
    <w:tbl>
      <w:tblPr>
        <w:tblStyle w:val="6"/>
        <w:tblW w:w="14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8"/>
        <w:gridCol w:w="4846"/>
        <w:gridCol w:w="1505"/>
        <w:gridCol w:w="1505"/>
        <w:gridCol w:w="1389"/>
        <w:gridCol w:w="1156"/>
        <w:gridCol w:w="1156"/>
        <w:gridCol w:w="2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4660"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部门：环江毛南族自治县工商业联合会</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34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4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97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2"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49"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9"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8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4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4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7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参政议政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0" w:type="auto"/>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表四：财政拨款收入支出决算总表</w:t>
      </w:r>
    </w:p>
    <w:tbl>
      <w:tblPr>
        <w:tblStyle w:val="6"/>
        <w:tblW w:w="14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95"/>
        <w:gridCol w:w="542"/>
        <w:gridCol w:w="1302"/>
        <w:gridCol w:w="4090"/>
        <w:gridCol w:w="542"/>
        <w:gridCol w:w="851"/>
        <w:gridCol w:w="1302"/>
        <w:gridCol w:w="992"/>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480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部门：环江毛南族自治县工商业联合会</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353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3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84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3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5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84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0" w:type="auto"/>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sz="4" w:space="0"/>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bl>
    <w:p>
      <w:pPr>
        <w:jc w:val="left"/>
        <w:rPr>
          <w:rFonts w:hint="eastAsia" w:ascii="仿宋" w:hAnsi="仿宋" w:eastAsia="仿宋" w:cs="仿宋"/>
          <w:sz w:val="24"/>
          <w:highlight w:val="none"/>
        </w:rPr>
      </w:pPr>
    </w:p>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表五：一般公共预算财政拨款支出决算表</w:t>
      </w:r>
    </w:p>
    <w:tbl>
      <w:tblPr>
        <w:tblStyle w:val="6"/>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5091"/>
        <w:gridCol w:w="2570"/>
        <w:gridCol w:w="2488"/>
        <w:gridCol w:w="37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76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部门：环江毛南族自治县工商业联合会</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8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9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参政议政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jc w:val="left"/>
        <w:rPr>
          <w:rFonts w:hint="eastAsia"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表六：一般公共预算财政拨款基本支出决算表</w:t>
      </w:r>
    </w:p>
    <w:tbl>
      <w:tblPr>
        <w:tblStyle w:val="6"/>
        <w:tblW w:w="13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7"/>
        <w:gridCol w:w="3165"/>
        <w:gridCol w:w="708"/>
        <w:gridCol w:w="708"/>
        <w:gridCol w:w="2182"/>
        <w:gridCol w:w="609"/>
        <w:gridCol w:w="708"/>
        <w:gridCol w:w="3952"/>
        <w:gridCol w:w="13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382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0" w:type="auto"/>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部门：环江毛南族自治县工商业联合会</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13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1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1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1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51.04</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表</w:t>
      </w:r>
      <w:r>
        <w:rPr>
          <w:rFonts w:hint="eastAsia" w:ascii="仿宋" w:hAnsi="仿宋" w:eastAsia="仿宋" w:cs="仿宋"/>
          <w:b/>
          <w:bCs/>
          <w:sz w:val="32"/>
          <w:szCs w:val="32"/>
          <w:highlight w:val="none"/>
          <w:lang w:val="en-US" w:eastAsia="zh-CN"/>
        </w:rPr>
        <w:t>七</w:t>
      </w:r>
      <w:r>
        <w:rPr>
          <w:rFonts w:hint="eastAsia" w:ascii="仿宋" w:hAnsi="仿宋" w:eastAsia="仿宋" w:cs="仿宋"/>
          <w:b/>
          <w:bCs/>
          <w:sz w:val="32"/>
          <w:szCs w:val="32"/>
          <w:highlight w:val="none"/>
        </w:rPr>
        <w:t>：政府性基金预算财政拨款收入支出决算表</w:t>
      </w:r>
    </w:p>
    <w:tbl>
      <w:tblPr>
        <w:tblStyle w:val="6"/>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6"/>
        <w:gridCol w:w="386"/>
        <w:gridCol w:w="386"/>
        <w:gridCol w:w="1905"/>
        <w:gridCol w:w="1839"/>
        <w:gridCol w:w="1839"/>
        <w:gridCol w:w="1839"/>
        <w:gridCol w:w="1839"/>
        <w:gridCol w:w="1839"/>
        <w:gridCol w:w="2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000"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部门：环江毛南族自治县工商业联合会</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jc w:val="left"/>
        <w:rPr>
          <w:rFonts w:hint="eastAsia" w:ascii="仿宋" w:hAnsi="仿宋" w:eastAsia="仿宋" w:cs="仿宋"/>
          <w:b/>
          <w:bCs/>
          <w:sz w:val="28"/>
          <w:szCs w:val="28"/>
          <w:highlight w:val="none"/>
          <w:lang w:val="en-US" w:eastAsia="zh-CN"/>
        </w:rPr>
      </w:pPr>
      <w:r>
        <w:rPr>
          <w:rFonts w:hint="eastAsia" w:ascii="宋体" w:hAnsi="宋体" w:eastAsia="宋体" w:cs="宋体"/>
          <w:sz w:val="22"/>
          <w:szCs w:val="22"/>
          <w:highlight w:val="none"/>
          <w:lang w:eastAsia="zh-CN"/>
        </w:rPr>
        <w:t>说明：</w:t>
      </w:r>
      <w:r>
        <w:rPr>
          <w:rFonts w:hint="eastAsia" w:ascii="宋体" w:hAnsi="宋体" w:eastAsia="宋体" w:cs="宋体"/>
          <w:sz w:val="22"/>
          <w:szCs w:val="22"/>
          <w:highlight w:val="none"/>
        </w:rPr>
        <w:t>本部门无</w:t>
      </w:r>
      <w:r>
        <w:rPr>
          <w:rFonts w:hint="eastAsia" w:ascii="宋体" w:hAnsi="宋体" w:eastAsia="宋体" w:cs="宋体"/>
          <w:sz w:val="22"/>
          <w:szCs w:val="22"/>
          <w:highlight w:val="none"/>
          <w:lang w:val="en-US" w:eastAsia="zh-CN"/>
        </w:rPr>
        <w:t>政府性基金</w:t>
      </w:r>
      <w:r>
        <w:rPr>
          <w:rFonts w:hint="eastAsia" w:ascii="宋体" w:hAnsi="宋体" w:eastAsia="宋体" w:cs="宋体"/>
          <w:sz w:val="22"/>
          <w:szCs w:val="22"/>
          <w:highlight w:val="none"/>
        </w:rPr>
        <w:t>预算，也没有</w:t>
      </w:r>
      <w:r>
        <w:rPr>
          <w:rFonts w:hint="eastAsia" w:ascii="宋体" w:hAnsi="宋体" w:eastAsia="宋体" w:cs="宋体"/>
          <w:sz w:val="22"/>
          <w:szCs w:val="22"/>
          <w:highlight w:val="none"/>
          <w:lang w:val="en-US" w:eastAsia="zh-CN"/>
        </w:rPr>
        <w:t>政府性基金</w:t>
      </w:r>
      <w:r>
        <w:rPr>
          <w:rFonts w:hint="eastAsia" w:ascii="宋体" w:hAnsi="宋体" w:eastAsia="宋体" w:cs="宋体"/>
          <w:sz w:val="22"/>
          <w:szCs w:val="22"/>
          <w:highlight w:val="none"/>
        </w:rPr>
        <w:t>的支出，故本表无数据。</w:t>
      </w: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表</w:t>
      </w:r>
      <w:r>
        <w:rPr>
          <w:rFonts w:hint="eastAsia" w:ascii="仿宋" w:hAnsi="仿宋" w:eastAsia="仿宋" w:cs="仿宋"/>
          <w:b/>
          <w:bCs/>
          <w:sz w:val="32"/>
          <w:szCs w:val="32"/>
          <w:highlight w:val="none"/>
          <w:lang w:val="en-US" w:eastAsia="zh-CN"/>
        </w:rPr>
        <w:t>八</w:t>
      </w:r>
      <w:r>
        <w:rPr>
          <w:rFonts w:hint="eastAsia" w:ascii="仿宋" w:hAnsi="仿宋" w:eastAsia="仿宋" w:cs="仿宋"/>
          <w:b/>
          <w:bCs/>
          <w:sz w:val="32"/>
          <w:szCs w:val="32"/>
          <w:highlight w:val="none"/>
        </w:rPr>
        <w:t>：国有资本经营预算财政拨款支出决算表</w:t>
      </w:r>
    </w:p>
    <w:tbl>
      <w:tblPr>
        <w:tblStyle w:val="6"/>
        <w:tblW w:w="121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2"/>
        <w:gridCol w:w="412"/>
        <w:gridCol w:w="412"/>
        <w:gridCol w:w="2033"/>
        <w:gridCol w:w="2519"/>
        <w:gridCol w:w="2519"/>
        <w:gridCol w:w="3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16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部门：环江毛南族自治县工商业联合会</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24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jc w:val="left"/>
        <w:rPr>
          <w:rFonts w:hint="eastAsia" w:ascii="仿宋" w:hAnsi="仿宋" w:eastAsia="仿宋" w:cs="仿宋"/>
          <w:sz w:val="24"/>
          <w:highlight w:val="none"/>
        </w:rPr>
      </w:pPr>
      <w:r>
        <w:rPr>
          <w:rFonts w:hint="eastAsia" w:ascii="宋体" w:hAnsi="宋体" w:eastAsia="宋体" w:cs="宋体"/>
          <w:sz w:val="22"/>
          <w:szCs w:val="22"/>
          <w:highlight w:val="none"/>
          <w:lang w:eastAsia="zh-CN"/>
        </w:rPr>
        <w:t>说明：</w:t>
      </w:r>
      <w:r>
        <w:rPr>
          <w:rFonts w:hint="eastAsia" w:ascii="宋体" w:hAnsi="宋体" w:eastAsia="宋体" w:cs="宋体"/>
          <w:sz w:val="22"/>
          <w:szCs w:val="22"/>
          <w:highlight w:val="none"/>
        </w:rPr>
        <w:t>本部门无国有资本经营预算，也没有国有资本经营的支出，故本表无数据。</w:t>
      </w:r>
    </w:p>
    <w:p>
      <w:pPr>
        <w:jc w:val="left"/>
        <w:rPr>
          <w:rFonts w:hint="eastAsia" w:ascii="仿宋" w:hAnsi="仿宋" w:eastAsia="仿宋" w:cs="仿宋"/>
          <w:sz w:val="24"/>
          <w:highlight w:val="none"/>
        </w:rPr>
      </w:pPr>
    </w:p>
    <w:p>
      <w:pPr>
        <w:jc w:val="left"/>
        <w:rPr>
          <w:rFonts w:hint="eastAsia" w:ascii="仿宋" w:hAnsi="仿宋" w:eastAsia="仿宋" w:cs="仿宋"/>
          <w:b/>
          <w:bCs/>
          <w:sz w:val="32"/>
          <w:szCs w:val="32"/>
          <w:highlight w:val="none"/>
        </w:rPr>
      </w:pPr>
    </w:p>
    <w:p>
      <w:pPr>
        <w:jc w:val="left"/>
        <w:rPr>
          <w:rFonts w:hint="eastAsia" w:ascii="仿宋" w:hAnsi="仿宋" w:eastAsia="仿宋" w:cs="仿宋"/>
          <w:b/>
          <w:bCs/>
          <w:sz w:val="32"/>
          <w:szCs w:val="32"/>
          <w:highlight w:val="none"/>
        </w:rPr>
      </w:pPr>
    </w:p>
    <w:p>
      <w:pPr>
        <w:jc w:val="left"/>
        <w:rPr>
          <w:rFonts w:hint="eastAsia" w:ascii="仿宋" w:hAnsi="仿宋" w:eastAsia="仿宋" w:cs="仿宋"/>
          <w:b/>
          <w:bCs/>
          <w:sz w:val="32"/>
          <w:szCs w:val="32"/>
          <w:highlight w:val="none"/>
        </w:rPr>
      </w:pPr>
    </w:p>
    <w:p>
      <w:pPr>
        <w:jc w:val="left"/>
        <w:rPr>
          <w:rFonts w:hint="eastAsia" w:ascii="仿宋" w:hAnsi="仿宋" w:eastAsia="仿宋" w:cs="仿宋"/>
          <w:b/>
          <w:bCs/>
          <w:sz w:val="32"/>
          <w:szCs w:val="32"/>
          <w:highlight w:val="none"/>
        </w:rPr>
      </w:pPr>
    </w:p>
    <w:p>
      <w:pPr>
        <w:jc w:val="left"/>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表</w:t>
      </w:r>
      <w:r>
        <w:rPr>
          <w:rFonts w:hint="eastAsia" w:ascii="仿宋" w:hAnsi="仿宋" w:eastAsia="仿宋" w:cs="仿宋"/>
          <w:b/>
          <w:bCs/>
          <w:sz w:val="32"/>
          <w:szCs w:val="32"/>
          <w:highlight w:val="none"/>
          <w:lang w:val="en-US" w:eastAsia="zh-CN"/>
        </w:rPr>
        <w:t>九</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en-US" w:eastAsia="zh-CN"/>
        </w:rPr>
        <w:t>财政拨款“三公”经费支出决算表</w:t>
      </w:r>
    </w:p>
    <w:tbl>
      <w:tblPr>
        <w:tblStyle w:val="6"/>
        <w:tblW w:w="14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8"/>
        <w:gridCol w:w="1224"/>
        <w:gridCol w:w="1198"/>
        <w:gridCol w:w="1198"/>
        <w:gridCol w:w="1198"/>
        <w:gridCol w:w="1198"/>
        <w:gridCol w:w="1198"/>
        <w:gridCol w:w="1224"/>
        <w:gridCol w:w="1198"/>
        <w:gridCol w:w="1198"/>
        <w:gridCol w:w="1198"/>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2" w:hRule="atLeast"/>
        </w:trPr>
        <w:tc>
          <w:tcPr>
            <w:tcW w:w="14700" w:type="dxa"/>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rPr>
        <w:tc>
          <w:tcPr>
            <w:tcW w:w="0" w:type="auto"/>
            <w:gridSpan w:val="11"/>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部门：环江毛南族自治县工商业联合会</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7314"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386"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1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1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1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1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21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1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2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1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1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9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0" w:type="auto"/>
            <w:tcBorders>
              <w:top w:val="single" w:color="000000" w:sz="4" w:space="0"/>
              <w:left w:val="single" w:color="000000" w:sz="4" w:space="0"/>
              <w:bottom w:val="single" w:color="000000" w:sz="4" w:space="0"/>
              <w:right w:val="single" w:color="000000" w:sz="4" w:space="0"/>
            </w:tcBorders>
            <w:shd w:val="clear" w:color="auto" w:fill="D6F6E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F6E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4700" w:type="dxa"/>
            <w:gridSpan w:val="12"/>
            <w:vMerge w:val="restart"/>
            <w:tcBorders>
              <w:top w:val="single" w:color="000000" w:sz="4" w:space="0"/>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4700" w:type="dxa"/>
            <w:gridSpan w:val="12"/>
            <w:vMerge w:val="continue"/>
            <w:tcBorders>
              <w:top w:val="single" w:color="000000" w:sz="4" w:space="0"/>
              <w:left w:val="nil"/>
              <w:bottom w:val="nil"/>
              <w:right w:val="nil"/>
            </w:tcBorders>
            <w:shd w:val="clear" w:color="auto" w:fill="FFFFFF"/>
            <w:vAlign w:val="center"/>
          </w:tcPr>
          <w:p>
            <w:pPr>
              <w:jc w:val="left"/>
              <w:rPr>
                <w:rFonts w:hint="eastAsia" w:ascii="宋体" w:hAnsi="宋体" w:eastAsia="宋体" w:cs="宋体"/>
                <w:i w:val="0"/>
                <w:iCs w:val="0"/>
                <w:color w:val="000000"/>
                <w:sz w:val="22"/>
                <w:szCs w:val="22"/>
                <w:u w:val="none"/>
              </w:rPr>
            </w:pPr>
          </w:p>
        </w:tc>
      </w:tr>
    </w:tbl>
    <w:p>
      <w:pPr>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i w:val="0"/>
          <w:iCs w:val="0"/>
          <w:color w:val="000000"/>
          <w:kern w:val="0"/>
          <w:sz w:val="22"/>
          <w:szCs w:val="22"/>
          <w:u w:val="none"/>
          <w:lang w:val="en-US" w:eastAsia="zh-CN" w:bidi="ar"/>
        </w:rPr>
        <w:t>说明：本部门无财政拨款“三公”经费预算，也无财政拨款“三公”经费的支出，故本表无数据</w:t>
      </w:r>
    </w:p>
    <w:p>
      <w:pPr>
        <w:jc w:val="left"/>
        <w:rPr>
          <w:rFonts w:ascii="仿宋" w:hAnsi="仿宋" w:eastAsia="仿宋" w:cs="仿宋"/>
          <w:sz w:val="24"/>
          <w:highlight w:val="none"/>
        </w:rPr>
      </w:pPr>
    </w:p>
    <w:p>
      <w:pPr>
        <w:jc w:val="center"/>
        <w:rPr>
          <w:rFonts w:hint="eastAsia" w:ascii="黑体" w:hAnsi="黑体" w:eastAsia="黑体" w:cs="黑体"/>
          <w:sz w:val="32"/>
          <w:u w:color="auto"/>
          <w:lang w:val="en-US" w:eastAsia="zh-CN"/>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环江毛南族自治县工商业联合会</w:t>
      </w: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61.74</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减少</w:t>
      </w:r>
      <w:r>
        <w:rPr>
          <w:rFonts w:hint="eastAsia" w:ascii="仿宋" w:hAnsi="仿宋" w:eastAsia="仿宋" w:cs="仿宋"/>
          <w:sz w:val="32"/>
          <w:u w:color="auto"/>
          <w:lang w:val="en-US" w:eastAsia="zh-CN"/>
        </w:rPr>
        <w:t>5.60</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8.32</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61.74</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61.74</w:t>
      </w:r>
      <w:r>
        <w:rPr>
          <w:rFonts w:hint="eastAsia" w:ascii="仿宋" w:hAnsi="仿宋" w:eastAsia="仿宋" w:cs="仿宋"/>
          <w:kern w:val="2"/>
          <w:sz w:val="32"/>
          <w:szCs w:val="32"/>
          <w:highlight w:val="none"/>
          <w:lang w:val="en-US" w:eastAsia="zh-CN" w:bidi="ar"/>
        </w:rPr>
        <w:t>万元，为本级财政当年拨付的资金。较2022年度决算数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5.60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8.32</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主要原因：严格控制成本支出。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主要原因：本单位无</w:t>
      </w:r>
      <w:r>
        <w:rPr>
          <w:rFonts w:hint="eastAsia" w:ascii="仿宋" w:hAnsi="仿宋" w:eastAsia="仿宋" w:cs="仿宋"/>
          <w:kern w:val="2"/>
          <w:sz w:val="32"/>
          <w:szCs w:val="32"/>
          <w:highlight w:val="none"/>
          <w:lang w:val="en-US" w:eastAsia="zh-CN" w:bidi="ar"/>
        </w:rPr>
        <w:t>政府性基金预算财政拨款，且年初无预算。</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kern w:val="2"/>
          <w:sz w:val="32"/>
          <w:szCs w:val="32"/>
          <w:highlight w:val="none"/>
          <w:lang w:val="en-US" w:eastAsia="zh-CN" w:bidi="ar"/>
        </w:rPr>
        <w:t>国有资本经营预算财政拨款收入，且年初无预算</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4.事业收入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5.经营收入0.00万,为事业单位在业务活动之外开展非独立核算经营活动取得的收入。较2022年度决算数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
        </w:rPr>
        <w:t>8.上年结转和结余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主要原因：部分项目已在本年执行完毕，不需要结转至下年继</w:t>
      </w:r>
      <w:r>
        <w:rPr>
          <w:rFonts w:hint="eastAsia" w:ascii="仿宋" w:hAnsi="仿宋" w:eastAsia="仿宋" w:cs="仿宋"/>
          <w:sz w:val="32"/>
          <w:szCs w:val="32"/>
          <w:highlight w:val="none"/>
        </w:rPr>
        <w:drawing>
          <wp:inline distT="0" distB="0" distL="114300" distR="114300">
            <wp:extent cx="5070475" cy="2990850"/>
            <wp:effectExtent l="4445" t="4445" r="11430"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61.74</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61.74</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减少</w:t>
      </w:r>
      <w:r>
        <w:rPr>
          <w:rFonts w:hint="eastAsia" w:ascii="仿宋" w:hAnsi="仿宋" w:eastAsia="仿宋" w:cs="仿宋"/>
          <w:sz w:val="32"/>
          <w:u w:color="auto"/>
          <w:lang w:val="en-US" w:eastAsia="zh-CN"/>
        </w:rPr>
        <w:t>5.60</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8.32</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43.98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bCs/>
          <w:kern w:val="0"/>
          <w:sz w:val="32"/>
          <w:szCs w:val="32"/>
          <w:lang w:eastAsia="zh-CN"/>
        </w:rPr>
        <w:t>在职</w:t>
      </w:r>
      <w:r>
        <w:rPr>
          <w:rFonts w:hint="eastAsia" w:ascii="仿宋" w:hAnsi="仿宋" w:eastAsia="仿宋" w:cs="仿宋"/>
          <w:bCs/>
          <w:kern w:val="0"/>
          <w:sz w:val="32"/>
          <w:szCs w:val="32"/>
        </w:rPr>
        <w:t>职工</w:t>
      </w:r>
      <w:r>
        <w:rPr>
          <w:rFonts w:hint="eastAsia" w:ascii="仿宋" w:hAnsi="仿宋" w:eastAsia="仿宋" w:cs="仿宋"/>
          <w:bCs/>
          <w:kern w:val="0"/>
          <w:sz w:val="32"/>
          <w:szCs w:val="32"/>
          <w:lang w:eastAsia="zh-CN"/>
        </w:rPr>
        <w:t>工资</w:t>
      </w:r>
      <w:r>
        <w:rPr>
          <w:rFonts w:hint="eastAsia" w:ascii="仿宋" w:hAnsi="仿宋" w:eastAsia="仿宋" w:cs="仿宋"/>
          <w:bCs/>
          <w:kern w:val="0"/>
          <w:sz w:val="32"/>
          <w:szCs w:val="32"/>
        </w:rPr>
        <w:t>、</w:t>
      </w:r>
      <w:r>
        <w:rPr>
          <w:rFonts w:hint="eastAsia" w:ascii="仿宋" w:hAnsi="仿宋" w:eastAsia="仿宋" w:cs="仿宋"/>
          <w:bCs/>
          <w:kern w:val="0"/>
          <w:sz w:val="32"/>
          <w:szCs w:val="32"/>
          <w:lang w:eastAsia="zh-CN"/>
        </w:rPr>
        <w:t>政府购买人员工资及其社会保障费、日常公用经费</w:t>
      </w:r>
      <w:r>
        <w:rPr>
          <w:rFonts w:hint="eastAsia" w:ascii="仿宋" w:hAnsi="仿宋" w:eastAsia="仿宋" w:cs="仿宋"/>
          <w:bCs/>
          <w:kern w:val="0"/>
          <w:sz w:val="32"/>
          <w:szCs w:val="32"/>
        </w:rPr>
        <w:t>等支出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5.13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10.44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主要原因是：严格控制开支。</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5.84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在职人员社保费用缴纳</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增加了0.65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增长了12.52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主要原因是：在职人员社保缴费基数调整。</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sz w:val="32"/>
          <w:u w:color="auto"/>
          <w:lang w:val="en-US" w:eastAsia="zh-CN"/>
          <w14:textFill>
            <w14:solidFill>
              <w14:schemeClr w14:val="tx1"/>
            </w14:solidFill>
          </w14:textFill>
        </w:rPr>
        <w:t>3</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住房保障支出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221</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3.93</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在职人员住房公积金单位部分缴纳</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增加了0.43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增长了12.29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主要原因是：在职人员社保缴费基数调整。</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u w:color="auto"/>
          <w:lang w:val="en-US" w:eastAsia="zh-CN"/>
          <w14:textFill>
            <w14:solidFill>
              <w14:schemeClr w14:val="tx1"/>
            </w14:solidFill>
          </w14:textFill>
        </w:rPr>
        <w:t>4</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其他支出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22</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9</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7.99</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在职人员</w:t>
      </w:r>
      <w:r>
        <w:rPr>
          <w:rFonts w:hint="eastAsia" w:ascii="仿宋" w:hAnsi="仿宋" w:eastAsia="仿宋" w:cs="仿宋"/>
          <w:color w:val="000000" w:themeColor="text1"/>
          <w:sz w:val="32"/>
          <w:szCs w:val="32"/>
          <w:highlight w:val="none"/>
          <w14:textFill>
            <w14:solidFill>
              <w14:schemeClr w14:val="tx1"/>
            </w14:solidFill>
          </w14:textFill>
        </w:rPr>
        <w:t>发放的绩效考评奖、伙食补助费。较202</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年度决算数</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减少1.54万元</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下降</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16.16</w:t>
      </w:r>
      <w:r>
        <w:rPr>
          <w:rFonts w:hint="eastAsia" w:ascii="仿宋" w:hAnsi="仿宋" w:eastAsia="仿宋" w:cs="仿宋"/>
          <w:color w:val="000000" w:themeColor="text1"/>
          <w:sz w:val="32"/>
          <w:szCs w:val="32"/>
          <w:highlight w:val="none"/>
          <w:lang w:bidi="ar"/>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主要原因是：绩效和奖金金额减少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default" w:ascii="仿宋" w:hAnsi="仿宋" w:eastAsia="仿宋" w:cs="仿宋"/>
          <w:color w:val="000000" w:themeColor="text1"/>
          <w:sz w:val="32"/>
          <w:szCs w:val="32"/>
          <w:highlight w:val="none"/>
          <w14:textFill>
            <w14:solidFill>
              <w14:schemeClr w14:val="tx1"/>
            </w14:solidFill>
          </w14:textFill>
        </w:rPr>
        <w:t>结余分配</w:t>
      </w:r>
      <w:r>
        <w:rPr>
          <w:rFonts w:hint="eastAsia" w:ascii="仿宋" w:hAnsi="仿宋" w:eastAsia="仿宋" w:cs="仿宋"/>
          <w:color w:val="000000" w:themeColor="text1"/>
          <w:sz w:val="32"/>
          <w:szCs w:val="32"/>
          <w:highlight w:val="none"/>
          <w14:textFill>
            <w14:solidFill>
              <w14:schemeClr w14:val="tx1"/>
            </w14:solidFill>
          </w14:textFill>
        </w:rPr>
        <w:t>0.00</w:t>
      </w:r>
      <w:r>
        <w:rPr>
          <w:rFonts w:hint="default" w:ascii="仿宋" w:hAnsi="仿宋" w:eastAsia="仿宋" w:cs="仿宋"/>
          <w:color w:val="000000" w:themeColor="text1"/>
          <w:sz w:val="32"/>
          <w:szCs w:val="32"/>
          <w:highlight w:val="none"/>
          <w14:textFill>
            <w14:solidFill>
              <w14:schemeClr w14:val="tx1"/>
            </w14:solidFill>
          </w14:textFill>
        </w:rPr>
        <w:t>万元，为事业单位按规定提取的专用结余、缴纳所得税和转入非财政拨款结余等。较202</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default" w:ascii="仿宋" w:hAnsi="仿宋" w:eastAsia="仿宋" w:cs="仿宋"/>
          <w:color w:val="000000" w:themeColor="text1"/>
          <w:sz w:val="32"/>
          <w:szCs w:val="32"/>
          <w:highlight w:val="none"/>
          <w14:textFill>
            <w14:solidFill>
              <w14:schemeClr w14:val="tx1"/>
            </w14:solidFill>
          </w14:textFill>
        </w:rPr>
        <w:t>年决算</w:t>
      </w:r>
      <w:r>
        <w:rPr>
          <w:rFonts w:hint="eastAsia" w:ascii="仿宋" w:hAnsi="仿宋" w:eastAsia="仿宋" w:cs="仿宋"/>
          <w:color w:val="000000" w:themeColor="text1"/>
          <w:sz w:val="32"/>
          <w:szCs w:val="32"/>
          <w:highlight w:val="none"/>
          <w14:textFill>
            <w14:solidFill>
              <w14:schemeClr w14:val="tx1"/>
            </w14:solidFill>
          </w14:textFill>
        </w:rPr>
        <w:t>0.00</w:t>
      </w:r>
      <w:r>
        <w:rPr>
          <w:rFonts w:hint="default"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增加0.00</w:t>
      </w:r>
      <w:r>
        <w:rPr>
          <w:rFonts w:hint="default"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14:textFill>
            <w14:solidFill>
              <w14:schemeClr w14:val="tx1"/>
            </w14:solidFill>
          </w14:textFill>
        </w:rPr>
        <w:t>增长0%</w:t>
      </w:r>
      <w:r>
        <w:rPr>
          <w:rFonts w:hint="default"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：本单位2023年及2022年均无结余分配金额。</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color w:val="000000" w:themeColor="text1"/>
          <w:sz w:val="32"/>
          <w:szCs w:val="32"/>
          <w:highlight w:val="none"/>
          <w:lang w:eastAsia="zh-CN" w:bidi="ar"/>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年末结转和结余</w:t>
      </w:r>
      <w:r>
        <w:rPr>
          <w:rFonts w:hint="eastAsia" w:ascii="仿宋" w:hAnsi="仿宋" w:eastAsia="仿宋" w:cs="仿宋"/>
          <w:color w:val="000000" w:themeColor="text1"/>
          <w:sz w:val="32"/>
          <w:u w:color="auto"/>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万元，为本年度或以前年度预算安排、因客观条件发生变化无法按原计划实施，需要延迟到以后年度按有关规定继续使用的资金。较202</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年度决算数</w:t>
      </w:r>
      <w:r>
        <w:rPr>
          <w:rFonts w:ascii="仿宋" w:hAnsi="仿宋" w:eastAsia="仿宋" w:cs="仿宋"/>
          <w:color w:val="000000" w:themeColor="text1"/>
          <w:sz w:val="32"/>
          <w:u w:color="auto"/>
          <w14:textFill>
            <w14:solidFill>
              <w14:schemeClr w14:val="tx1"/>
            </w14:solidFill>
          </w14:textFill>
        </w:rPr>
        <w:t>增加</w:t>
      </w:r>
      <w:r>
        <w:rPr>
          <w:rFonts w:hint="eastAsia" w:ascii="仿宋" w:hAnsi="仿宋" w:eastAsia="仿宋" w:cs="仿宋"/>
          <w:color w:val="000000" w:themeColor="text1"/>
          <w:sz w:val="32"/>
          <w:u w:color="auto"/>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w:t>
      </w:r>
      <w:r>
        <w:rPr>
          <w:rFonts w:ascii="仿宋" w:hAnsi="仿宋" w:eastAsia="仿宋" w:cs="仿宋"/>
          <w:color w:val="000000" w:themeColor="text1"/>
          <w:sz w:val="32"/>
          <w:u w:color="auto"/>
          <w14:textFill>
            <w14:solidFill>
              <w14:schemeClr w14:val="tx1"/>
            </w14:solidFill>
          </w14:textFill>
        </w:rPr>
        <w:t>增长</w:t>
      </w:r>
      <w:r>
        <w:rPr>
          <w:rFonts w:hint="eastAsia" w:ascii="仿宋" w:hAnsi="仿宋" w:eastAsia="仿宋" w:cs="仿宋"/>
          <w:color w:val="000000" w:themeColor="text1"/>
          <w:sz w:val="32"/>
          <w:u w:color="auto"/>
          <w:lang w:val="en-US" w:eastAsia="zh-CN"/>
          <w14:textFill>
            <w14:solidFill>
              <w14:schemeClr w14:val="tx1"/>
            </w14:solidFill>
          </w14:textFill>
        </w:rPr>
        <w:t>0</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主要原因是：本单位2023年及2022年均无结余分配金额。</w:t>
      </w:r>
    </w:p>
    <w:p>
      <w:pPr>
        <w:ind w:firstLine="420" w:firstLineChars="200"/>
        <w:jc w:val="center"/>
        <w:rPr>
          <w:rFonts w:ascii="仿宋" w:hAnsi="仿宋" w:eastAsia="仿宋" w:cs="仿宋"/>
          <w:sz w:val="32"/>
          <w:szCs w:val="32"/>
          <w:highlight w:val="none"/>
        </w:rPr>
      </w:pPr>
      <w:r>
        <w:drawing>
          <wp:inline distT="0" distB="0" distL="114300" distR="114300">
            <wp:extent cx="4826000" cy="2743200"/>
            <wp:effectExtent l="4445" t="4445" r="82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 xml:space="preserve"> 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lang w:val="en-US" w:eastAsia="zh-CN"/>
        </w:rPr>
        <w:t>61.74</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减少</w:t>
      </w:r>
      <w:r>
        <w:rPr>
          <w:rFonts w:hint="eastAsia" w:ascii="仿宋" w:hAnsi="仿宋" w:eastAsia="仿宋" w:cs="仿宋"/>
          <w:sz w:val="32"/>
          <w:u w:color="auto"/>
          <w:lang w:val="en-US" w:eastAsia="zh-CN"/>
        </w:rPr>
        <w:t>5.60</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8.32</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55.45</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6.28</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本单位2023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u w:color="auto"/>
          <w:lang w:val="en-US" w:eastAsia="zh-CN"/>
        </w:rPr>
        <w:t>54.06</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61.74</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114.21</w:t>
      </w:r>
      <w:r>
        <w:rPr>
          <w:rFonts w:ascii="仿宋" w:hAnsi="仿宋" w:eastAsia="仿宋" w:cs="仿宋"/>
          <w:sz w:val="32"/>
          <w:u w:color="auto"/>
        </w:rPr>
        <w:t>%</w:t>
      </w:r>
      <w:r>
        <w:rPr>
          <w:rFonts w:hint="eastAsia" w:ascii="仿宋" w:hAnsi="仿宋" w:eastAsia="仿宋" w:cs="仿宋"/>
          <w:sz w:val="32"/>
          <w:szCs w:val="32"/>
          <w:highlight w:val="none"/>
        </w:rPr>
        <w:t>。</w:t>
      </w:r>
    </w:p>
    <w:p>
      <w:pPr>
        <w:jc w:val="left"/>
        <w:rPr>
          <w:rFonts w:hint="eastAsia" w:eastAsia="仿宋"/>
          <w:color w:val="auto"/>
          <w:highlight w:val="none"/>
          <w:lang w:val="en-US" w:eastAsia="zh-CN"/>
        </w:rPr>
      </w:pPr>
      <w:bookmarkStart w:id="1" w:name="OLE_LINK2"/>
      <w:bookmarkEnd w:id="1"/>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 xml:space="preserve">  （一）</w:t>
      </w:r>
      <w:r>
        <w:rPr>
          <w:rFonts w:hint="eastAsia" w:ascii="仿宋" w:hAnsi="仿宋" w:eastAsia="仿宋"/>
          <w:sz w:val="32"/>
          <w:szCs w:val="32"/>
          <w:highlight w:val="none"/>
        </w:rPr>
        <w:t>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45.40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43.99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96.89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严格控制开支。</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2012801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41.78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42.77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102.37%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人员经费及日常开支</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调整工资及基数调整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2012804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参政议政</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eastAsia="宋体"/>
                <w:lang w:val="en-US" w:eastAsia="zh-CN"/>
              </w:rPr>
              <w:t>0.6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正常开支</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严格控制开支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0.62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在职人员工会经费单位部分开支</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45.40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49.13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96.89%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center"/>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4.95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5.84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117.98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原因是：在职人员社保缴费基数调</w:t>
      </w:r>
      <w:r>
        <w:rPr>
          <w:rFonts w:hint="eastAsia" w:ascii="仿宋" w:hAnsi="仿宋" w:eastAsia="仿宋"/>
          <w:color w:val="auto"/>
          <w:sz w:val="32"/>
          <w:szCs w:val="32"/>
          <w:highlight w:val="none"/>
          <w:lang w:val="en-US" w:eastAsia="zh-CN"/>
        </w:rPr>
        <w:t>整</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4.95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105.86%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在职人员社保缴费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其他社会保障和就业支出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政府购买人员社保缴费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4.95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117.98%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center"/>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3.71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3.93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105.93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在职人员公积金基数调整。</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3.93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105.93%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在职人员住房公积金缴纳</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3.93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（四）其他支出类</w:t>
      </w:r>
      <w:r>
        <w:rPr>
          <w:rFonts w:ascii="仿宋" w:hAnsi="仿宋" w:eastAsia="仿宋"/>
          <w:sz w:val="32"/>
          <w:u w:color="auto"/>
        </w:rPr>
        <w:t>（22</w:t>
      </w:r>
      <w:r>
        <w:rPr>
          <w:rFonts w:hint="eastAsia" w:ascii="仿宋" w:hAnsi="仿宋" w:eastAsia="仿宋"/>
          <w:sz w:val="32"/>
          <w:u w:color="auto"/>
          <w:lang w:val="en-US" w:eastAsia="zh-CN"/>
        </w:rPr>
        <w:t>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7.99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在职人员奖金，绩效工资发放。</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在职人员的奖金，绩效工资发放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center"/>
        <w:rPr>
          <w:rFonts w:hint="eastAsia" w:ascii="仿宋" w:hAnsi="仿宋" w:eastAsia="仿宋" w:cs="仿宋"/>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本单位2023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55.45</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51.04</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4.41</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51.04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3129.35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发放的绩效、奖金年初无预算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30101基本工资12.82万元，30102津贴补7.92万元，30103奖金18.52万元，30108机关事业单位基本养老保险缴费5.24万元，30110职工基本医疗保险缴费2.10万元，30112其他社会保障缴费0.51万元，30113住房公积金3.93万元。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531995" cy="3415030"/>
            <wp:effectExtent l="4445" t="4445" r="16510" b="952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4.41</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96.5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严格控制开支。</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0.52万元，30205水费0.02万元，30206电费0.10万元，30207邮电费0.46万元，30211差旅费0.00万元，30215会议费0万元，30216培训费0万元，30226劳务费0万元，30228工会经费0.62万元，30299其他商品和服务支出0万元,30239其他交通费用2.7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年初无预算。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30301离休费0万元，30302退休费0万元，30305生活补助0万元。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本单位截止于2023年12月31日无债务。</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本单位无资本性支出。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主要原因是：本单位截止于2023年12月31日无其他支出。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本单位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本单位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val="en-US" w:eastAsia="zh-CN"/>
        </w:rPr>
        <w:t>减少0.58</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主要原因是：严格控制开支</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auto"/>
          <w:sz w:val="32"/>
          <w:szCs w:val="32"/>
          <w:highlight w:val="none"/>
        </w:rPr>
        <w:t>其</w:t>
      </w:r>
      <w:r>
        <w:rPr>
          <w:rFonts w:hint="eastAsia" w:ascii="仿宋" w:hAnsi="仿宋" w:eastAsia="仿宋" w:cs="仿宋"/>
          <w:color w:val="000000" w:themeColor="text1"/>
          <w:sz w:val="32"/>
          <w:szCs w:val="32"/>
          <w:highlight w:val="none"/>
          <w14:textFill>
            <w14:solidFill>
              <w14:schemeClr w14:val="tx1"/>
            </w14:solidFill>
          </w14:textFill>
        </w:rPr>
        <w:t>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2"/>
        </w:numPr>
        <w:ind w:firstLine="640" w:firstLineChars="200"/>
        <w:jc w:val="left"/>
        <w:rPr>
          <w:rFonts w:hint="eastAsia" w:ascii="仿宋_GB2312" w:hAnsi="Times New Roman" w:eastAsia="仿宋_GB2312" w:cs="Times New Roman"/>
          <w:color w:val="auto"/>
          <w:sz w:val="32"/>
          <w:szCs w:val="32"/>
          <w:lang w:val="en-US" w:eastAsia="zh-CN"/>
        </w:rPr>
      </w:pPr>
      <w:r>
        <w:rPr>
          <w:rFonts w:hint="eastAsia" w:ascii="仿宋" w:hAnsi="仿宋" w:eastAsia="仿宋" w:cs="仿宋"/>
          <w:color w:val="auto"/>
          <w:sz w:val="32"/>
          <w:szCs w:val="32"/>
          <w:highlight w:val="none"/>
        </w:rPr>
        <w:t>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w:t>
      </w:r>
      <w:r>
        <w:rPr>
          <w:rFonts w:hint="eastAsia" w:ascii="仿宋_GB2312" w:hAnsi="Times New Roman" w:eastAsia="仿宋_GB2312" w:cs="Times New Roman"/>
          <w:color w:val="auto"/>
          <w:sz w:val="32"/>
          <w:szCs w:val="32"/>
          <w:lang w:val="en-US" w:eastAsia="zh-CN"/>
        </w:rPr>
        <w:t>无出国安排。</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p>
    <w:p>
      <w:pPr>
        <w:numPr>
          <w:ilvl w:val="0"/>
          <w:numId w:val="0"/>
        </w:numPr>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2" w:name="PO_part3A6B2IncReason1"/>
      <w:r>
        <w:rPr>
          <w:rFonts w:hint="eastAsia" w:ascii="仿宋" w:hAnsi="仿宋" w:eastAsia="仿宋" w:cs="仿宋"/>
          <w:color w:val="auto"/>
          <w:sz w:val="32"/>
          <w:szCs w:val="32"/>
        </w:rPr>
        <w:t>本部门无公务用车购置</w:t>
      </w:r>
      <w:bookmarkEnd w:id="2"/>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万元。主要原因是：</w:t>
      </w:r>
      <w:r>
        <w:rPr>
          <w:rFonts w:hint="eastAsia" w:ascii="仿宋" w:hAnsi="仿宋" w:eastAsia="仿宋" w:cs="仿宋"/>
          <w:color w:val="auto"/>
          <w:sz w:val="32"/>
          <w:szCs w:val="32"/>
          <w:highlight w:val="none"/>
          <w:lang w:val="en-US" w:eastAsia="zh-CN"/>
        </w:rPr>
        <w:t>本部门无公务用车，故无公务用车维护费</w:t>
      </w:r>
      <w:r>
        <w:rPr>
          <w:rFonts w:hint="eastAsia" w:ascii="仿宋" w:hAnsi="仿宋" w:eastAsia="仿宋" w:cs="仿宋"/>
          <w:color w:val="auto"/>
          <w:sz w:val="32"/>
          <w:szCs w:val="32"/>
          <w:highlight w:val="none"/>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sz w:val="32"/>
          <w:szCs w:val="32"/>
          <w:highlight w:val="none"/>
          <w:lang w:val="en-US" w:eastAsia="zh-CN"/>
        </w:rPr>
        <w:t>本单位</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平均每辆  </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 xml:space="preserve">  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val="en-US" w:eastAsia="zh-CN"/>
        </w:rPr>
        <w:t>减少0.58</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主要原因是：严格控制开支。</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仿宋" w:hAnsi="仿宋" w:eastAsia="仿宋" w:cs="仿宋"/>
          <w:color w:val="FF0000"/>
          <w:sz w:val="32"/>
          <w:szCs w:val="32"/>
          <w:highlight w:val="none"/>
          <w:lang w:val="en-US" w:eastAsia="zh-CN"/>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年度机关运行经费支出4.4</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0.16</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3.50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hint="eastAsia" w:ascii="仿宋" w:hAnsi="仿宋" w:eastAsia="仿宋" w:cs="仿宋"/>
          <w:sz w:val="32"/>
          <w:szCs w:val="32"/>
          <w:highlight w:val="none"/>
          <w:lang w:val="en-US" w:eastAsia="zh-CN"/>
        </w:rPr>
        <w:t>减少0.07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。原因是：</w:t>
      </w:r>
      <w:r>
        <w:rPr>
          <w:rFonts w:hint="eastAsia" w:ascii="仿宋" w:hAnsi="仿宋" w:eastAsia="仿宋" w:cs="仿宋"/>
          <w:kern w:val="0"/>
          <w:sz w:val="32"/>
          <w:szCs w:val="32"/>
          <w:lang w:val="en-US" w:eastAsia="zh-CN"/>
        </w:rPr>
        <w:t>落实过紧日子要求压减</w:t>
      </w:r>
      <w:r>
        <w:rPr>
          <w:rFonts w:hint="eastAsia" w:ascii="仿宋" w:hAnsi="仿宋" w:eastAsia="仿宋" w:cs="仿宋"/>
          <w:i w:val="0"/>
          <w:iCs w:val="0"/>
          <w:caps w:val="0"/>
          <w:color w:val="333333"/>
          <w:spacing w:val="0"/>
          <w:sz w:val="32"/>
          <w:szCs w:val="32"/>
          <w:shd w:val="clear" w:fill="FFFFFF"/>
          <w:lang w:val="en-US" w:eastAsia="zh-CN"/>
        </w:rPr>
        <w:t>定额商品和服务支出的支出。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我部门2023年度部门预算数</w:t>
      </w:r>
      <w:r>
        <w:rPr>
          <w:rFonts w:hint="eastAsia" w:ascii="仿宋_GB2312" w:eastAsia="仿宋_GB2312" w:cs="仿宋_GB2312"/>
          <w:kern w:val="0"/>
          <w:sz w:val="32"/>
          <w:szCs w:val="32"/>
          <w:lang w:val="en-US" w:eastAsia="zh-CN"/>
        </w:rPr>
        <w:t>44.03</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w:t>
      </w:r>
      <w:r>
        <w:rPr>
          <w:rFonts w:hint="eastAsia" w:ascii="仿宋_GB2312" w:eastAsia="仿宋_GB2312" w:cs="仿宋_GB2312"/>
          <w:kern w:val="0"/>
          <w:sz w:val="32"/>
          <w:szCs w:val="32"/>
          <w:lang w:val="en-US" w:eastAsia="zh-CN"/>
        </w:rPr>
        <w:t>61.74</w:t>
      </w:r>
      <w:r>
        <w:rPr>
          <w:rFonts w:hint="eastAsia" w:ascii="仿宋_GB2312" w:hAnsi="Times New Roman" w:eastAsia="仿宋_GB2312" w:cs="仿宋_GB2312"/>
          <w:b w:val="0"/>
          <w:bCs w:val="0"/>
          <w:caps w:val="0"/>
          <w:color w:val="auto"/>
          <w:kern w:val="0"/>
          <w:sz w:val="32"/>
          <w:szCs w:val="32"/>
          <w:vertAlign w:val="baseline"/>
          <w:lang w:val="en-US" w:eastAsia="zh-CN" w:bidi="ar"/>
        </w:rPr>
        <w:t>万元，整体支出绩效自评结果为</w:t>
      </w:r>
      <w:r>
        <w:rPr>
          <w:rFonts w:hint="eastAsia" w:ascii="仿宋_GB2312" w:eastAsia="仿宋_GB2312" w:cs="仿宋_GB2312"/>
          <w:kern w:val="0"/>
          <w:sz w:val="32"/>
          <w:szCs w:val="32"/>
          <w:lang w:val="en-US" w:eastAsia="zh-CN"/>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等。从自评情况来看，2023年度我部门年初预算54.06元，调整后预算64.61万元，实际支出61.74万元，预算执行率95.56%，整体支出主要产出指标和效果目标均达到预期的目标。</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right="0" w:firstLine="640" w:firstLineChars="200"/>
        <w:jc w:val="both"/>
        <w:textAlignment w:val="auto"/>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kern w:val="0"/>
          <w:sz w:val="32"/>
          <w:szCs w:val="32"/>
          <w:lang w:val="en-US" w:eastAsia="zh-CN"/>
        </w:rPr>
        <w:t>8</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kern w:val="0"/>
          <w:sz w:val="32"/>
          <w:szCs w:val="32"/>
          <w:lang w:val="en-US" w:eastAsia="zh-CN"/>
        </w:rPr>
        <w:t>19.92</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kern w:val="0"/>
          <w:sz w:val="32"/>
          <w:szCs w:val="32"/>
          <w:lang w:val="en-US" w:eastAsia="zh-CN"/>
        </w:rPr>
        <w:t>8</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kern w:val="0"/>
          <w:sz w:val="32"/>
          <w:szCs w:val="32"/>
          <w:lang w:val="en-US" w:eastAsia="zh-CN"/>
        </w:rPr>
        <w:t>14.87</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FF0000"/>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8</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14.87</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个项目评为三等，涉及资金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个项目评为四等，涉及资金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%。自评发现的主要问题及原因：</w:t>
      </w:r>
      <w:r>
        <w:rPr>
          <w:rFonts w:hint="eastAsia" w:ascii="仿宋_GB2312" w:hAnsi="Times New Roman" w:eastAsia="仿宋_GB2312" w:cs="仿宋_GB2312"/>
          <w:b w:val="0"/>
          <w:bCs w:val="0"/>
          <w:caps w:val="0"/>
          <w:color w:val="FF0000"/>
          <w:kern w:val="0"/>
          <w:sz w:val="32"/>
          <w:szCs w:val="32"/>
          <w:vertAlign w:val="baseline"/>
          <w:lang w:val="en-US" w:eastAsia="zh-CN" w:bidi="ar"/>
        </w:rPr>
        <w:t>财政资金紧张无法及时支付项目款。</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FF0000"/>
          <w:kern w:val="0"/>
          <w:sz w:val="32"/>
          <w:szCs w:val="32"/>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（2）部分重点项目绩效自评情况：根据年初设定的绩效目标，8个项目自评得分为96.21分，一等，项目全年预算数为</w:t>
      </w:r>
      <w:r>
        <w:rPr>
          <w:rFonts w:hint="eastAsia" w:ascii="仿宋_GB2312" w:eastAsia="仿宋_GB2312" w:cs="仿宋_GB2312"/>
          <w:kern w:val="0"/>
          <w:sz w:val="32"/>
          <w:szCs w:val="32"/>
          <w:lang w:val="en-US" w:eastAsia="zh-CN"/>
        </w:rPr>
        <w:t>19.92</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万元，执行数为14.87万元，完成预算的</w:t>
      </w:r>
      <w:r>
        <w:rPr>
          <w:rFonts w:hint="eastAsia" w:ascii="仿宋_GB2312" w:eastAsia="仿宋_GB2312" w:cs="仿宋_GB2312"/>
          <w:kern w:val="0"/>
          <w:sz w:val="32"/>
          <w:szCs w:val="32"/>
          <w:lang w:val="en-US" w:eastAsia="zh-CN"/>
        </w:rPr>
        <w:t>92.71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%。项目绩效目标完成情况：全年项目支出</w:t>
      </w:r>
      <w:r>
        <w:rPr>
          <w:rFonts w:hint="eastAsia" w:ascii="仿宋" w:hAnsi="仿宋" w:eastAsia="仿宋" w:cs="仿宋"/>
          <w:kern w:val="0"/>
          <w:sz w:val="32"/>
          <w:szCs w:val="32"/>
        </w:rPr>
        <w:t>绩效情况理想，达到项目申请时设定的各项绩效目标。社会公众或服务对象满意度达9</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%以上。</w:t>
      </w:r>
      <w:r>
        <w:rPr>
          <w:rFonts w:hint="eastAsia" w:ascii="仿宋_GB2312" w:hAnsi="Times New Roman" w:eastAsia="仿宋_GB2312" w:cs="仿宋_GB2312"/>
          <w:b w:val="0"/>
          <w:bCs w:val="0"/>
          <w:caps w:val="0"/>
          <w:color w:val="auto"/>
          <w:kern w:val="0"/>
          <w:sz w:val="32"/>
          <w:szCs w:val="32"/>
          <w:vertAlign w:val="baseline"/>
          <w:lang w:val="en-US" w:eastAsia="zh-CN" w:bidi="ar"/>
        </w:rPr>
        <w:t>自评发现的主要问题及原因：</w:t>
      </w:r>
      <w:r>
        <w:rPr>
          <w:rFonts w:hint="eastAsia" w:ascii="仿宋_GB2312" w:hAnsi="Times New Roman" w:eastAsia="仿宋_GB2312" w:cs="仿宋_GB2312"/>
          <w:b w:val="0"/>
          <w:bCs w:val="0"/>
          <w:caps w:val="0"/>
          <w:color w:val="FF0000"/>
          <w:kern w:val="0"/>
          <w:sz w:val="32"/>
          <w:szCs w:val="32"/>
          <w:vertAlign w:val="baseline"/>
          <w:lang w:val="en-US" w:eastAsia="zh-CN" w:bidi="ar"/>
        </w:rPr>
        <w:t>财政资金紧张无法及时支付项目款。</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ascii="仿宋" w:hAnsi="仿宋" w:eastAsia="仿宋" w:cs="仿宋"/>
          <w:color w:val="000000" w:themeColor="text1"/>
          <w:kern w:val="0"/>
          <w:sz w:val="32"/>
          <w:szCs w:val="32"/>
          <w:u w:val="single"/>
          <w14:textFill>
            <w14:solidFill>
              <w14:schemeClr w14:val="tx1"/>
            </w14:solidFill>
          </w14:textFill>
        </w:rPr>
      </w:pP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组织对</w:t>
      </w:r>
      <w:r>
        <w:rPr>
          <w:rFonts w:hint="eastAsia" w:ascii="仿宋" w:hAnsi="仿宋" w:eastAsia="仿宋" w:cs="仿宋"/>
          <w:color w:val="000000" w:themeColor="text1"/>
          <w:sz w:val="32"/>
          <w:szCs w:val="32"/>
          <w14:textFill>
            <w14:solidFill>
              <w14:schemeClr w14:val="tx1"/>
            </w14:solidFill>
          </w14:textFill>
        </w:rPr>
        <w:t>“五好工商联建设”</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等1个重点项目进行了部门评价，评价结果为一等，涉及资金1.95万元。</w:t>
      </w:r>
      <w:r>
        <w:rPr>
          <w:rFonts w:hint="eastAsia" w:ascii="仿宋_GB2312" w:hAnsi="Verdana" w:eastAsia="仿宋_GB2312"/>
          <w:color w:val="000000"/>
          <w:sz w:val="32"/>
          <w:szCs w:val="32"/>
        </w:rPr>
        <w:t>引导会员积极参加国家经济建设，推动社会主义市场经济体制逐步完善，促进社会全面进步</w:t>
      </w:r>
      <w:r>
        <w:rPr>
          <w:rFonts w:hint="eastAsia" w:ascii="仿宋" w:hAnsi="仿宋" w:eastAsia="仿宋" w:cs="仿宋"/>
          <w:i w:val="0"/>
          <w:iCs w:val="0"/>
          <w:caps w:val="0"/>
          <w:color w:val="000000" w:themeColor="text1"/>
          <w:spacing w:val="0"/>
          <w:sz w:val="32"/>
          <w:szCs w:val="32"/>
          <w14:textFill>
            <w14:solidFill>
              <w14:schemeClr w14:val="tx1"/>
            </w14:solidFill>
          </w14:textFill>
        </w:rPr>
        <w:t>，推动</w:t>
      </w:r>
      <w:r>
        <w:rPr>
          <w:rFonts w:hint="eastAsia" w:ascii="仿宋_GB2312" w:hAnsi="Verdana" w:eastAsia="仿宋_GB2312"/>
          <w:color w:val="000000"/>
          <w:sz w:val="32"/>
          <w:szCs w:val="32"/>
        </w:rPr>
        <w:t>会员积极参与“光彩事业”</w:t>
      </w:r>
      <w:r>
        <w:rPr>
          <w:rFonts w:hint="eastAsia" w:ascii="仿宋" w:hAnsi="仿宋" w:eastAsia="仿宋" w:cs="仿宋"/>
          <w:i w:val="0"/>
          <w:iCs w:val="0"/>
          <w:caps w:val="0"/>
          <w:color w:val="000000" w:themeColor="text1"/>
          <w:spacing w:val="0"/>
          <w:sz w:val="32"/>
          <w:szCs w:val="32"/>
          <w14:textFill>
            <w14:solidFill>
              <w14:schemeClr w14:val="tx1"/>
            </w14:solidFill>
          </w14:textFill>
        </w:rPr>
        <w:t>。</w:t>
      </w:r>
      <w:r>
        <w:rPr>
          <w:rFonts w:ascii="仿宋" w:hAnsi="仿宋" w:eastAsia="仿宋" w:cs="宋体"/>
          <w:color w:val="000000" w:themeColor="text1"/>
          <w:sz w:val="32"/>
          <w:szCs w:val="32"/>
          <w14:textFill>
            <w14:solidFill>
              <w14:schemeClr w14:val="tx1"/>
            </w14:solidFill>
          </w14:textFill>
        </w:rPr>
        <w:t>从评价情况来看，</w:t>
      </w:r>
      <w:r>
        <w:rPr>
          <w:rFonts w:hint="eastAsia" w:ascii="仿宋" w:hAnsi="仿宋" w:eastAsia="仿宋" w:cs="宋体"/>
          <w:color w:val="000000" w:themeColor="text1"/>
          <w:sz w:val="32"/>
          <w:szCs w:val="32"/>
          <w:lang w:val="en-US" w:eastAsia="zh-CN"/>
          <w14:textFill>
            <w14:solidFill>
              <w14:schemeClr w14:val="tx1"/>
            </w14:solidFill>
          </w14:textFill>
        </w:rPr>
        <w:t>达到了年初设定的绩效目标</w:t>
      </w:r>
      <w:r>
        <w:rPr>
          <w:rFonts w:hint="eastAsia" w:ascii="仿宋" w:hAnsi="仿宋" w:eastAsia="仿宋" w:cs="宋体"/>
          <w:color w:val="000000" w:themeColor="text1"/>
          <w:sz w:val="32"/>
          <w:szCs w:val="32"/>
          <w14:textFill>
            <w14:solidFill>
              <w14:schemeClr w14:val="tx1"/>
            </w14:solidFill>
          </w14:textFill>
        </w:rPr>
        <w:t>。</w:t>
      </w:r>
    </w:p>
    <w:p>
      <w:pPr>
        <w:keepNext w:val="0"/>
        <w:keepLines w:val="0"/>
        <w:pageBreakBefore w:val="0"/>
        <w:widowControl w:val="0"/>
        <w:numPr>
          <w:ilvl w:val="0"/>
          <w:numId w:val="3"/>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hAnsi="Times New Roman" w:eastAsia="仿宋_GB2312" w:cs="仿宋_GB2312"/>
          <w:caps w:val="0"/>
          <w:color w:val="auto"/>
          <w:kern w:val="0"/>
          <w:sz w:val="32"/>
          <w:szCs w:val="32"/>
          <w:vertAlign w:val="baseline"/>
          <w:lang w:val="en-US" w:eastAsia="zh-CN" w:bidi="ar"/>
        </w:rPr>
      </w:pPr>
      <w:r>
        <w:rPr>
          <w:rFonts w:hint="eastAsia" w:ascii="仿宋_GB2312" w:hAnsi="Times New Roman" w:eastAsia="仿宋_GB2312" w:cs="仿宋_GB2312"/>
          <w:caps w:val="0"/>
          <w:color w:val="auto"/>
          <w:kern w:val="0"/>
          <w:sz w:val="32"/>
          <w:szCs w:val="32"/>
          <w:vertAlign w:val="baseline"/>
          <w:lang w:val="en-US" w:eastAsia="zh-CN" w:bidi="ar"/>
        </w:rPr>
        <w:t>财政绩效评价结果。</w:t>
      </w:r>
    </w:p>
    <w:p>
      <w:pPr>
        <w:keepNext w:val="0"/>
        <w:keepLines w:val="0"/>
        <w:pageBreakBefore w:val="0"/>
        <w:widowControl w:val="0"/>
        <w:numPr>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rightChars="0" w:firstLine="640" w:firstLineChars="200"/>
        <w:jc w:val="both"/>
        <w:textAlignment w:val="auto"/>
        <w:outlineLvl w:val="9"/>
        <w:rPr>
          <w:rFonts w:hint="eastAsia" w:ascii="仿宋_GB2312" w:hAnsi="Times New Roman" w:eastAsia="仿宋_GB2312" w:cs="仿宋_GB2312"/>
          <w:caps w:val="0"/>
          <w:color w:val="auto"/>
          <w:kern w:val="0"/>
          <w:sz w:val="32"/>
          <w:szCs w:val="32"/>
          <w:vertAlign w:val="baseline"/>
          <w:lang w:val="en-US" w:eastAsia="zh-CN" w:bidi="ar"/>
        </w:rPr>
      </w:pPr>
      <w:r>
        <w:rPr>
          <w:rFonts w:hint="eastAsia" w:ascii="仿宋_GB2312" w:hAnsi="Times New Roman" w:eastAsia="仿宋_GB2312" w:cs="仿宋_GB2312"/>
          <w:caps w:val="0"/>
          <w:color w:val="auto"/>
          <w:kern w:val="0"/>
          <w:sz w:val="32"/>
          <w:szCs w:val="32"/>
          <w:vertAlign w:val="baseline"/>
          <w:lang w:val="en-US" w:eastAsia="zh-CN" w:bidi="ar"/>
        </w:rPr>
        <w:t>无。</w:t>
      </w:r>
    </w:p>
    <w:p>
      <w:pPr>
        <w:keepNext w:val="0"/>
        <w:keepLines w:val="0"/>
        <w:pageBreakBefore w:val="0"/>
        <w:widowControl w:val="0"/>
        <w:numPr>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rightChars="0" w:firstLine="640" w:firstLineChars="200"/>
        <w:jc w:val="both"/>
        <w:textAlignment w:val="auto"/>
        <w:outlineLvl w:val="9"/>
        <w:rPr>
          <w:rFonts w:hint="eastAsia" w:ascii="仿宋_GB2312" w:hAnsi="Times New Roman" w:eastAsia="仿宋_GB2312" w:cs="仿宋_GB2312"/>
          <w:caps w:val="0"/>
          <w:color w:val="auto"/>
          <w:kern w:val="0"/>
          <w:sz w:val="32"/>
          <w:szCs w:val="32"/>
          <w:vertAlign w:val="baseline"/>
          <w:lang w:val="en-US" w:eastAsia="zh-CN" w:bidi="ar"/>
        </w:rPr>
      </w:pPr>
    </w:p>
    <w:p>
      <w:pPr>
        <w:keepNext w:val="0"/>
        <w:keepLines w:val="0"/>
        <w:pageBreakBefore w:val="0"/>
        <w:widowControl w:val="0"/>
        <w:numPr>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rightChars="0" w:firstLine="640" w:firstLineChars="200"/>
        <w:jc w:val="both"/>
        <w:textAlignment w:val="auto"/>
        <w:outlineLvl w:val="9"/>
        <w:rPr>
          <w:rFonts w:hint="eastAsia" w:ascii="仿宋_GB2312" w:hAnsi="Times New Roman" w:eastAsia="仿宋_GB2312" w:cs="仿宋_GB2312"/>
          <w:caps w:val="0"/>
          <w:color w:val="auto"/>
          <w:kern w:val="0"/>
          <w:sz w:val="32"/>
          <w:szCs w:val="32"/>
          <w:vertAlign w:val="baseline"/>
          <w:lang w:val="en-US" w:eastAsia="zh-CN" w:bidi="ar"/>
        </w:rPr>
      </w:pPr>
      <w:r>
        <w:rPr>
          <w:rFonts w:hint="eastAsia" w:ascii="仿宋_GB2312" w:hAnsi="Times New Roman" w:eastAsia="仿宋_GB2312" w:cs="仿宋_GB2312"/>
          <w:caps w:val="0"/>
          <w:color w:val="auto"/>
          <w:kern w:val="0"/>
          <w:sz w:val="32"/>
          <w:szCs w:val="32"/>
          <w:vertAlign w:val="baseline"/>
          <w:lang w:val="en-US" w:eastAsia="zh-CN" w:bidi="ar"/>
        </w:rPr>
        <w:object>
          <v:shape id="_x0000_i1031" o:spt="75" type="#_x0000_t75" style="height:28.35pt;width:189.4pt;" o:ole="t" filled="f" o:preferrelative="t" stroked="f" coordsize="21600,21600">
            <v:path/>
            <v:fill on="f" focussize="0,0"/>
            <v:stroke on="f"/>
            <v:imagedata r:id="rId18" o:title=""/>
            <o:lock v:ext="edit" aspectratio="t"/>
            <w10:wrap type="none"/>
            <w10:anchorlock/>
          </v:shape>
          <o:OLEObject Type="Embed" ProgID="Package" ShapeID="_x0000_i1031" DrawAspect="Content" ObjectID="_1468075725" r:id="rId17">
            <o:LockedField>false</o:LockedField>
          </o:OLEObject>
        </w:object>
      </w:r>
      <w:bookmarkStart w:id="3" w:name="_GoBack"/>
      <w:bookmarkEnd w:id="3"/>
    </w:p>
    <w:p>
      <w:pPr>
        <w:keepNext w:val="0"/>
        <w:keepLines w:val="0"/>
        <w:pageBreakBefore w:val="0"/>
        <w:widowControl w:val="0"/>
        <w:numPr>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rightChars="0"/>
        <w:jc w:val="both"/>
        <w:textAlignment w:val="auto"/>
        <w:outlineLvl w:val="9"/>
        <w:rPr>
          <w:rFonts w:hint="eastAsia" w:ascii="仿宋_GB2312" w:hAnsi="Times New Roman" w:eastAsia="仿宋_GB2312" w:cs="仿宋_GB2312"/>
          <w:caps w:val="0"/>
          <w:color w:val="auto"/>
          <w:kern w:val="0"/>
          <w:sz w:val="32"/>
          <w:szCs w:val="32"/>
          <w:vertAlign w:val="baseline"/>
          <w:lang w:val="en-US" w:eastAsia="zh-CN" w:bidi="ar"/>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keepNext w:val="0"/>
        <w:keepLines w:val="0"/>
        <w:pageBreakBefore w:val="0"/>
        <w:kinsoku/>
        <w:wordWrap/>
        <w:overflowPunct/>
        <w:topLinePunct w:val="0"/>
        <w:bidi w:val="0"/>
        <w:snapToGrid/>
        <w:spacing w:line="560" w:lineRule="exact"/>
        <w:ind w:firstLine="640"/>
        <w:jc w:val="both"/>
        <w:textAlignment w:val="auto"/>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keepNext w:val="0"/>
        <w:keepLines w:val="0"/>
        <w:pageBreakBefore w:val="0"/>
        <w:kinsoku/>
        <w:wordWrap/>
        <w:overflowPunct/>
        <w:topLinePunct w:val="0"/>
        <w:bidi w:val="0"/>
        <w:snapToGrid/>
        <w:spacing w:line="560" w:lineRule="exact"/>
        <w:ind w:firstLine="640"/>
        <w:jc w:val="both"/>
        <w:textAlignment w:val="auto"/>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keepNext w:val="0"/>
        <w:keepLines w:val="0"/>
        <w:pageBreakBefore w:val="0"/>
        <w:kinsoku/>
        <w:wordWrap/>
        <w:overflowPunct/>
        <w:topLinePunct w:val="0"/>
        <w:bidi w:val="0"/>
        <w:snapToGrid/>
        <w:spacing w:line="560" w:lineRule="exact"/>
        <w:ind w:firstLine="640"/>
        <w:jc w:val="both"/>
        <w:textAlignment w:val="auto"/>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520" w:lineRule="exact"/>
        <w:jc w:val="both"/>
        <w:textAlignment w:val="auto"/>
        <w:rPr>
          <w:rFonts w:hint="eastAsia"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decorative"/>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58507"/>
    <w:multiLevelType w:val="singleLevel"/>
    <w:tmpl w:val="9D358507"/>
    <w:lvl w:ilvl="0" w:tentative="0">
      <w:start w:val="4"/>
      <w:numFmt w:val="decimal"/>
      <w:lvlText w:val="%1."/>
      <w:lvlJc w:val="left"/>
      <w:pPr>
        <w:tabs>
          <w:tab w:val="left" w:pos="312"/>
        </w:tabs>
      </w:p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02DA124F"/>
    <w:multiLevelType w:val="singleLevel"/>
    <w:tmpl w:val="02DA124F"/>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hNGJjNzkxYWMzMTQ5NmQwMjU0YzEzMmFkNWE3MDU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47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51361"/>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062EEC"/>
    <w:rsid w:val="01234E98"/>
    <w:rsid w:val="013B4910"/>
    <w:rsid w:val="015F1951"/>
    <w:rsid w:val="01826A17"/>
    <w:rsid w:val="020C171D"/>
    <w:rsid w:val="0216715F"/>
    <w:rsid w:val="02232C91"/>
    <w:rsid w:val="02BF77F6"/>
    <w:rsid w:val="02E0291A"/>
    <w:rsid w:val="04AD5A0C"/>
    <w:rsid w:val="04E13A54"/>
    <w:rsid w:val="04E54546"/>
    <w:rsid w:val="04FB2E55"/>
    <w:rsid w:val="05992762"/>
    <w:rsid w:val="059960DD"/>
    <w:rsid w:val="060914B4"/>
    <w:rsid w:val="067A5F0E"/>
    <w:rsid w:val="06B9082A"/>
    <w:rsid w:val="07247C28"/>
    <w:rsid w:val="07B0770E"/>
    <w:rsid w:val="07CF1338"/>
    <w:rsid w:val="07E736EF"/>
    <w:rsid w:val="07EB4B51"/>
    <w:rsid w:val="08387E2F"/>
    <w:rsid w:val="086D0FED"/>
    <w:rsid w:val="089D7C92"/>
    <w:rsid w:val="08D35DAA"/>
    <w:rsid w:val="0942143F"/>
    <w:rsid w:val="09756E61"/>
    <w:rsid w:val="09895C96"/>
    <w:rsid w:val="098D7D07"/>
    <w:rsid w:val="09E85885"/>
    <w:rsid w:val="0A04459D"/>
    <w:rsid w:val="0ADE0F46"/>
    <w:rsid w:val="0AF63404"/>
    <w:rsid w:val="0B671CFC"/>
    <w:rsid w:val="0B6C756D"/>
    <w:rsid w:val="0B70168E"/>
    <w:rsid w:val="0B84338B"/>
    <w:rsid w:val="0D100297"/>
    <w:rsid w:val="0D202B45"/>
    <w:rsid w:val="0DC857B1"/>
    <w:rsid w:val="0E0F50B1"/>
    <w:rsid w:val="0E560E0F"/>
    <w:rsid w:val="0E8076CD"/>
    <w:rsid w:val="0F81030D"/>
    <w:rsid w:val="0F8D4C87"/>
    <w:rsid w:val="0FA4224E"/>
    <w:rsid w:val="0FAC20D9"/>
    <w:rsid w:val="10505FAA"/>
    <w:rsid w:val="105F7E7E"/>
    <w:rsid w:val="10D73F5D"/>
    <w:rsid w:val="112453F4"/>
    <w:rsid w:val="11301FEB"/>
    <w:rsid w:val="116A4DD1"/>
    <w:rsid w:val="117417AC"/>
    <w:rsid w:val="11B17A69"/>
    <w:rsid w:val="11E56B5B"/>
    <w:rsid w:val="122F792D"/>
    <w:rsid w:val="125C77AB"/>
    <w:rsid w:val="126D0240"/>
    <w:rsid w:val="13001549"/>
    <w:rsid w:val="13025CB9"/>
    <w:rsid w:val="13174AE5"/>
    <w:rsid w:val="13547AE7"/>
    <w:rsid w:val="1382139C"/>
    <w:rsid w:val="143C4803"/>
    <w:rsid w:val="143F2545"/>
    <w:rsid w:val="1456063D"/>
    <w:rsid w:val="14CB726E"/>
    <w:rsid w:val="14D47CF8"/>
    <w:rsid w:val="156A35F2"/>
    <w:rsid w:val="15D269A4"/>
    <w:rsid w:val="15DF094D"/>
    <w:rsid w:val="15E92769"/>
    <w:rsid w:val="160550C9"/>
    <w:rsid w:val="164D0F49"/>
    <w:rsid w:val="172D48D7"/>
    <w:rsid w:val="172F4AF3"/>
    <w:rsid w:val="174033CA"/>
    <w:rsid w:val="177B5642"/>
    <w:rsid w:val="17A9732B"/>
    <w:rsid w:val="17E92249"/>
    <w:rsid w:val="181C6A73"/>
    <w:rsid w:val="182201B4"/>
    <w:rsid w:val="183A374F"/>
    <w:rsid w:val="18D304F1"/>
    <w:rsid w:val="18D70F9E"/>
    <w:rsid w:val="192B4E46"/>
    <w:rsid w:val="195425EF"/>
    <w:rsid w:val="196071E6"/>
    <w:rsid w:val="19F32577"/>
    <w:rsid w:val="19F45B80"/>
    <w:rsid w:val="1AB02F09"/>
    <w:rsid w:val="1B0C078D"/>
    <w:rsid w:val="1B1A7868"/>
    <w:rsid w:val="1B2B31E2"/>
    <w:rsid w:val="1B4C295A"/>
    <w:rsid w:val="1B973C63"/>
    <w:rsid w:val="1B9C027D"/>
    <w:rsid w:val="1BA1001E"/>
    <w:rsid w:val="1BA86C22"/>
    <w:rsid w:val="1BAD248A"/>
    <w:rsid w:val="1BD619E1"/>
    <w:rsid w:val="1C3E30E2"/>
    <w:rsid w:val="1C735482"/>
    <w:rsid w:val="1CBF00CA"/>
    <w:rsid w:val="1CE4012E"/>
    <w:rsid w:val="1CFD2F9D"/>
    <w:rsid w:val="1D0936F0"/>
    <w:rsid w:val="1D1D0F4A"/>
    <w:rsid w:val="1D317259"/>
    <w:rsid w:val="1DAB29F9"/>
    <w:rsid w:val="1DE000FC"/>
    <w:rsid w:val="1E664F5B"/>
    <w:rsid w:val="1E707ECB"/>
    <w:rsid w:val="1E9E7D71"/>
    <w:rsid w:val="1EB34BE1"/>
    <w:rsid w:val="1F0120F6"/>
    <w:rsid w:val="1F1840BF"/>
    <w:rsid w:val="1F7E2602"/>
    <w:rsid w:val="1FCA0473"/>
    <w:rsid w:val="207652A0"/>
    <w:rsid w:val="21132D8F"/>
    <w:rsid w:val="2120725A"/>
    <w:rsid w:val="21366A7E"/>
    <w:rsid w:val="215E639F"/>
    <w:rsid w:val="21645399"/>
    <w:rsid w:val="21C50EE2"/>
    <w:rsid w:val="21EC3183"/>
    <w:rsid w:val="222D7E81"/>
    <w:rsid w:val="225E72CD"/>
    <w:rsid w:val="236B2A0F"/>
    <w:rsid w:val="23C71C0F"/>
    <w:rsid w:val="23DF6D00"/>
    <w:rsid w:val="2413797E"/>
    <w:rsid w:val="246E2F77"/>
    <w:rsid w:val="24F2250B"/>
    <w:rsid w:val="254B4E2B"/>
    <w:rsid w:val="25714529"/>
    <w:rsid w:val="2612248F"/>
    <w:rsid w:val="278C564A"/>
    <w:rsid w:val="27A91D58"/>
    <w:rsid w:val="27CF7A19"/>
    <w:rsid w:val="27D74338"/>
    <w:rsid w:val="283D7C94"/>
    <w:rsid w:val="28DA4193"/>
    <w:rsid w:val="28EA087A"/>
    <w:rsid w:val="29480E03"/>
    <w:rsid w:val="29551481"/>
    <w:rsid w:val="29600B3C"/>
    <w:rsid w:val="2983634D"/>
    <w:rsid w:val="29A44ECD"/>
    <w:rsid w:val="2AB033FD"/>
    <w:rsid w:val="2AC37256"/>
    <w:rsid w:val="2B1C6CE5"/>
    <w:rsid w:val="2B30012B"/>
    <w:rsid w:val="2B434271"/>
    <w:rsid w:val="2B6C37C8"/>
    <w:rsid w:val="2BB02055"/>
    <w:rsid w:val="2BE75544"/>
    <w:rsid w:val="2C575A56"/>
    <w:rsid w:val="2C722FB3"/>
    <w:rsid w:val="2CBC252D"/>
    <w:rsid w:val="2DA059AB"/>
    <w:rsid w:val="2EBD258D"/>
    <w:rsid w:val="2EE24644"/>
    <w:rsid w:val="2F257714"/>
    <w:rsid w:val="2F3275E5"/>
    <w:rsid w:val="2F603644"/>
    <w:rsid w:val="2FD302BA"/>
    <w:rsid w:val="302C1780"/>
    <w:rsid w:val="30AA08EF"/>
    <w:rsid w:val="30D23D1C"/>
    <w:rsid w:val="31221CF5"/>
    <w:rsid w:val="31374C58"/>
    <w:rsid w:val="31400178"/>
    <w:rsid w:val="31437A2F"/>
    <w:rsid w:val="319D593E"/>
    <w:rsid w:val="32056724"/>
    <w:rsid w:val="321E3342"/>
    <w:rsid w:val="324F5BF1"/>
    <w:rsid w:val="32737B32"/>
    <w:rsid w:val="327759C8"/>
    <w:rsid w:val="33185FE3"/>
    <w:rsid w:val="333B4A44"/>
    <w:rsid w:val="33714A9F"/>
    <w:rsid w:val="33730BF2"/>
    <w:rsid w:val="344D62AE"/>
    <w:rsid w:val="346A286F"/>
    <w:rsid w:val="34EE2E36"/>
    <w:rsid w:val="352B64A2"/>
    <w:rsid w:val="36541A28"/>
    <w:rsid w:val="366003CD"/>
    <w:rsid w:val="36777241"/>
    <w:rsid w:val="36835C3C"/>
    <w:rsid w:val="369010FB"/>
    <w:rsid w:val="369A74F3"/>
    <w:rsid w:val="36B44275"/>
    <w:rsid w:val="37ED3EE3"/>
    <w:rsid w:val="37FA03AE"/>
    <w:rsid w:val="38414B66"/>
    <w:rsid w:val="389600D6"/>
    <w:rsid w:val="38A951DB"/>
    <w:rsid w:val="38B31605"/>
    <w:rsid w:val="38C34C43"/>
    <w:rsid w:val="39003F4F"/>
    <w:rsid w:val="39074B30"/>
    <w:rsid w:val="393A4F06"/>
    <w:rsid w:val="39691347"/>
    <w:rsid w:val="396E4BAF"/>
    <w:rsid w:val="39E17431"/>
    <w:rsid w:val="3A4E4B19"/>
    <w:rsid w:val="3A83468A"/>
    <w:rsid w:val="3AA32404"/>
    <w:rsid w:val="3B3F2CA7"/>
    <w:rsid w:val="3B844B5E"/>
    <w:rsid w:val="3BB30F9F"/>
    <w:rsid w:val="3C07002B"/>
    <w:rsid w:val="3C215F09"/>
    <w:rsid w:val="3C8F7316"/>
    <w:rsid w:val="3CCC6CDE"/>
    <w:rsid w:val="3CE05DC4"/>
    <w:rsid w:val="3D0D152A"/>
    <w:rsid w:val="3DF62756"/>
    <w:rsid w:val="3E2E13DC"/>
    <w:rsid w:val="3EB2080F"/>
    <w:rsid w:val="3EB2553E"/>
    <w:rsid w:val="3EBE2135"/>
    <w:rsid w:val="3EDE27D7"/>
    <w:rsid w:val="3F1B7587"/>
    <w:rsid w:val="3F6E5909"/>
    <w:rsid w:val="3FD511B7"/>
    <w:rsid w:val="3FDD2A8F"/>
    <w:rsid w:val="4021098C"/>
    <w:rsid w:val="406960D0"/>
    <w:rsid w:val="412C5A7C"/>
    <w:rsid w:val="41314E40"/>
    <w:rsid w:val="41C65350"/>
    <w:rsid w:val="41E57B4F"/>
    <w:rsid w:val="41F73507"/>
    <w:rsid w:val="424D62B1"/>
    <w:rsid w:val="425D3A13"/>
    <w:rsid w:val="432F26F6"/>
    <w:rsid w:val="43880F63"/>
    <w:rsid w:val="43AA712C"/>
    <w:rsid w:val="43DD305D"/>
    <w:rsid w:val="441C5A6F"/>
    <w:rsid w:val="44774D66"/>
    <w:rsid w:val="44C44FCC"/>
    <w:rsid w:val="44CC7369"/>
    <w:rsid w:val="45336CAD"/>
    <w:rsid w:val="457F5108"/>
    <w:rsid w:val="459419EE"/>
    <w:rsid w:val="45E5269D"/>
    <w:rsid w:val="46951B6B"/>
    <w:rsid w:val="46AE0CE1"/>
    <w:rsid w:val="46E918B3"/>
    <w:rsid w:val="4755115C"/>
    <w:rsid w:val="47732FB5"/>
    <w:rsid w:val="47A85730"/>
    <w:rsid w:val="48536525"/>
    <w:rsid w:val="48693111"/>
    <w:rsid w:val="48A46009"/>
    <w:rsid w:val="48AE3670"/>
    <w:rsid w:val="48E42798"/>
    <w:rsid w:val="492139EC"/>
    <w:rsid w:val="49A34401"/>
    <w:rsid w:val="4A006E59"/>
    <w:rsid w:val="4A286FFC"/>
    <w:rsid w:val="4A3414FD"/>
    <w:rsid w:val="4A3E30AB"/>
    <w:rsid w:val="4A7B35D0"/>
    <w:rsid w:val="4ABA40F8"/>
    <w:rsid w:val="4AC14DAC"/>
    <w:rsid w:val="4ADB7397"/>
    <w:rsid w:val="4B3814C1"/>
    <w:rsid w:val="4B9A0871"/>
    <w:rsid w:val="4C583BC9"/>
    <w:rsid w:val="4CA24E44"/>
    <w:rsid w:val="4CC72AFC"/>
    <w:rsid w:val="4CC7700D"/>
    <w:rsid w:val="4D043409"/>
    <w:rsid w:val="4D154C85"/>
    <w:rsid w:val="4D6D36A4"/>
    <w:rsid w:val="4E0472EF"/>
    <w:rsid w:val="4E235B10"/>
    <w:rsid w:val="4EC8553A"/>
    <w:rsid w:val="4F553D3D"/>
    <w:rsid w:val="4FBF3F5F"/>
    <w:rsid w:val="4FC878AF"/>
    <w:rsid w:val="505C17AE"/>
    <w:rsid w:val="508F4E24"/>
    <w:rsid w:val="50CE26AB"/>
    <w:rsid w:val="51461E90"/>
    <w:rsid w:val="51463753"/>
    <w:rsid w:val="51AD13AD"/>
    <w:rsid w:val="51BF7ECE"/>
    <w:rsid w:val="51EE4687"/>
    <w:rsid w:val="52553A93"/>
    <w:rsid w:val="52566DC5"/>
    <w:rsid w:val="528B0128"/>
    <w:rsid w:val="52FC5C5D"/>
    <w:rsid w:val="53521F8B"/>
    <w:rsid w:val="53E22F47"/>
    <w:rsid w:val="540E1011"/>
    <w:rsid w:val="54522FF8"/>
    <w:rsid w:val="5452714F"/>
    <w:rsid w:val="54680721"/>
    <w:rsid w:val="54DF6509"/>
    <w:rsid w:val="55191A1B"/>
    <w:rsid w:val="55450629"/>
    <w:rsid w:val="55863C68"/>
    <w:rsid w:val="56403B4C"/>
    <w:rsid w:val="56692963"/>
    <w:rsid w:val="56801A3D"/>
    <w:rsid w:val="568B0F48"/>
    <w:rsid w:val="56A16E30"/>
    <w:rsid w:val="56B569A0"/>
    <w:rsid w:val="56F444EE"/>
    <w:rsid w:val="575C2093"/>
    <w:rsid w:val="5786217B"/>
    <w:rsid w:val="57AC301B"/>
    <w:rsid w:val="57C02622"/>
    <w:rsid w:val="57D87381"/>
    <w:rsid w:val="57EC3417"/>
    <w:rsid w:val="584A5CB3"/>
    <w:rsid w:val="588E562D"/>
    <w:rsid w:val="58A261CC"/>
    <w:rsid w:val="590D7AE9"/>
    <w:rsid w:val="592D7AAD"/>
    <w:rsid w:val="59337A15"/>
    <w:rsid w:val="59810274"/>
    <w:rsid w:val="5999137D"/>
    <w:rsid w:val="59B042D0"/>
    <w:rsid w:val="5A2055FA"/>
    <w:rsid w:val="5B286D4F"/>
    <w:rsid w:val="5BB11CA6"/>
    <w:rsid w:val="5C900B9C"/>
    <w:rsid w:val="5CA96A00"/>
    <w:rsid w:val="5CF730BC"/>
    <w:rsid w:val="5D50269A"/>
    <w:rsid w:val="5DCF35BF"/>
    <w:rsid w:val="5E3E1B85"/>
    <w:rsid w:val="5E5E2B95"/>
    <w:rsid w:val="5E5F0DCE"/>
    <w:rsid w:val="5F3B0A2B"/>
    <w:rsid w:val="5F9E1458"/>
    <w:rsid w:val="5FA40A7B"/>
    <w:rsid w:val="5FD56D29"/>
    <w:rsid w:val="5FEC7F3F"/>
    <w:rsid w:val="5FFC4413"/>
    <w:rsid w:val="602120CC"/>
    <w:rsid w:val="60F74BC3"/>
    <w:rsid w:val="61406582"/>
    <w:rsid w:val="617D3BF8"/>
    <w:rsid w:val="61841F6A"/>
    <w:rsid w:val="61DC274E"/>
    <w:rsid w:val="623007A9"/>
    <w:rsid w:val="62C30438"/>
    <w:rsid w:val="62D55422"/>
    <w:rsid w:val="62DE42A4"/>
    <w:rsid w:val="63610025"/>
    <w:rsid w:val="637D7558"/>
    <w:rsid w:val="63B3647D"/>
    <w:rsid w:val="63FD6F73"/>
    <w:rsid w:val="644F19AC"/>
    <w:rsid w:val="646A4041"/>
    <w:rsid w:val="64DB6CED"/>
    <w:rsid w:val="652E32C1"/>
    <w:rsid w:val="654D2CA0"/>
    <w:rsid w:val="65510D5D"/>
    <w:rsid w:val="65AA4920"/>
    <w:rsid w:val="65E240AB"/>
    <w:rsid w:val="667967BE"/>
    <w:rsid w:val="66D63C10"/>
    <w:rsid w:val="671E7365"/>
    <w:rsid w:val="6752455C"/>
    <w:rsid w:val="67694F1E"/>
    <w:rsid w:val="67A02BD4"/>
    <w:rsid w:val="67A21D44"/>
    <w:rsid w:val="681E3405"/>
    <w:rsid w:val="68297D70"/>
    <w:rsid w:val="684F3C7A"/>
    <w:rsid w:val="688B6548"/>
    <w:rsid w:val="693764BC"/>
    <w:rsid w:val="6949649F"/>
    <w:rsid w:val="69597934"/>
    <w:rsid w:val="699833FF"/>
    <w:rsid w:val="69B937EA"/>
    <w:rsid w:val="69D822D4"/>
    <w:rsid w:val="6A5D01A4"/>
    <w:rsid w:val="6B964DDC"/>
    <w:rsid w:val="6C292A34"/>
    <w:rsid w:val="6C783074"/>
    <w:rsid w:val="6CAB3449"/>
    <w:rsid w:val="6D374CDD"/>
    <w:rsid w:val="6D8343C6"/>
    <w:rsid w:val="6D965EA7"/>
    <w:rsid w:val="6D9E65C6"/>
    <w:rsid w:val="6DA81947"/>
    <w:rsid w:val="6DC72505"/>
    <w:rsid w:val="6E0E200D"/>
    <w:rsid w:val="6EB66DE2"/>
    <w:rsid w:val="6ED3075F"/>
    <w:rsid w:val="6F085C98"/>
    <w:rsid w:val="6F2169E5"/>
    <w:rsid w:val="6F2A2D4B"/>
    <w:rsid w:val="6F593630"/>
    <w:rsid w:val="6F8A0C1E"/>
    <w:rsid w:val="6F992F8A"/>
    <w:rsid w:val="6FC965D5"/>
    <w:rsid w:val="703F45D4"/>
    <w:rsid w:val="70B7060E"/>
    <w:rsid w:val="713B6657"/>
    <w:rsid w:val="715D6546"/>
    <w:rsid w:val="71BE069E"/>
    <w:rsid w:val="72030E1E"/>
    <w:rsid w:val="722C2936"/>
    <w:rsid w:val="726C2848"/>
    <w:rsid w:val="72EC0317"/>
    <w:rsid w:val="72F23E71"/>
    <w:rsid w:val="73746558"/>
    <w:rsid w:val="73953409"/>
    <w:rsid w:val="73E069A3"/>
    <w:rsid w:val="73EF6311"/>
    <w:rsid w:val="74130252"/>
    <w:rsid w:val="74E10220"/>
    <w:rsid w:val="755E374E"/>
    <w:rsid w:val="7564688B"/>
    <w:rsid w:val="75774810"/>
    <w:rsid w:val="75B94FA5"/>
    <w:rsid w:val="76592168"/>
    <w:rsid w:val="7677439C"/>
    <w:rsid w:val="76A71125"/>
    <w:rsid w:val="77F71C38"/>
    <w:rsid w:val="78104AA8"/>
    <w:rsid w:val="78654DF4"/>
    <w:rsid w:val="78DB550B"/>
    <w:rsid w:val="78E257C5"/>
    <w:rsid w:val="794B35BE"/>
    <w:rsid w:val="797A48CF"/>
    <w:rsid w:val="79893ADD"/>
    <w:rsid w:val="799A0ACD"/>
    <w:rsid w:val="7A261E0E"/>
    <w:rsid w:val="7A3507F6"/>
    <w:rsid w:val="7A3A5E0C"/>
    <w:rsid w:val="7A431165"/>
    <w:rsid w:val="7ACA5EF4"/>
    <w:rsid w:val="7B0A3A31"/>
    <w:rsid w:val="7B0D52CF"/>
    <w:rsid w:val="7B3360ED"/>
    <w:rsid w:val="7B42766E"/>
    <w:rsid w:val="7B5319F3"/>
    <w:rsid w:val="7BDF037E"/>
    <w:rsid w:val="7BF50948"/>
    <w:rsid w:val="7CE66A78"/>
    <w:rsid w:val="7D23564C"/>
    <w:rsid w:val="7D553689"/>
    <w:rsid w:val="7D5E062D"/>
    <w:rsid w:val="7D627B54"/>
    <w:rsid w:val="7DF76CD8"/>
    <w:rsid w:val="7DFD787D"/>
    <w:rsid w:val="7E192908"/>
    <w:rsid w:val="7E1F5A45"/>
    <w:rsid w:val="7E7458EF"/>
    <w:rsid w:val="7E906943"/>
    <w:rsid w:val="7EBB576E"/>
    <w:rsid w:val="7ECD724F"/>
    <w:rsid w:val="7EDA5815"/>
    <w:rsid w:val="7F0F1615"/>
    <w:rsid w:val="7F3379FA"/>
    <w:rsid w:val="7F475253"/>
    <w:rsid w:val="7F531E4A"/>
    <w:rsid w:val="7F695C26"/>
    <w:rsid w:val="7FA61835"/>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bCs/>
    </w:rPr>
  </w:style>
  <w:style w:type="character" w:styleId="9">
    <w:name w:val="Emphasis"/>
    <w:basedOn w:val="7"/>
    <w:qFormat/>
    <w:uiPriority w:val="0"/>
    <w:rPr>
      <w:i/>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emf"/><Relationship Id="rId17" Type="http://schemas.openxmlformats.org/officeDocument/2006/relationships/oleObject" Target="embeddings/oleObject1.bin"/><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9.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K\AppData\Local\Temp\360zip$Temp\360$0\&#29615;&#27743;&#27611;&#21335;&#26063;&#33258;&#27835;&#21439;&#24037;&#21830;&#19994;&#32852;&#21512;&#20250;.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67.34</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支出决算图表</a:t>
            </a:r>
          </a:p>
        </c:rich>
      </c:tx>
      <c:layout/>
      <c:overlay val="0"/>
      <c:spPr>
        <a:noFill/>
        <a:ln>
          <a:noFill/>
        </a:ln>
        <a:effectLst/>
      </c:spPr>
    </c:title>
    <c:autoTitleDeleted val="0"/>
    <c:plotArea>
      <c:layout/>
      <c:barChart>
        <c:barDir val="col"/>
        <c:grouping val="clustered"/>
        <c:varyColors val="0"/>
        <c:ser>
          <c:idx val="0"/>
          <c:order val="0"/>
          <c:tx>
            <c:strRef>
              <c:f>'[环江毛南族自治县工商业联合会.xlsx]支出决算表 公开03表'!$F$18</c:f>
              <c:strCache>
                <c:ptCount val="1"/>
                <c:pt idx="0">
                  <c:v>2023年</c:v>
                </c:pt>
              </c:strCache>
            </c:strRef>
          </c:tx>
          <c:spPr>
            <a:solidFill>
              <a:schemeClr val="accent1"/>
            </a:solidFill>
            <a:ln>
              <a:noFill/>
            </a:ln>
            <a:effectLst/>
          </c:spPr>
          <c:invertIfNegative val="0"/>
          <c:dLbls>
            <c:delete val="1"/>
          </c:dLbls>
          <c:cat>
            <c:strRef>
              <c:f>'[环江毛南族自治县工商业联合会.xlsx]支出决算表 公开03表'!$E$19:$E$22</c:f>
              <c:strCache>
                <c:ptCount val="4"/>
                <c:pt idx="0">
                  <c:v>一般公共服务支出</c:v>
                </c:pt>
                <c:pt idx="1">
                  <c:v>社会保障和就业支出</c:v>
                </c:pt>
                <c:pt idx="2">
                  <c:v>住房保障支出</c:v>
                </c:pt>
                <c:pt idx="3">
                  <c:v>其他支出</c:v>
                </c:pt>
              </c:strCache>
            </c:strRef>
          </c:cat>
          <c:val>
            <c:numRef>
              <c:f>'[环江毛南族自治县工商业联合会.xlsx]支出决算表 公开03表'!$F$19:$F$22</c:f>
              <c:numCache>
                <c:formatCode>General</c:formatCode>
                <c:ptCount val="4"/>
                <c:pt idx="0">
                  <c:v>43.99</c:v>
                </c:pt>
                <c:pt idx="1">
                  <c:v>5.84</c:v>
                </c:pt>
                <c:pt idx="2">
                  <c:v>3.93</c:v>
                </c:pt>
                <c:pt idx="3">
                  <c:v>7.99</c:v>
                </c:pt>
              </c:numCache>
            </c:numRef>
          </c:val>
        </c:ser>
        <c:ser>
          <c:idx val="1"/>
          <c:order val="1"/>
          <c:tx>
            <c:strRef>
              <c:f>'[环江毛南族自治县工商业联合会.xlsx]支出决算表 公开03表'!$G$18</c:f>
              <c:strCache>
                <c:ptCount val="1"/>
                <c:pt idx="0">
                  <c:v>2022年</c:v>
                </c:pt>
              </c:strCache>
            </c:strRef>
          </c:tx>
          <c:spPr>
            <a:solidFill>
              <a:schemeClr val="accent2"/>
            </a:solidFill>
            <a:ln>
              <a:noFill/>
            </a:ln>
            <a:effectLst/>
          </c:spPr>
          <c:invertIfNegative val="0"/>
          <c:dLbls>
            <c:delete val="1"/>
          </c:dLbls>
          <c:cat>
            <c:strRef>
              <c:f>'[环江毛南族自治县工商业联合会.xlsx]支出决算表 公开03表'!$E$19:$E$22</c:f>
              <c:strCache>
                <c:ptCount val="4"/>
                <c:pt idx="0">
                  <c:v>一般公共服务支出</c:v>
                </c:pt>
                <c:pt idx="1">
                  <c:v>社会保障和就业支出</c:v>
                </c:pt>
                <c:pt idx="2">
                  <c:v>住房保障支出</c:v>
                </c:pt>
                <c:pt idx="3">
                  <c:v>其他支出</c:v>
                </c:pt>
              </c:strCache>
            </c:strRef>
          </c:cat>
          <c:val>
            <c:numRef>
              <c:f>'[环江毛南族自治县工商业联合会.xlsx]支出决算表 公开03表'!$G$19:$G$22</c:f>
              <c:numCache>
                <c:formatCode>General</c:formatCode>
                <c:ptCount val="4"/>
                <c:pt idx="0">
                  <c:v>49.13</c:v>
                </c:pt>
                <c:pt idx="1">
                  <c:v>5.19</c:v>
                </c:pt>
                <c:pt idx="2">
                  <c:v>3.5</c:v>
                </c:pt>
                <c:pt idx="3">
                  <c:v>9.53</c:v>
                </c:pt>
              </c:numCache>
            </c:numRef>
          </c:val>
        </c:ser>
        <c:dLbls>
          <c:showLegendKey val="0"/>
          <c:showVal val="0"/>
          <c:showCatName val="0"/>
          <c:showSerName val="0"/>
          <c:showPercent val="0"/>
          <c:showBubbleSize val="0"/>
        </c:dLbls>
        <c:gapWidth val="246"/>
        <c:overlap val="-28"/>
        <c:axId val="250932403"/>
        <c:axId val="699811309"/>
      </c:barChart>
      <c:catAx>
        <c:axId val="25093240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9811309"/>
        <c:crosses val="autoZero"/>
        <c:auto val="1"/>
        <c:lblAlgn val="ctr"/>
        <c:lblOffset val="100"/>
        <c:noMultiLvlLbl val="0"/>
      </c:catAx>
      <c:valAx>
        <c:axId val="69981130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93240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sz="1100"/>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Sheet1!$A$2:$A$4</c:f>
              <c:numCache>
                <c:formatCode>General</c:formatCode>
                <c:ptCount val="3"/>
                <c:pt idx="0">
                  <c:v>2012801</c:v>
                </c:pt>
                <c:pt idx="1">
                  <c:v>2012804</c:v>
                </c:pt>
                <c:pt idx="2">
                  <c:v>2012999</c:v>
                </c:pt>
              </c:numCache>
            </c:numRef>
          </c:cat>
          <c:val>
            <c:numRef>
              <c:f>Sheet1!$B$2:$B$4</c:f>
              <c:numCache>
                <c:formatCode>General</c:formatCode>
                <c:ptCount val="3"/>
                <c:pt idx="0">
                  <c:v>42.77</c:v>
                </c:pt>
                <c:pt idx="1">
                  <c:v>0.6</c:v>
                </c:pt>
                <c:pt idx="2">
                  <c:v>0.62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l">
              <a:defRPr lang="zh-CN" sz="1800" b="1" i="0" u="none" strike="noStrike" kern="1200" baseline="0">
                <a:solidFill>
                  <a:schemeClr val="tx1"/>
                </a:solidFill>
                <a:latin typeface="+mn-lt"/>
                <a:ea typeface="+mn-ea"/>
                <a:cs typeface="+mn-cs"/>
              </a:defRPr>
            </a:pPr>
            <a:r>
              <a:t>社会保障和就业支出</a:t>
            </a:r>
          </a:p>
        </c:rich>
      </c:tx>
      <c:layout/>
      <c:overlay val="0"/>
    </c:title>
    <c:autoTitleDeleted val="0"/>
    <c:plotArea>
      <c:layout/>
      <c:barChart>
        <c:barDir val="col"/>
        <c:grouping val="clustered"/>
        <c:varyColors val="0"/>
        <c:ser>
          <c:idx val="1"/>
          <c:order val="1"/>
          <c:tx>
            <c:strRef>
              <c:f>Sheet1!$B$1</c:f>
              <c:strCache>
                <c:ptCount val="1"/>
                <c:pt idx="0">
                  <c:v>科目代码</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Sheet1!$A$2:$A$3</c:f>
              <c:numCache>
                <c:formatCode>General</c:formatCode>
                <c:ptCount val="2"/>
                <c:pt idx="0">
                  <c:v>2080505</c:v>
                </c:pt>
                <c:pt idx="1">
                  <c:v>2089999</c:v>
                </c:pt>
              </c:numCache>
            </c:numRef>
          </c:cat>
          <c:val>
            <c:numRef>
              <c:f>Sheet1!$B$2:$B$3</c:f>
              <c:numCache>
                <c:formatCode>General</c:formatCode>
                <c:ptCount val="2"/>
                <c:pt idx="0">
                  <c:v>5.28</c:v>
                </c:pt>
                <c:pt idx="1">
                  <c:v>0.6</c:v>
                </c:pt>
              </c:numCache>
            </c:numRef>
          </c:val>
        </c:ser>
        <c:dLbls>
          <c:showLegendKey val="0"/>
          <c:showVal val="0"/>
          <c:showCatName val="0"/>
          <c:showSerName val="0"/>
          <c:showPercent val="0"/>
          <c:showBubbleSize val="0"/>
        </c:dLbls>
        <c:gapWidth val="219"/>
        <c:overlap val="-27"/>
        <c:axId val="-172443008"/>
        <c:axId val="-172445728"/>
        <c:extLst>
          <c:ext xmlns:c15="http://schemas.microsoft.com/office/drawing/2012/chart" uri="{02D57815-91ED-43cb-92C2-25804820EDAC}">
            <c15:filteredBarSeries>
              <c15:ser>
                <c:idx val="0"/>
                <c:order val="0"/>
                <c:tx>
                  <c:strRef>
                    <c:extLst>
                      <c:ext uri="{02D57815-91ED-43cb-92C2-25804820EDAC}">
                        <c15:formulaRef>
                          <c15:sqref>Sheet1!$A$1</c15:sqref>
                        </c15:formulaRef>
                      </c:ext>
                    </c:extLst>
                    <c:strCache>
                      <c:ptCount val="1"/>
                      <c:pt idx="0">
                        <c:v> </c:v>
                      </c:pt>
                    </c:strCache>
                  </c:strRef>
                </c:tx>
                <c:invertIfNegative val="0"/>
                <c:dLbls>
                  <c:delete val="1"/>
                </c:dLbls>
                <c:cat>
                  <c:numRef>
                    <c:extLst>
                      <c:ext uri="{02D57815-91ED-43cb-92C2-25804820EDAC}">
                        <c15:fullRef>
                          <c15:sqref/>
                        </c15:fullRef>
                        <c15:formulaRef>
                          <c15:sqref>Sheet1!$A$2:$A$3</c15:sqref>
                        </c15:formulaRef>
                      </c:ext>
                    </c:extLst>
                    <c:numCache>
                      <c:formatCode>General</c:formatCode>
                      <c:ptCount val="2"/>
                      <c:pt idx="0">
                        <c:v>2080505</c:v>
                      </c:pt>
                      <c:pt idx="1">
                        <c:v>2089999</c:v>
                      </c:pt>
                    </c:numCache>
                  </c:numRef>
                </c:cat>
                <c:val>
                  <c:numRef>
                    <c:extLst>
                      <c:ext uri="{02D57815-91ED-43cb-92C2-25804820EDAC}">
                        <c15:formulaRef>
                          <c15:sqref>Sheet1!$A$2:$A$3</c15:sqref>
                        </c15:formulaRef>
                      </c:ext>
                    </c:extLst>
                    <c:numCache>
                      <c:formatCode>General</c:formatCode>
                      <c:ptCount val="2"/>
                      <c:pt idx="0">
                        <c:v>2080505</c:v>
                      </c:pt>
                      <c:pt idx="1">
                        <c:v>2089999</c:v>
                      </c:pt>
                    </c:numCache>
                  </c:numRef>
                </c:val>
              </c15:ser>
            </c15:filteredBarSeries>
          </c:ext>
        </c:extLst>
      </c:barChart>
      <c:catAx>
        <c:axId val="-172443008"/>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2443008"/>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2210201</c:v>
                </c:pt>
              </c:numCache>
            </c:numRef>
          </c:cat>
          <c:val>
            <c:numRef>
              <c:f>Sheet1!$B$2</c:f>
              <c:numCache>
                <c:formatCode>General</c:formatCode>
                <c:ptCount val="1"/>
                <c:pt idx="0">
                  <c:v>3.5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Sheet1!$A$2:$A$8</c:f>
              <c:numCache>
                <c:formatCode>General</c:formatCode>
                <c:ptCount val="7"/>
                <c:pt idx="0">
                  <c:v>30101</c:v>
                </c:pt>
                <c:pt idx="1">
                  <c:v>30102</c:v>
                </c:pt>
                <c:pt idx="2">
                  <c:v>30103</c:v>
                </c:pt>
                <c:pt idx="3">
                  <c:v>30108</c:v>
                </c:pt>
                <c:pt idx="4">
                  <c:v>30110</c:v>
                </c:pt>
                <c:pt idx="5">
                  <c:v>30112</c:v>
                </c:pt>
                <c:pt idx="6">
                  <c:v>30113</c:v>
                </c:pt>
              </c:numCache>
            </c:numRef>
          </c:cat>
          <c:val>
            <c:numRef>
              <c:f>Sheet1!$B$2:$B$8</c:f>
              <c:numCache>
                <c:formatCode>General</c:formatCode>
                <c:ptCount val="7"/>
                <c:pt idx="0">
                  <c:v>12.82</c:v>
                </c:pt>
                <c:pt idx="1">
                  <c:v>7.92</c:v>
                </c:pt>
                <c:pt idx="2">
                  <c:v>18.52</c:v>
                </c:pt>
                <c:pt idx="3">
                  <c:v>5.24</c:v>
                </c:pt>
                <c:pt idx="4">
                  <c:v>2.1</c:v>
                </c:pt>
                <c:pt idx="5">
                  <c:v>0.51</c:v>
                </c:pt>
                <c:pt idx="6">
                  <c:v>3.93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Sheet1!$A$2:$A$21</c:f>
              <c:numCache>
                <c:formatCode>General</c:formatCode>
                <c:ptCount val="20"/>
                <c:pt idx="0">
                  <c:v>30201</c:v>
                </c:pt>
                <c:pt idx="1">
                  <c:v>30202</c:v>
                </c:pt>
                <c:pt idx="2">
                  <c:v>30203</c:v>
                </c:pt>
                <c:pt idx="3">
                  <c:v>30204</c:v>
                </c:pt>
                <c:pt idx="4">
                  <c:v>30205</c:v>
                </c:pt>
                <c:pt idx="5">
                  <c:v>30206</c:v>
                </c:pt>
                <c:pt idx="6">
                  <c:v>30207</c:v>
                </c:pt>
                <c:pt idx="7">
                  <c:v>30208</c:v>
                </c:pt>
                <c:pt idx="8">
                  <c:v>30209</c:v>
                </c:pt>
                <c:pt idx="9">
                  <c:v>30211</c:v>
                </c:pt>
                <c:pt idx="10">
                  <c:v>30215</c:v>
                </c:pt>
                <c:pt idx="11">
                  <c:v>30216</c:v>
                </c:pt>
                <c:pt idx="12">
                  <c:v>30218</c:v>
                </c:pt>
                <c:pt idx="13">
                  <c:v>30224</c:v>
                </c:pt>
                <c:pt idx="14">
                  <c:v>30225</c:v>
                </c:pt>
                <c:pt idx="15">
                  <c:v>30226</c:v>
                </c:pt>
                <c:pt idx="16">
                  <c:v>30228</c:v>
                </c:pt>
                <c:pt idx="17">
                  <c:v>30231</c:v>
                </c:pt>
                <c:pt idx="18">
                  <c:v>30239</c:v>
                </c:pt>
                <c:pt idx="19">
                  <c:v>30299</c:v>
                </c:pt>
              </c:numCache>
            </c:numRef>
          </c:cat>
          <c:val>
            <c:numRef>
              <c:f>Sheet1!$B$2:$B$21</c:f>
              <c:numCache>
                <c:formatCode>General</c:formatCode>
                <c:ptCount val="20"/>
                <c:pt idx="0">
                  <c:v>0.52</c:v>
                </c:pt>
                <c:pt idx="1">
                  <c:v>0</c:v>
                </c:pt>
                <c:pt idx="2">
                  <c:v>0</c:v>
                </c:pt>
                <c:pt idx="3">
                  <c:v>0</c:v>
                </c:pt>
                <c:pt idx="4">
                  <c:v>0.02</c:v>
                </c:pt>
                <c:pt idx="5">
                  <c:v>0.1</c:v>
                </c:pt>
                <c:pt idx="6">
                  <c:v>0.46</c:v>
                </c:pt>
                <c:pt idx="7">
                  <c:v>0</c:v>
                </c:pt>
                <c:pt idx="8">
                  <c:v>0</c:v>
                </c:pt>
                <c:pt idx="9">
                  <c:v>0</c:v>
                </c:pt>
                <c:pt idx="10">
                  <c:v>0</c:v>
                </c:pt>
                <c:pt idx="11">
                  <c:v>0</c:v>
                </c:pt>
                <c:pt idx="12">
                  <c:v>0</c:v>
                </c:pt>
                <c:pt idx="13">
                  <c:v>0</c:v>
                </c:pt>
                <c:pt idx="14">
                  <c:v>0</c:v>
                </c:pt>
                <c:pt idx="15">
                  <c:v>0</c:v>
                </c:pt>
                <c:pt idx="16">
                  <c:v>0.62</c:v>
                </c:pt>
                <c:pt idx="17">
                  <c:v>0</c:v>
                </c:pt>
                <c:pt idx="18">
                  <c:v>2.7</c:v>
                </c:pt>
                <c:pt idx="19">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1641</Words>
  <Characters>1767</Characters>
  <Lines>90</Lines>
  <Paragraphs>25</Paragraphs>
  <TotalTime>0</TotalTime>
  <ScaleCrop>false</ScaleCrop>
  <LinksUpToDate>false</LinksUpToDate>
  <CharactersWithSpaces>1806</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snakeQ</cp:lastModifiedBy>
  <dcterms:modified xsi:type="dcterms:W3CDTF">2024-12-27T09:15:52Z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342E5ED5CB1C41B5BE67424BF0425B1D_13</vt:lpwstr>
  </property>
  <property fmtid="{D5CDD505-2E9C-101B-9397-08002B2CF9AE}" pid="4" name="KSOTemplateDocerSaveRecord">
    <vt:lpwstr>eyJoZGlkIjoiNGU4ZGYxMThhZTUzZjQ0YTUwZjA4ODNmZmZiY2NlZTMifQ==</vt:lpwstr>
  </property>
</Properties>
</file>