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val="0"/>
          <w:bCs w:val="0"/>
          <w:sz w:val="52"/>
          <w:szCs w:val="52"/>
          <w:highlight w:val="none"/>
          <w:lang w:eastAsia="zh-CN"/>
        </w:rPr>
      </w:pPr>
      <w:r>
        <w:rPr>
          <w:rFonts w:hint="eastAsia" w:ascii="方正小标宋简体" w:hAnsi="方正小标宋简体" w:eastAsia="方正小标宋简体" w:cs="方正小标宋简体"/>
          <w:b w:val="0"/>
          <w:bCs w:val="0"/>
          <w:spacing w:val="-20"/>
          <w:sz w:val="52"/>
          <w:szCs w:val="52"/>
          <w:highlight w:val="none"/>
        </w:rPr>
        <w:t>广西</w:t>
      </w:r>
      <w:r>
        <w:rPr>
          <w:rFonts w:hint="eastAsia" w:ascii="方正小标宋简体" w:hAnsi="方正小标宋简体" w:eastAsia="方正小标宋简体" w:cs="方正小标宋简体"/>
          <w:b w:val="0"/>
          <w:bCs w:val="0"/>
          <w:spacing w:val="-20"/>
          <w:sz w:val="52"/>
          <w:szCs w:val="52"/>
          <w:highlight w:val="none"/>
          <w:lang w:eastAsia="zh-CN"/>
        </w:rPr>
        <w:t>壮族自治区</w:t>
      </w:r>
      <w:r>
        <w:rPr>
          <w:rFonts w:hint="eastAsia" w:ascii="方正小标宋简体" w:hAnsi="方正小标宋简体" w:eastAsia="方正小标宋简体" w:cs="方正小标宋简体"/>
          <w:b w:val="0"/>
          <w:bCs w:val="0"/>
          <w:spacing w:val="-20"/>
          <w:sz w:val="52"/>
          <w:szCs w:val="52"/>
          <w:highlight w:val="none"/>
        </w:rPr>
        <w:t>河池市环江毛南族自治县</w:t>
      </w:r>
      <w:r>
        <w:rPr>
          <w:rFonts w:hint="eastAsia" w:ascii="方正小标宋简体" w:hAnsi="方正小标宋简体" w:eastAsia="方正小标宋简体" w:cs="方正小标宋简体"/>
          <w:b w:val="0"/>
          <w:bCs w:val="0"/>
          <w:sz w:val="52"/>
          <w:szCs w:val="52"/>
          <w:highlight w:val="none"/>
        </w:rPr>
        <w:t>人</w:t>
      </w:r>
      <w:r>
        <w:rPr>
          <w:rFonts w:hint="eastAsia" w:ascii="方正小标宋简体" w:hAnsi="方正小标宋简体" w:eastAsia="方正小标宋简体" w:cs="方正小标宋简体"/>
          <w:b w:val="0"/>
          <w:bCs w:val="0"/>
          <w:sz w:val="52"/>
          <w:szCs w:val="52"/>
          <w:highlight w:val="none"/>
          <w:lang w:eastAsia="zh-CN"/>
        </w:rPr>
        <w:t>民代表大会常务委员会</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val="0"/>
          <w:bCs w:val="0"/>
          <w:sz w:val="52"/>
          <w:szCs w:val="52"/>
          <w:highlight w:val="none"/>
        </w:rPr>
      </w:pPr>
      <w:r>
        <w:rPr>
          <w:rFonts w:hint="eastAsia" w:ascii="方正小标宋简体" w:hAnsi="方正小标宋简体" w:eastAsia="方正小标宋简体" w:cs="方正小标宋简体"/>
          <w:b w:val="0"/>
          <w:bCs w:val="0"/>
          <w:sz w:val="52"/>
          <w:szCs w:val="52"/>
          <w:highlight w:val="none"/>
        </w:rPr>
        <w:t>202</w:t>
      </w:r>
      <w:r>
        <w:rPr>
          <w:rFonts w:hint="eastAsia" w:ascii="方正小标宋简体" w:hAnsi="方正小标宋简体" w:eastAsia="方正小标宋简体" w:cs="方正小标宋简体"/>
          <w:b w:val="0"/>
          <w:bCs w:val="0"/>
          <w:sz w:val="52"/>
          <w:szCs w:val="52"/>
          <w:highlight w:val="none"/>
          <w:lang w:val="en-US" w:eastAsia="zh-CN"/>
        </w:rPr>
        <w:t>3</w:t>
      </w:r>
      <w:r>
        <w:rPr>
          <w:rFonts w:hint="eastAsia" w:ascii="方正小标宋简体" w:hAnsi="方正小标宋简体" w:eastAsia="方正小标宋简体" w:cs="方正小标宋简体"/>
          <w:b w:val="0"/>
          <w:bCs w:val="0"/>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ascii="仿宋" w:hAnsi="仿宋" w:eastAsia="仿宋" w:cs="仿宋"/>
          <w:sz w:val="32"/>
          <w:szCs w:val="32"/>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广西河池市环江毛南族自治县</w:t>
      </w:r>
      <w:r>
        <w:rPr>
          <w:rFonts w:hint="eastAsia" w:ascii="黑体" w:hAnsi="黑体" w:eastAsia="黑体" w:cs="黑体"/>
          <w:sz w:val="32"/>
          <w:u w:color="auto"/>
          <w:lang w:eastAsia="zh-CN"/>
        </w:rPr>
        <w:t>人民代表大会常务委员会</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w:t>
      </w:r>
      <w:r>
        <w:rPr>
          <w:rFonts w:hint="eastAsia" w:ascii="黑体" w:hAnsi="黑体" w:eastAsia="黑体" w:cs="黑体"/>
          <w:sz w:val="32"/>
          <w:u w:color="auto"/>
          <w:lang w:eastAsia="zh-CN"/>
        </w:rPr>
        <w:t>人民代表大会常务委员会</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w:t>
      </w:r>
      <w:r>
        <w:rPr>
          <w:rFonts w:hint="eastAsia" w:ascii="黑体" w:hAnsi="黑体" w:eastAsia="黑体" w:cs="黑体"/>
          <w:sz w:val="32"/>
          <w:u w:color="auto"/>
          <w:lang w:eastAsia="zh-CN"/>
        </w:rPr>
        <w:t>人民代表大会常务委员会</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p>
    <w:p>
      <w:pPr>
        <w:jc w:val="left"/>
        <w:rPr>
          <w:rFonts w:hint="eastAsia" w:ascii="黑体" w:hAnsi="黑体" w:eastAsia="黑体" w:cs="黑体"/>
          <w:b/>
          <w:bCs/>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广西</w:t>
      </w:r>
      <w:r>
        <w:rPr>
          <w:rFonts w:hint="eastAsia" w:ascii="黑体" w:hAnsi="黑体" w:eastAsia="黑体" w:cs="黑体"/>
          <w:b/>
          <w:sz w:val="32"/>
          <w:u w:color="auto"/>
          <w:lang w:eastAsia="zh-CN"/>
        </w:rPr>
        <w:t>壮族自治区</w:t>
      </w:r>
      <w:r>
        <w:rPr>
          <w:rFonts w:ascii="黑体" w:hAnsi="黑体" w:eastAsia="黑体" w:cs="黑体"/>
          <w:b/>
          <w:sz w:val="32"/>
          <w:u w:color="auto"/>
        </w:rPr>
        <w:t>河池市环江毛南族自治县</w:t>
      </w:r>
      <w:r>
        <w:rPr>
          <w:rFonts w:hint="eastAsia" w:ascii="黑体" w:hAnsi="黑体" w:eastAsia="黑体" w:cs="黑体"/>
          <w:sz w:val="32"/>
          <w:u w:color="auto"/>
          <w:lang w:eastAsia="zh-CN"/>
        </w:rPr>
        <w:t>人民代表大会常务委员会</w:t>
      </w:r>
      <w:r>
        <w:rPr>
          <w:rFonts w:hint="eastAsia" w:ascii="黑体" w:hAnsi="黑体" w:eastAsia="黑体" w:cs="黑体"/>
          <w:b/>
          <w:bCs/>
          <w:sz w:val="32"/>
          <w:szCs w:val="32"/>
          <w:highlight w:val="none"/>
        </w:rPr>
        <w:t>概况</w:t>
      </w:r>
    </w:p>
    <w:p>
      <w:pPr>
        <w:ind w:firstLine="640" w:firstLineChars="200"/>
        <w:jc w:val="left"/>
        <w:rPr>
          <w:rFonts w:hint="eastAsia" w:ascii="仿宋" w:hAnsi="仿宋" w:eastAsia="黑体" w:cs="仿宋"/>
          <w:sz w:val="32"/>
          <w:szCs w:val="32"/>
          <w:highlight w:val="none"/>
          <w:lang w:eastAsia="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本部门</w:t>
      </w:r>
      <w:r>
        <w:rPr>
          <w:rFonts w:hint="eastAsia" w:ascii="黑体" w:hAnsi="黑体" w:eastAsia="黑体" w:cs="黑体"/>
          <w:sz w:val="32"/>
          <w:szCs w:val="32"/>
          <w:highlight w:val="none"/>
        </w:rPr>
        <w:t>职</w:t>
      </w:r>
      <w:r>
        <w:rPr>
          <w:rFonts w:hint="eastAsia" w:ascii="黑体" w:hAnsi="黑体" w:eastAsia="黑体" w:cs="黑体"/>
          <w:sz w:val="32"/>
          <w:szCs w:val="32"/>
          <w:highlight w:val="none"/>
          <w:lang w:eastAsia="zh-CN"/>
        </w:rPr>
        <w:t>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环江毛南族自治县人</w:t>
      </w:r>
      <w:r>
        <w:rPr>
          <w:rFonts w:hint="eastAsia" w:ascii="仿宋_GB2312" w:hAnsi="仿宋_GB2312" w:eastAsia="仿宋_GB2312" w:cs="仿宋_GB2312"/>
          <w:sz w:val="32"/>
          <w:szCs w:val="32"/>
          <w:lang w:eastAsia="zh-CN"/>
        </w:rPr>
        <w:t>民代表大会</w:t>
      </w:r>
      <w:r>
        <w:rPr>
          <w:rFonts w:hint="eastAsia" w:ascii="仿宋_GB2312" w:hAnsi="仿宋_GB2312" w:eastAsia="仿宋_GB2312" w:cs="仿宋_GB2312"/>
          <w:sz w:val="32"/>
          <w:szCs w:val="32"/>
        </w:rPr>
        <w:t>常</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会是环江毛南族自治县人民代表大会的常设工作机构。主要职能为：1．在本县范围内，保证宪法、法律、行政法规的遵守和执法。2．领导或主持自治县人民代表大会的选举；召集自治县人民代表大会会议；在本级人民代表大会闭会期间，补选上一级人民代表大会出缺的代表和罢免个别代表。3．讨论、决定本县政治、经济、教育、科学、文化、卫生、环境和资源保护、民政、民族等工作的重大事项。4．根据自治县人民政府的建议，决定对本县国民经济和社会发展计划、预算部分变更。5．监督自治县人民政府、</w:t>
      </w:r>
      <w:r>
        <w:rPr>
          <w:rFonts w:hint="eastAsia" w:ascii="仿宋_GB2312" w:hAnsi="仿宋_GB2312" w:eastAsia="仿宋_GB2312" w:cs="仿宋_GB2312"/>
          <w:sz w:val="32"/>
          <w:szCs w:val="32"/>
          <w:lang w:eastAsia="zh-CN"/>
        </w:rPr>
        <w:t>自治县监察委员会、</w:t>
      </w:r>
      <w:r>
        <w:rPr>
          <w:rFonts w:hint="eastAsia" w:ascii="仿宋_GB2312" w:hAnsi="仿宋_GB2312" w:eastAsia="仿宋_GB2312" w:cs="仿宋_GB2312"/>
          <w:sz w:val="32"/>
          <w:szCs w:val="32"/>
        </w:rPr>
        <w:t>自治县人民法院、自治县人民检察院的工作，联系自治县人民代表大会代表，受理人民群众对上述机关和国家工作人员的申诉和意见。6．依照法律法规的权限决定国家机关工作人员的任免。7．行使自治县人民代表大会授予的其他职权。</w:t>
      </w:r>
      <w:r>
        <w:rPr>
          <w:rFonts w:hint="eastAsia" w:ascii="仿宋_GB2312" w:hAnsi="仿宋_GB2312" w:eastAsia="仿宋_GB2312" w:cs="仿宋_GB2312"/>
          <w:sz w:val="32"/>
          <w:szCs w:val="32"/>
          <w:lang w:val="en-US" w:eastAsia="zh-CN"/>
        </w:rPr>
        <w:t>8.完成党委有关中心工作。</w:t>
      </w:r>
    </w:p>
    <w:p>
      <w:pPr>
        <w:ind w:firstLine="640" w:firstLineChars="200"/>
        <w:jc w:val="left"/>
        <w:rPr>
          <w:rFonts w:hint="eastAsia" w:ascii="仿宋" w:hAnsi="仿宋" w:eastAsia="黑体" w:cs="仿宋"/>
          <w:sz w:val="32"/>
          <w:szCs w:val="32"/>
          <w:highlight w:val="none"/>
          <w:lang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机构设置情况</w:t>
      </w:r>
    </w:p>
    <w:p>
      <w:pPr>
        <w:keepNext w:val="0"/>
        <w:keepLines w:val="0"/>
        <w:pageBreakBefore w:val="0"/>
        <w:kinsoku/>
        <w:wordWrap/>
        <w:overflowPunct/>
        <w:topLinePunct w:val="0"/>
        <w:bidi w:val="0"/>
        <w:spacing w:line="580" w:lineRule="exact"/>
        <w:ind w:firstLine="645"/>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val="en-US" w:eastAsia="zh-CN"/>
        </w:rPr>
        <w:t>1.环江毛南</w:t>
      </w:r>
      <w:r>
        <w:rPr>
          <w:rFonts w:hint="eastAsia" w:ascii="仿宋_GB2312" w:hAnsi="仿宋_GB2312" w:eastAsia="仿宋_GB2312" w:cs="仿宋_GB2312"/>
          <w:b w:val="0"/>
          <w:w w:val="100"/>
          <w:sz w:val="32"/>
          <w:szCs w:val="32"/>
          <w:lang w:eastAsia="zh-CN"/>
        </w:rPr>
        <w:t>自治县人民代表大会专门委员会共</w:t>
      </w:r>
      <w:r>
        <w:rPr>
          <w:rFonts w:hint="eastAsia" w:ascii="仿宋_GB2312" w:hAnsi="仿宋_GB2312" w:eastAsia="仿宋_GB2312" w:cs="仿宋_GB2312"/>
          <w:b w:val="0"/>
          <w:w w:val="100"/>
          <w:sz w:val="32"/>
          <w:szCs w:val="32"/>
          <w:lang w:val="en-US" w:eastAsia="zh-CN"/>
        </w:rPr>
        <w:t>3个</w:t>
      </w:r>
      <w:r>
        <w:rPr>
          <w:rFonts w:hint="eastAsia" w:ascii="仿宋_GB2312" w:hAnsi="仿宋_GB2312" w:eastAsia="仿宋_GB2312" w:cs="仿宋_GB2312"/>
          <w:b w:val="0"/>
          <w:w w:val="100"/>
          <w:sz w:val="32"/>
          <w:szCs w:val="32"/>
          <w:lang w:eastAsia="zh-CN"/>
        </w:rPr>
        <w:t>：法制监察与司法委员会、财政经济委员会、社会建设委员会。</w:t>
      </w:r>
    </w:p>
    <w:p>
      <w:pPr>
        <w:keepNext w:val="0"/>
        <w:keepLines w:val="0"/>
        <w:pageBreakBefore w:val="0"/>
        <w:kinsoku/>
        <w:wordWrap/>
        <w:overflowPunct/>
        <w:topLinePunct w:val="0"/>
        <w:bidi w:val="0"/>
        <w:spacing w:line="580" w:lineRule="exact"/>
        <w:ind w:firstLine="645"/>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2.环江毛南族</w:t>
      </w:r>
      <w:r>
        <w:rPr>
          <w:rFonts w:hint="eastAsia" w:ascii="仿宋_GB2312" w:hAnsi="仿宋_GB2312" w:eastAsia="仿宋_GB2312" w:cs="仿宋_GB2312"/>
          <w:b w:val="0"/>
          <w:w w:val="100"/>
          <w:sz w:val="32"/>
          <w:szCs w:val="32"/>
          <w:lang w:eastAsia="zh-CN"/>
        </w:rPr>
        <w:t>自治县人民代表大会常务委员会工作机构共</w:t>
      </w:r>
      <w:r>
        <w:rPr>
          <w:rFonts w:hint="eastAsia" w:ascii="仿宋_GB2312" w:hAnsi="仿宋_GB2312" w:eastAsia="仿宋_GB2312" w:cs="仿宋_GB2312"/>
          <w:b w:val="0"/>
          <w:w w:val="100"/>
          <w:sz w:val="32"/>
          <w:szCs w:val="32"/>
          <w:lang w:val="en-US" w:eastAsia="zh-CN"/>
        </w:rPr>
        <w:t>4个</w:t>
      </w:r>
      <w:r>
        <w:rPr>
          <w:rFonts w:hint="eastAsia" w:ascii="仿宋_GB2312" w:hAnsi="仿宋_GB2312" w:eastAsia="仿宋_GB2312" w:cs="仿宋_GB2312"/>
          <w:b w:val="0"/>
          <w:w w:val="100"/>
          <w:sz w:val="32"/>
          <w:szCs w:val="32"/>
          <w:lang w:eastAsia="zh-CN"/>
        </w:rPr>
        <w:t>：</w:t>
      </w:r>
      <w:r>
        <w:rPr>
          <w:rFonts w:hint="eastAsia" w:ascii="仿宋_GB2312" w:hAnsi="仿宋_GB2312" w:eastAsia="仿宋_GB2312" w:cs="仿宋_GB2312"/>
          <w:b w:val="0"/>
          <w:w w:val="100"/>
          <w:sz w:val="32"/>
          <w:szCs w:val="32"/>
          <w:lang w:val="en-US" w:eastAsia="zh-CN"/>
        </w:rPr>
        <w:t>人大常委会</w:t>
      </w:r>
      <w:r>
        <w:rPr>
          <w:rFonts w:hint="eastAsia" w:ascii="仿宋_GB2312" w:hAnsi="仿宋_GB2312" w:eastAsia="仿宋_GB2312" w:cs="仿宋_GB2312"/>
          <w:b w:val="0"/>
          <w:w w:val="100"/>
          <w:sz w:val="32"/>
          <w:szCs w:val="32"/>
          <w:lang w:eastAsia="zh-CN"/>
        </w:rPr>
        <w:t>办公室、</w:t>
      </w:r>
      <w:r>
        <w:rPr>
          <w:rFonts w:hint="eastAsia" w:ascii="仿宋_GB2312" w:hAnsi="仿宋_GB2312" w:eastAsia="仿宋_GB2312" w:cs="仿宋_GB2312"/>
          <w:b w:val="0"/>
          <w:w w:val="100"/>
          <w:sz w:val="32"/>
          <w:szCs w:val="32"/>
          <w:lang w:val="en-US" w:eastAsia="zh-CN"/>
        </w:rPr>
        <w:t>人大常委会</w:t>
      </w:r>
      <w:r>
        <w:rPr>
          <w:rFonts w:hint="eastAsia" w:ascii="仿宋_GB2312" w:hAnsi="仿宋_GB2312" w:eastAsia="仿宋_GB2312" w:cs="仿宋_GB2312"/>
          <w:b w:val="0"/>
          <w:w w:val="100"/>
          <w:sz w:val="32"/>
          <w:szCs w:val="32"/>
          <w:lang w:eastAsia="zh-CN"/>
        </w:rPr>
        <w:t>教科文卫与民族工作委员会、</w:t>
      </w:r>
      <w:r>
        <w:rPr>
          <w:rFonts w:hint="eastAsia" w:ascii="仿宋_GB2312" w:hAnsi="仿宋_GB2312" w:eastAsia="仿宋_GB2312" w:cs="仿宋_GB2312"/>
          <w:b w:val="0"/>
          <w:w w:val="100"/>
          <w:sz w:val="32"/>
          <w:szCs w:val="32"/>
          <w:lang w:val="en-US" w:eastAsia="zh-CN"/>
        </w:rPr>
        <w:t>人大常委会</w:t>
      </w:r>
      <w:r>
        <w:rPr>
          <w:rFonts w:hint="eastAsia" w:ascii="仿宋_GB2312" w:hAnsi="仿宋_GB2312" w:eastAsia="仿宋_GB2312" w:cs="仿宋_GB2312"/>
          <w:b w:val="0"/>
          <w:w w:val="100"/>
          <w:sz w:val="32"/>
          <w:szCs w:val="32"/>
          <w:lang w:eastAsia="zh-CN"/>
        </w:rPr>
        <w:t>代表工作委员会、</w:t>
      </w:r>
      <w:r>
        <w:rPr>
          <w:rFonts w:hint="eastAsia" w:ascii="仿宋_GB2312" w:hAnsi="仿宋_GB2312" w:eastAsia="仿宋_GB2312" w:cs="仿宋_GB2312"/>
          <w:b w:val="0"/>
          <w:w w:val="100"/>
          <w:sz w:val="32"/>
          <w:szCs w:val="32"/>
          <w:lang w:val="en-US" w:eastAsia="zh-CN"/>
        </w:rPr>
        <w:t>人大常委会</w:t>
      </w:r>
      <w:r>
        <w:rPr>
          <w:rFonts w:hint="eastAsia" w:ascii="仿宋_GB2312" w:hAnsi="仿宋_GB2312" w:eastAsia="仿宋_GB2312" w:cs="仿宋_GB2312"/>
          <w:b w:val="0"/>
          <w:w w:val="100"/>
          <w:sz w:val="32"/>
          <w:szCs w:val="32"/>
          <w:lang w:eastAsia="zh-CN"/>
        </w:rPr>
        <w:t>农业农村与环资城建工作委员会。</w:t>
      </w:r>
    </w:p>
    <w:p>
      <w:pPr>
        <w:keepNext w:val="0"/>
        <w:keepLines w:val="0"/>
        <w:pageBreakBefore w:val="0"/>
        <w:kinsoku/>
        <w:wordWrap/>
        <w:overflowPunct/>
        <w:topLinePunct w:val="0"/>
        <w:bidi w:val="0"/>
        <w:spacing w:line="580" w:lineRule="exact"/>
        <w:ind w:firstLine="645"/>
        <w:textAlignment w:val="auto"/>
        <w:rPr>
          <w:rFonts w:hint="eastAsia" w:ascii="黑体" w:hAnsi="黑体" w:eastAsia="黑体" w:cs="黑体"/>
          <w:sz w:val="32"/>
          <w:szCs w:val="32"/>
          <w:highlight w:val="none"/>
          <w:lang w:val="en-US" w:eastAsia="zh-CN"/>
        </w:rPr>
        <w:sectPr>
          <w:headerReference r:id="rId5" w:type="default"/>
          <w:footerReference r:id="rId6" w:type="default"/>
          <w:pgSz w:w="11906" w:h="16838"/>
          <w:pgMar w:top="1984" w:right="1474" w:bottom="1440" w:left="1474" w:header="851" w:footer="992" w:gutter="0"/>
          <w:cols w:space="0" w:num="1"/>
          <w:rtlGutter w:val="0"/>
          <w:docGrid w:type="lines" w:linePitch="312" w:charSpace="0"/>
        </w:sectPr>
      </w:pPr>
      <w:r>
        <w:rPr>
          <w:rFonts w:hint="eastAsia" w:ascii="仿宋_GB2312" w:hAnsi="仿宋_GB2312" w:eastAsia="仿宋_GB2312" w:cs="仿宋_GB2312"/>
          <w:b w:val="0"/>
          <w:w w:val="100"/>
          <w:sz w:val="32"/>
          <w:szCs w:val="32"/>
          <w:lang w:val="en-US" w:eastAsia="zh-CN"/>
        </w:rPr>
        <w:t>3.环江毛南族自治县人大常委会</w:t>
      </w:r>
      <w:r>
        <w:rPr>
          <w:rFonts w:hint="eastAsia" w:ascii="仿宋_GB2312" w:hAnsi="仿宋_GB2312" w:eastAsia="仿宋_GB2312" w:cs="仿宋_GB2312"/>
          <w:b w:val="0"/>
          <w:w w:val="100"/>
          <w:sz w:val="32"/>
          <w:szCs w:val="32"/>
          <w:lang w:eastAsia="zh-CN"/>
        </w:rPr>
        <w:t>办公室下设公益一类事业单位</w:t>
      </w:r>
      <w:r>
        <w:rPr>
          <w:rFonts w:hint="eastAsia" w:ascii="仿宋_GB2312" w:hAnsi="仿宋_GB2312" w:eastAsia="仿宋_GB2312" w:cs="仿宋_GB2312"/>
          <w:b w:val="0"/>
          <w:w w:val="100"/>
          <w:sz w:val="32"/>
          <w:szCs w:val="32"/>
          <w:lang w:val="en-US" w:eastAsia="zh-CN"/>
        </w:rPr>
        <w:t>1个：环江毛南族自治县</w:t>
      </w:r>
      <w:r>
        <w:rPr>
          <w:rFonts w:hint="eastAsia" w:ascii="仿宋_GB2312" w:hAnsi="仿宋_GB2312" w:eastAsia="仿宋_GB2312" w:cs="仿宋_GB2312"/>
          <w:b w:val="0"/>
          <w:w w:val="100"/>
          <w:sz w:val="32"/>
          <w:szCs w:val="32"/>
          <w:lang w:eastAsia="zh-CN"/>
        </w:rPr>
        <w:t>人大网络信息中心。</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w:t>
      </w:r>
      <w:r>
        <w:rPr>
          <w:rFonts w:hint="eastAsia" w:ascii="黑体" w:hAnsi="黑体" w:eastAsia="黑体" w:cs="黑体"/>
          <w:sz w:val="32"/>
          <w:u w:color="auto"/>
          <w:lang w:eastAsia="zh-CN"/>
        </w:rPr>
        <w:t>人民代表大会常务委员会</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630.00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09"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797.26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797.26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630.00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630.00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人大事务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624.23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452.86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452.86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人大会议</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37.88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人大立法</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28.43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人大监督</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人大代表履职能力提升</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代表工作</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44.35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人大信访工作</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其他人大事务支出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18.68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科学技术</w:t>
            </w:r>
            <w:r>
              <w:rPr>
                <w:rFonts w:hint="default" w:ascii="宋体" w:hAnsi="宋体" w:eastAsia="宋体" w:cs="宋体"/>
                <w:color w:val="000000"/>
                <w:kern w:val="0"/>
                <w:sz w:val="22"/>
                <w:szCs w:val="22"/>
                <w:highlight w:val="none"/>
                <w:lang w:bidi="ar"/>
              </w:rPr>
              <w:t>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699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其他科学技术</w:t>
            </w:r>
            <w:r>
              <w:rPr>
                <w:rFonts w:hint="default" w:ascii="宋体" w:hAnsi="宋体" w:eastAsia="宋体" w:cs="宋体"/>
                <w:color w:val="000000"/>
                <w:kern w:val="0"/>
                <w:sz w:val="22"/>
                <w:szCs w:val="22"/>
                <w:highlight w:val="none"/>
                <w:lang w:bidi="ar"/>
              </w:rPr>
              <w:t>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69999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w:t>
            </w:r>
            <w:r>
              <w:rPr>
                <w:rFonts w:hint="eastAsia" w:ascii="宋体" w:hAnsi="宋体" w:eastAsia="宋体" w:cs="宋体"/>
                <w:color w:val="000000"/>
                <w:kern w:val="0"/>
                <w:sz w:val="22"/>
                <w:szCs w:val="22"/>
                <w:highlight w:val="none"/>
                <w:lang w:val="en-US" w:eastAsia="zh-CN" w:bidi="ar"/>
              </w:rPr>
              <w:t xml:space="preserve"> </w:t>
            </w:r>
            <w:r>
              <w:rPr>
                <w:rFonts w:hint="eastAsia" w:ascii="宋体" w:hAnsi="宋体" w:eastAsia="宋体" w:cs="宋体"/>
                <w:color w:val="000000"/>
                <w:kern w:val="0"/>
                <w:sz w:val="22"/>
                <w:szCs w:val="22"/>
                <w:highlight w:val="none"/>
                <w:lang w:eastAsia="zh-CN" w:bidi="ar"/>
              </w:rPr>
              <w:t>其他科学技术</w:t>
            </w:r>
            <w:r>
              <w:rPr>
                <w:rFonts w:hint="default" w:ascii="宋体" w:hAnsi="宋体" w:eastAsia="宋体" w:cs="宋体"/>
                <w:color w:val="000000"/>
                <w:kern w:val="0"/>
                <w:sz w:val="22"/>
                <w:szCs w:val="22"/>
                <w:highlight w:val="none"/>
                <w:lang w:bidi="ar"/>
              </w:rPr>
              <w:t>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46.53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46.53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46.53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34.95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34.95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34.95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34.95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34.95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79.78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79.78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79.78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79.78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79.78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797.26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552.93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244.33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630.00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391.67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人大事务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385.90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452.86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385.90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人大会议</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人大立法</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人大监督</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人大代表履职能力提升</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代表工作</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44.35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人大信访工作</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0.23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其他人大事务支出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科学技术</w:t>
            </w:r>
            <w:r>
              <w:rPr>
                <w:rFonts w:hint="default" w:ascii="宋体" w:hAnsi="宋体" w:eastAsia="宋体" w:cs="宋体"/>
                <w:color w:val="000000"/>
                <w:kern w:val="0"/>
                <w:sz w:val="22"/>
                <w:szCs w:val="22"/>
                <w:highlight w:val="none"/>
                <w:lang w:bidi="ar"/>
              </w:rPr>
              <w:t>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699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其他科学技术</w:t>
            </w:r>
            <w:r>
              <w:rPr>
                <w:rFonts w:hint="default" w:ascii="宋体" w:hAnsi="宋体" w:eastAsia="宋体" w:cs="宋体"/>
                <w:color w:val="000000"/>
                <w:kern w:val="0"/>
                <w:sz w:val="22"/>
                <w:szCs w:val="22"/>
                <w:highlight w:val="none"/>
                <w:lang w:bidi="ar"/>
              </w:rPr>
              <w:t>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69999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w:t>
            </w:r>
            <w:r>
              <w:rPr>
                <w:rFonts w:hint="eastAsia" w:ascii="宋体" w:hAnsi="宋体" w:eastAsia="宋体" w:cs="宋体"/>
                <w:color w:val="000000"/>
                <w:kern w:val="0"/>
                <w:sz w:val="22"/>
                <w:szCs w:val="22"/>
                <w:highlight w:val="none"/>
                <w:lang w:val="en-US" w:eastAsia="zh-CN" w:bidi="ar"/>
              </w:rPr>
              <w:t xml:space="preserve"> </w:t>
            </w:r>
            <w:r>
              <w:rPr>
                <w:rFonts w:hint="eastAsia" w:ascii="宋体" w:hAnsi="宋体" w:eastAsia="宋体" w:cs="宋体"/>
                <w:color w:val="000000"/>
                <w:kern w:val="0"/>
                <w:sz w:val="22"/>
                <w:szCs w:val="22"/>
                <w:highlight w:val="none"/>
                <w:lang w:eastAsia="zh-CN" w:bidi="ar"/>
              </w:rPr>
              <w:t>其他科学技术</w:t>
            </w:r>
            <w:r>
              <w:rPr>
                <w:rFonts w:hint="default" w:ascii="宋体" w:hAnsi="宋体" w:eastAsia="宋体" w:cs="宋体"/>
                <w:color w:val="000000"/>
                <w:kern w:val="0"/>
                <w:sz w:val="22"/>
                <w:szCs w:val="22"/>
                <w:highlight w:val="none"/>
                <w:lang w:bidi="ar"/>
              </w:rPr>
              <w:t>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46.53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46.53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34.95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34.95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79.78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79.78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630.00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630.00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2102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gridCol w:w="1760"/>
        <w:gridCol w:w="1760"/>
        <w:gridCol w:w="1760"/>
        <w:gridCol w:w="1760"/>
      </w:tblGrid>
      <w:tr>
        <w:tblPrEx>
          <w:tblCellMar>
            <w:top w:w="0" w:type="dxa"/>
            <w:left w:w="108" w:type="dxa"/>
            <w:bottom w:w="0" w:type="dxa"/>
            <w:right w:w="108" w:type="dxa"/>
          </w:tblCellMar>
        </w:tblPrEx>
        <w:trPr>
          <w:gridAfter w:val="4"/>
          <w:wAfter w:w="7040" w:type="dxa"/>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gridAfter w:val="4"/>
          <w:wAfter w:w="7040" w:type="dxa"/>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gridAfter w:val="4"/>
          <w:wAfter w:w="7040" w:type="dxa"/>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4"/>
          <w:wAfter w:w="7040" w:type="dxa"/>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gridAfter w:val="4"/>
          <w:wAfter w:w="7040" w:type="dxa"/>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gridAfter w:val="4"/>
          <w:wAfter w:w="7040" w:type="dxa"/>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4"/>
          <w:wAfter w:w="7040" w:type="dxa"/>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4"/>
          <w:wAfter w:w="7040" w:type="dxa"/>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gridAfter w:val="4"/>
          <w:wAfter w:w="7040" w:type="dxa"/>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lang w:val="en-US" w:eastAsia="zh-CN"/>
              </w:rPr>
              <w:t>797.26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lang w:val="en-US" w:eastAsia="zh-CN"/>
              </w:rPr>
              <w:t>552.93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lang w:val="en-US" w:eastAsia="zh-CN"/>
              </w:rPr>
              <w:t>244.33</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630.00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391.67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238.33</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人大事务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624.23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385.90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238.33</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452.86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385.90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66.96</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人大会议</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37.88</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人大立法</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28.43</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人大监督</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17.80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人大代表履职能力提升</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代表工作</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44.35</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人大信访工作</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0.23</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其他人大事务支出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18.68</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4"/>
          <w:wAfter w:w="7040" w:type="dxa"/>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c>
          <w:tcPr>
            <w:tcW w:w="1760" w:type="dxa"/>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1760" w:type="dxa"/>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760" w:type="dxa"/>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760" w:type="dxa"/>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58" w:hRule="atLeast"/>
        </w:trPr>
        <w:tc>
          <w:tcPr>
            <w:tcW w:w="0" w:type="auto"/>
            <w:gridSpan w:val="8"/>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760" w:type="dxa"/>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760" w:type="dxa"/>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760" w:type="dxa"/>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760" w:type="dxa"/>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58" w:hRule="atLeast"/>
        </w:trPr>
        <w:tc>
          <w:tcPr>
            <w:tcW w:w="0" w:type="auto"/>
            <w:gridSpan w:val="8"/>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760" w:type="dxa"/>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760" w:type="dxa"/>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760" w:type="dxa"/>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79.78</w:t>
            </w:r>
          </w:p>
        </w:tc>
        <w:tc>
          <w:tcPr>
            <w:tcW w:w="1760" w:type="dxa"/>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464.23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35.70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116.53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62.07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163.97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0.24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3.85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36.77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53.00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35.84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5.77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19.94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517.23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35.70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000000"/>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7.35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7.35</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7.3</w:t>
            </w:r>
            <w:r>
              <w:rPr>
                <w:rFonts w:hint="eastAsia" w:ascii="宋体" w:hAnsi="宋体" w:eastAsia="宋体" w:cs="宋体"/>
                <w:color w:val="000000"/>
                <w:kern w:val="0"/>
                <w:sz w:val="22"/>
                <w:szCs w:val="22"/>
                <w:highlight w:val="none"/>
                <w:lang w:val="en-US" w:eastAsia="zh-CN" w:bidi="ar"/>
              </w:rPr>
              <w:t>5</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eastAsia="宋体"/>
                <w:highlight w:val="none"/>
                <w:lang w:val="en-US" w:eastAsia="zh-CN"/>
              </w:rPr>
            </w:pPr>
            <w:r>
              <w:rPr>
                <w:rFonts w:hint="eastAsia" w:ascii="宋体" w:hAnsi="宋体" w:eastAsia="宋体" w:cs="宋体"/>
                <w:color w:val="000000"/>
                <w:kern w:val="0"/>
                <w:sz w:val="22"/>
                <w:szCs w:val="22"/>
                <w:highlight w:val="none"/>
                <w:lang w:bidi="ar"/>
              </w:rPr>
              <w:t>7.3</w:t>
            </w:r>
            <w:r>
              <w:rPr>
                <w:rFonts w:hint="eastAsia" w:ascii="宋体" w:hAnsi="宋体" w:eastAsia="宋体" w:cs="宋体"/>
                <w:color w:val="000000"/>
                <w:kern w:val="0"/>
                <w:sz w:val="22"/>
                <w:szCs w:val="22"/>
                <w:highlight w:val="none"/>
                <w:lang w:val="en-US" w:eastAsia="zh-CN" w:bidi="ar"/>
              </w:rPr>
              <w:t>5</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u w:color="auto"/>
          <w:lang w:eastAsia="zh-CN"/>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w:t>
      </w:r>
      <w:r>
        <w:rPr>
          <w:rFonts w:hint="eastAsia" w:ascii="黑体" w:hAnsi="黑体" w:eastAsia="黑体" w:cs="黑体"/>
          <w:sz w:val="32"/>
          <w:u w:color="auto"/>
          <w:lang w:eastAsia="zh-CN"/>
        </w:rPr>
        <w:t>人民代表大会常务</w:t>
      </w:r>
    </w:p>
    <w:p>
      <w:pPr>
        <w:jc w:val="center"/>
        <w:rPr>
          <w:rFonts w:ascii="仿宋" w:hAnsi="仿宋" w:eastAsia="仿宋" w:cs="仿宋"/>
          <w:sz w:val="32"/>
          <w:szCs w:val="32"/>
          <w:highlight w:val="none"/>
        </w:rPr>
      </w:pPr>
      <w:r>
        <w:rPr>
          <w:rFonts w:hint="eastAsia" w:ascii="黑体" w:hAnsi="黑体" w:eastAsia="黑体" w:cs="黑体"/>
          <w:sz w:val="32"/>
          <w:u w:color="auto"/>
          <w:lang w:val="en-US" w:eastAsia="zh-CN"/>
        </w:rPr>
        <w:t xml:space="preserve">       </w:t>
      </w:r>
      <w:r>
        <w:rPr>
          <w:rFonts w:hint="eastAsia" w:ascii="黑体" w:hAnsi="黑体" w:eastAsia="黑体" w:cs="黑体"/>
          <w:sz w:val="32"/>
          <w:u w:color="auto"/>
          <w:lang w:eastAsia="zh-CN"/>
        </w:rPr>
        <w:t>委员会</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797.26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15.27</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1.95</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797.26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1.一般公共预算财政拨款收入797.26万元，为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15.27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1.95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主要原因：因疫情解除，代表外出培训增加。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jc w:val="both"/>
        <w:rPr>
          <w:rFonts w:ascii="仿宋" w:hAnsi="仿宋" w:eastAsia="仿宋" w:cs="仿宋"/>
          <w:sz w:val="32"/>
          <w:szCs w:val="32"/>
          <w:highlight w:val="none"/>
        </w:rPr>
      </w:pPr>
      <w:r>
        <w:drawing>
          <wp:inline distT="0" distB="0" distL="114300" distR="114300">
            <wp:extent cx="4572000" cy="2743200"/>
            <wp:effectExtent l="4445" t="4445" r="1460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797.26</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797.26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15.27</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1.95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586.21</w:t>
      </w:r>
      <w:r>
        <w:rPr>
          <w:rFonts w:hint="eastAsia" w:ascii="仿宋" w:hAnsi="仿宋" w:eastAsia="仿宋" w:cs="仿宋"/>
          <w:sz w:val="32"/>
          <w:szCs w:val="32"/>
          <w:highlight w:val="none"/>
        </w:rPr>
        <w:t>万元：</w:t>
      </w:r>
      <w:r>
        <w:rPr>
          <w:rFonts w:hint="eastAsia" w:ascii="仿宋_GB2312" w:hAnsi="仿宋_GB2312" w:eastAsia="仿宋_GB2312" w:cs="仿宋_GB2312"/>
          <w:sz w:val="32"/>
          <w:szCs w:val="32"/>
          <w:highlight w:val="none"/>
        </w:rPr>
        <w:t>主要用于本部门为保证日常运转发生的基本支出和为完成各项工作任务、保障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43.79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增长7.</w:t>
      </w:r>
      <w:r>
        <w:rPr>
          <w:rFonts w:hint="eastAsia" w:ascii="仿宋" w:hAnsi="仿宋" w:eastAsia="仿宋" w:cs="仿宋"/>
          <w:sz w:val="32"/>
          <w:szCs w:val="32"/>
          <w:highlight w:val="none"/>
          <w:lang w:val="en-US" w:eastAsia="zh-CN" w:bidi="ar"/>
        </w:rPr>
        <w:t>47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因疫情解除，代表外出培训增加。</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sz w:val="32"/>
          <w:u w:color="auto"/>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u w:color="auto"/>
          <w:lang w:eastAsia="zh-CN"/>
        </w:rPr>
        <w:t>科技技术支出（</w:t>
      </w:r>
      <w:r>
        <w:rPr>
          <w:rFonts w:hint="eastAsia" w:ascii="仿宋" w:hAnsi="仿宋" w:eastAsia="仿宋" w:cs="仿宋"/>
          <w:sz w:val="32"/>
          <w:u w:color="auto"/>
          <w:lang w:val="en-US" w:eastAsia="zh-CN"/>
        </w:rPr>
        <w:t>206类）6.00万元：主要用于单位开展乡村振兴产业发展调研委托业务费支出。较2022年度决算数增加6.00万元，增长100%。主要原因是：上年度没有此项支出。</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46.53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单位</w:t>
      </w:r>
      <w:r>
        <w:rPr>
          <w:rFonts w:hint="eastAsia" w:ascii="仿宋_GB2312" w:hAnsi="仿宋_GB2312" w:eastAsia="仿宋_GB2312" w:cs="仿宋_GB2312"/>
          <w:kern w:val="0"/>
          <w:sz w:val="32"/>
          <w:szCs w:val="32"/>
          <w:lang w:eastAsia="zh-CN"/>
        </w:rPr>
        <w:t>按照规定标准为在职在编干部职工缴纳的基本养老保险费支出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3.31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下降</w:t>
      </w:r>
      <w:r>
        <w:rPr>
          <w:rFonts w:hint="eastAsia" w:ascii="仿宋" w:hAnsi="仿宋" w:eastAsia="仿宋" w:cs="仿宋"/>
          <w:sz w:val="32"/>
          <w:szCs w:val="32"/>
          <w:highlight w:val="none"/>
          <w:lang w:val="en-US" w:eastAsia="zh-CN" w:bidi="ar"/>
        </w:rPr>
        <w:t>6.64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主要原因是：年内在职人员退休3人。</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34.95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单位按规定的比例为在职在编干部职工缴纳的住房公积金</w:t>
      </w:r>
      <w:r>
        <w:rPr>
          <w:rFonts w:hint="eastAsia" w:ascii="仿宋_GB2312" w:hAnsi="仿宋_GB2312" w:eastAsia="仿宋_GB2312" w:cs="仿宋_GB2312"/>
          <w:spacing w:val="-3"/>
          <w:kern w:val="0"/>
          <w:sz w:val="32"/>
          <w:szCs w:val="32"/>
          <w:highlight w:val="none"/>
        </w:rPr>
        <w:t>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3.84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下降</w:t>
      </w:r>
      <w:r>
        <w:rPr>
          <w:rFonts w:hint="eastAsia" w:ascii="仿宋" w:hAnsi="仿宋" w:eastAsia="仿宋" w:cs="仿宋"/>
          <w:sz w:val="32"/>
          <w:szCs w:val="32"/>
          <w:highlight w:val="none"/>
          <w:lang w:val="en-US" w:eastAsia="zh-CN" w:bidi="ar"/>
        </w:rPr>
        <w:t>9.90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主要原因是：年内在职人员退休3人</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79.78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b w:val="0"/>
          <w:color w:val="030303"/>
          <w:w w:val="100"/>
          <w:sz w:val="32"/>
          <w:lang w:eastAsia="zh-CN"/>
        </w:rPr>
        <w:t>单位按照规定的标准发放职工年度奖励性补贴及伙食补助</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27.37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25.54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主要原因是：在职人员减少、奖励性补贴发放减少。</w:t>
      </w:r>
    </w:p>
    <w:p>
      <w:pPr>
        <w:keepNext w:val="0"/>
        <w:keepLines w:val="0"/>
        <w:widowControl w:val="0"/>
        <w:suppressLineNumbers w:val="0"/>
        <w:spacing w:before="0" w:beforeAutospacing="0" w:after="0" w:afterAutospacing="0"/>
        <w:ind w:left="0" w:right="0" w:firstLine="620" w:firstLineChars="200"/>
        <w:jc w:val="both"/>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ind w:firstLine="420" w:firstLineChars="200"/>
        <w:jc w:val="both"/>
        <w:rPr>
          <w:rFonts w:ascii="仿宋" w:hAnsi="仿宋" w:eastAsia="仿宋" w:cs="仿宋"/>
          <w:sz w:val="32"/>
          <w:szCs w:val="32"/>
          <w:highlight w:val="none"/>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797.26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15.27</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1.95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552.93</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244.33</w:t>
      </w:r>
      <w:r>
        <w:rPr>
          <w:rFonts w:hint="eastAsia" w:ascii="仿宋" w:hAnsi="仿宋" w:eastAsia="仿宋" w:cs="仿宋"/>
          <w:sz w:val="32"/>
          <w:szCs w:val="32"/>
          <w:highlight w:val="none"/>
        </w:rPr>
        <w:t>万元。</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1115.02</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797.26</w:t>
      </w:r>
      <w:r>
        <w:rPr>
          <w:rFonts w:hint="eastAsia" w:ascii="仿宋" w:hAnsi="仿宋" w:eastAsia="仿宋" w:cs="仿宋"/>
          <w:sz w:val="32"/>
          <w:szCs w:val="32"/>
          <w:highlight w:val="none"/>
        </w:rPr>
        <w:t>万元，完成年初预算的</w:t>
      </w:r>
      <w:r>
        <w:rPr>
          <w:rFonts w:ascii="仿宋" w:hAnsi="仿宋" w:eastAsia="仿宋" w:cs="仿宋"/>
          <w:sz w:val="32"/>
          <w:u w:color="auto"/>
        </w:rPr>
        <w:t>7</w:t>
      </w:r>
      <w:r>
        <w:rPr>
          <w:rFonts w:hint="eastAsia" w:ascii="仿宋" w:hAnsi="仿宋" w:eastAsia="仿宋" w:cs="仿宋"/>
          <w:sz w:val="32"/>
          <w:u w:color="auto"/>
          <w:lang w:val="en-US" w:eastAsia="zh-CN"/>
        </w:rPr>
        <w:t>1.50</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
        </w:rPr>
      </w:pPr>
      <w:bookmarkStart w:id="3" w:name="OLE_LINK2"/>
      <w:bookmarkEnd w:id="3"/>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1034.14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630.00</w:t>
      </w:r>
      <w:r>
        <w:rPr>
          <w:rFonts w:hint="eastAsia" w:ascii="仿宋" w:hAnsi="仿宋" w:eastAsia="仿宋"/>
          <w:sz w:val="32"/>
          <w:szCs w:val="32"/>
          <w:highlight w:val="none"/>
        </w:rPr>
        <w:t>万元，完成年初预算的</w:t>
      </w:r>
      <w:r>
        <w:rPr>
          <w:rFonts w:ascii="仿宋" w:hAnsi="仿宋" w:eastAsia="仿宋"/>
          <w:sz w:val="32"/>
          <w:szCs w:val="32"/>
          <w:highlight w:val="none"/>
        </w:rPr>
        <w:t>60.</w:t>
      </w:r>
      <w:r>
        <w:rPr>
          <w:rFonts w:hint="eastAsia" w:ascii="仿宋" w:hAnsi="仿宋" w:eastAsia="仿宋"/>
          <w:sz w:val="32"/>
          <w:szCs w:val="32"/>
          <w:highlight w:val="none"/>
          <w:lang w:val="en-US" w:eastAsia="zh-CN"/>
        </w:rPr>
        <w:t>92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val="en-US"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原因是：按照历行节约要求，压缩经费支出</w:t>
      </w:r>
      <w:r>
        <w:rPr>
          <w:rFonts w:hint="eastAsia" w:ascii="仿宋_GB2312" w:hAnsi="仿宋_GB2312" w:eastAsia="仿宋_GB2312" w:cs="仿宋_GB2312"/>
          <w:color w:val="auto"/>
          <w:kern w:val="2"/>
          <w:sz w:val="32"/>
          <w:szCs w:val="32"/>
          <w:highlight w:val="none"/>
          <w:lang w:val="en-US" w:eastAsia="zh-CN" w:bidi="ar"/>
        </w:rPr>
        <w:t>。</w:t>
      </w:r>
    </w:p>
    <w:p>
      <w:pPr>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both"/>
        <w:rPr>
          <w:rFonts w:hint="eastAsia" w:ascii="仿宋" w:hAnsi="仿宋" w:eastAsia="仿宋"/>
          <w:sz w:val="32"/>
          <w:szCs w:val="32"/>
          <w:highlight w:val="none"/>
        </w:rPr>
      </w:pP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58"/>
        <w:gridCol w:w="1045"/>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426.57</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452.86</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bCs/>
                <w:color w:val="auto"/>
                <w:kern w:val="0"/>
                <w:sz w:val="18"/>
                <w:szCs w:val="18"/>
                <w:highlight w:val="none"/>
              </w:rPr>
              <w:t>主要用于本部门为保证日常运转发生的基本支出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cstheme="minorEastAsia"/>
                <w:i w:val="0"/>
                <w:iCs w:val="0"/>
                <w:color w:val="auto"/>
                <w:sz w:val="18"/>
                <w:szCs w:val="18"/>
                <w:highlight w:val="none"/>
                <w:u w:val="none"/>
                <w:lang w:val="en-US" w:eastAsia="zh-CN"/>
              </w:rPr>
              <w:t>人员经费增加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5"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人大会议</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94.29</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37.88</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40.17%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b w:val="0"/>
                <w:w w:val="100"/>
                <w:sz w:val="18"/>
                <w:szCs w:val="18"/>
                <w:lang w:eastAsia="zh-CN"/>
              </w:rPr>
              <w:t>主要用于</w:t>
            </w:r>
            <w:r>
              <w:rPr>
                <w:rFonts w:hint="eastAsia" w:asciiTheme="minorEastAsia" w:hAnsiTheme="minorEastAsia" w:eastAsiaTheme="minorEastAsia" w:cstheme="minorEastAsia"/>
                <w:sz w:val="18"/>
                <w:szCs w:val="18"/>
                <w:lang w:eastAsia="zh-CN"/>
              </w:rPr>
              <w:t>县、乡人大例会经费</w:t>
            </w:r>
            <w:r>
              <w:rPr>
                <w:rFonts w:hint="eastAsia" w:asciiTheme="minorEastAsia" w:hAnsiTheme="minorEastAsia" w:eastAsiaTheme="minorEastAsia" w:cstheme="minorEastAsia"/>
                <w:b w:val="0"/>
                <w:w w:val="100"/>
                <w:sz w:val="18"/>
                <w:szCs w:val="18"/>
                <w:lang w:eastAsia="zh-CN"/>
              </w:rPr>
              <w:t>及人大常委会会议经费</w:t>
            </w:r>
            <w:r>
              <w:rPr>
                <w:rFonts w:hint="eastAsia" w:asciiTheme="minorEastAsia" w:hAnsiTheme="minorEastAsia" w:eastAsiaTheme="minorEastAsia" w:cstheme="minorEastAsia"/>
                <w:sz w:val="18"/>
                <w:szCs w:val="18"/>
                <w:lang w:eastAsia="zh-CN"/>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此项经费</w:t>
            </w:r>
            <w:r>
              <w:rPr>
                <w:rFonts w:hint="eastAsia" w:asciiTheme="minorEastAsia" w:hAnsiTheme="minorEastAsia" w:cstheme="minorEastAsia"/>
                <w:color w:val="auto"/>
                <w:sz w:val="18"/>
                <w:szCs w:val="18"/>
                <w:highlight w:val="none"/>
                <w:lang w:val="en-US" w:eastAsia="zh-CN"/>
              </w:rPr>
              <w:t>50</w:t>
            </w:r>
            <w:r>
              <w:rPr>
                <w:rFonts w:hint="eastAsia" w:asciiTheme="minorEastAsia" w:hAnsiTheme="minorEastAsia" w:eastAsiaTheme="minorEastAsia" w:cstheme="minorEastAsia"/>
                <w:color w:val="auto"/>
                <w:sz w:val="18"/>
                <w:szCs w:val="18"/>
                <w:highlight w:val="none"/>
                <w:lang w:val="en-US" w:eastAsia="zh-CN"/>
              </w:rPr>
              <w:t>万元具体在各乡(镇)人民政府列支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人大立法</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68.00</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28.43</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41.81%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b w:val="0"/>
                <w:w w:val="100"/>
                <w:sz w:val="18"/>
                <w:szCs w:val="18"/>
                <w:lang w:eastAsia="zh-CN"/>
              </w:rPr>
              <w:t>主要用于</w:t>
            </w:r>
            <w:r>
              <w:rPr>
                <w:rFonts w:hint="eastAsia" w:asciiTheme="minorEastAsia" w:hAnsiTheme="minorEastAsia" w:eastAsiaTheme="minorEastAsia" w:cstheme="minorEastAsia"/>
                <w:i w:val="0"/>
                <w:caps w:val="0"/>
                <w:color w:val="000000"/>
                <w:spacing w:val="0"/>
                <w:sz w:val="18"/>
                <w:szCs w:val="18"/>
                <w:shd w:val="clear" w:color="auto" w:fill="FFFFFF"/>
              </w:rPr>
              <w:t>人大立法工作方面的支出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因条件未成熟，需起草审议的保护条例项目未能实施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人大监督</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23.00</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17.80</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77.39%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caps w:val="0"/>
                <w:color w:val="000000"/>
                <w:spacing w:val="0"/>
                <w:sz w:val="18"/>
                <w:szCs w:val="18"/>
                <w:shd w:val="clear" w:color="auto" w:fill="FFFFFF"/>
              </w:rPr>
              <w:t>主要用于人大开展监督工作的支出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按照历行节约要求，压缩经费支出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人大代表履职能力提升</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82.30</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24.00</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b w:val="0"/>
                <w:w w:val="100"/>
                <w:sz w:val="18"/>
                <w:szCs w:val="18"/>
                <w:lang w:eastAsia="zh-CN"/>
              </w:rPr>
              <w:t>主要用于为提高人大代表履职能力所发生的各项支出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此项经费</w:t>
            </w:r>
            <w:r>
              <w:rPr>
                <w:rFonts w:hint="eastAsia" w:asciiTheme="minorEastAsia" w:hAnsiTheme="minorEastAsia" w:cstheme="minorEastAsia"/>
                <w:i w:val="0"/>
                <w:iCs w:val="0"/>
                <w:color w:val="auto"/>
                <w:sz w:val="18"/>
                <w:szCs w:val="18"/>
                <w:highlight w:val="none"/>
                <w:u w:val="none"/>
                <w:lang w:val="en-US" w:eastAsia="zh-CN"/>
              </w:rPr>
              <w:t>53.60</w:t>
            </w:r>
            <w:r>
              <w:rPr>
                <w:rFonts w:hint="eastAsia" w:asciiTheme="minorEastAsia" w:hAnsiTheme="minorEastAsia" w:eastAsiaTheme="minorEastAsia" w:cstheme="minorEastAsia"/>
                <w:i w:val="0"/>
                <w:iCs w:val="0"/>
                <w:color w:val="auto"/>
                <w:sz w:val="18"/>
                <w:szCs w:val="18"/>
                <w:highlight w:val="none"/>
                <w:u w:val="none"/>
                <w:lang w:val="en-US" w:eastAsia="zh-CN"/>
              </w:rPr>
              <w:t>万元</w:t>
            </w:r>
            <w:r>
              <w:rPr>
                <w:rFonts w:hint="eastAsia" w:asciiTheme="minorEastAsia" w:hAnsiTheme="minorEastAsia" w:eastAsiaTheme="minorEastAsia" w:cstheme="minorEastAsia"/>
                <w:color w:val="auto"/>
                <w:sz w:val="18"/>
                <w:szCs w:val="18"/>
                <w:highlight w:val="none"/>
                <w:lang w:val="en-US" w:eastAsia="zh-CN"/>
              </w:rPr>
              <w:t>具体在各乡(镇)人民政府列支</w:t>
            </w:r>
            <w:r>
              <w:rPr>
                <w:rFonts w:hint="eastAsia" w:asciiTheme="minorEastAsia" w:hAnsiTheme="minorEastAsia" w:cstheme="minorEastAsia"/>
                <w:color w:val="auto"/>
                <w:sz w:val="18"/>
                <w:szCs w:val="18"/>
                <w:highlight w:val="none"/>
                <w:lang w:val="en-US" w:eastAsia="zh-CN"/>
              </w:rPr>
              <w:t>：</w:t>
            </w:r>
            <w:r>
              <w:rPr>
                <w:rFonts w:hint="eastAsia" w:asciiTheme="minorEastAsia" w:hAnsiTheme="minorEastAsia" w:eastAsiaTheme="minorEastAsia" w:cstheme="minorEastAsia"/>
                <w:color w:val="auto"/>
                <w:sz w:val="18"/>
                <w:szCs w:val="18"/>
                <w:highlight w:val="none"/>
                <w:lang w:val="en-US" w:eastAsia="zh-CN"/>
              </w:rPr>
              <w:t>按照历行节约要求，压缩经费支出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代表工作</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153.21</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44.35</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28.95%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eastAsia="zh-CN"/>
              </w:rPr>
              <w:t>主要用于人大代表开展各类视察等方面的支出。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此项经费</w:t>
            </w:r>
            <w:r>
              <w:rPr>
                <w:rFonts w:hint="eastAsia" w:asciiTheme="minorEastAsia" w:hAnsiTheme="minorEastAsia" w:cstheme="minorEastAsia"/>
                <w:i w:val="0"/>
                <w:iCs w:val="0"/>
                <w:color w:val="auto"/>
                <w:sz w:val="18"/>
                <w:szCs w:val="18"/>
                <w:highlight w:val="none"/>
                <w:u w:val="none"/>
                <w:lang w:val="en-US" w:eastAsia="zh-CN"/>
              </w:rPr>
              <w:t>77.60</w:t>
            </w:r>
            <w:r>
              <w:rPr>
                <w:rFonts w:hint="eastAsia" w:asciiTheme="minorEastAsia" w:hAnsiTheme="minorEastAsia" w:eastAsiaTheme="minorEastAsia" w:cstheme="minorEastAsia"/>
                <w:i w:val="0"/>
                <w:iCs w:val="0"/>
                <w:color w:val="auto"/>
                <w:sz w:val="18"/>
                <w:szCs w:val="18"/>
                <w:highlight w:val="none"/>
                <w:u w:val="none"/>
                <w:lang w:val="en-US" w:eastAsia="zh-CN"/>
              </w:rPr>
              <w:t>万元</w:t>
            </w:r>
            <w:r>
              <w:rPr>
                <w:rFonts w:hint="eastAsia" w:asciiTheme="minorEastAsia" w:hAnsiTheme="minorEastAsia" w:eastAsiaTheme="minorEastAsia" w:cstheme="minorEastAsia"/>
                <w:color w:val="auto"/>
                <w:sz w:val="18"/>
                <w:szCs w:val="18"/>
                <w:highlight w:val="none"/>
                <w:lang w:val="en-US" w:eastAsia="zh-CN"/>
              </w:rPr>
              <w:t>具体在各乡(镇)人民政府列支；按照历行节约要求，压缩经费支出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人大信访工作</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0.23</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caps w:val="0"/>
                <w:color w:val="000000"/>
                <w:spacing w:val="0"/>
                <w:sz w:val="18"/>
                <w:szCs w:val="18"/>
                <w:shd w:val="clear" w:color="auto" w:fill="FFFFFF"/>
              </w:rPr>
              <w:t>主要用于人大处理来信来访工作的支出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群众来访减少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其他人大事务支出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180.00</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18.68</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sz w:val="18"/>
                <w:szCs w:val="18"/>
              </w:rPr>
              <w:t>主要用于县级人大代表议案建议办理专项工作</w:t>
            </w:r>
            <w:r>
              <w:rPr>
                <w:rFonts w:hint="eastAsia" w:asciiTheme="minorEastAsia" w:hAnsiTheme="minorEastAsia" w:cstheme="minorEastAsia"/>
                <w:sz w:val="18"/>
                <w:szCs w:val="18"/>
                <w:lang w:eastAsia="zh-CN"/>
              </w:rPr>
              <w:t>、代表履职平台信息化建设、“人大志”编撰等</w:t>
            </w:r>
            <w:r>
              <w:rPr>
                <w:rFonts w:hint="eastAsia" w:asciiTheme="minorEastAsia" w:hAnsiTheme="minorEastAsia" w:eastAsiaTheme="minorEastAsia" w:cstheme="minorEastAsia"/>
                <w:sz w:val="18"/>
                <w:szCs w:val="18"/>
              </w:rPr>
              <w:t>经费</w:t>
            </w:r>
            <w:r>
              <w:rPr>
                <w:rFonts w:hint="eastAsia" w:asciiTheme="minorEastAsia" w:hAnsiTheme="minorEastAsia" w:cstheme="minorEastAsia"/>
                <w:sz w:val="18"/>
                <w:szCs w:val="18"/>
                <w:lang w:eastAsia="zh-CN"/>
              </w:rPr>
              <w:t>、城西街道人大工委代表络站、代表服务中心建设经费</w:t>
            </w:r>
            <w:r>
              <w:rPr>
                <w:rFonts w:hint="eastAsia" w:asciiTheme="minorEastAsia" w:hAnsiTheme="minorEastAsia" w:eastAsiaTheme="minorEastAsia" w:cstheme="minorEastAsia"/>
                <w:sz w:val="18"/>
                <w:szCs w:val="18"/>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此项经费</w:t>
            </w:r>
            <w:r>
              <w:rPr>
                <w:rFonts w:hint="eastAsia" w:asciiTheme="minorEastAsia" w:hAnsiTheme="minorEastAsia" w:cstheme="minorEastAsia"/>
                <w:i w:val="0"/>
                <w:iCs w:val="0"/>
                <w:color w:val="auto"/>
                <w:sz w:val="18"/>
                <w:szCs w:val="18"/>
                <w:highlight w:val="none"/>
                <w:u w:val="none"/>
                <w:lang w:val="en-US" w:eastAsia="zh-CN"/>
              </w:rPr>
              <w:t>10</w:t>
            </w:r>
            <w:r>
              <w:rPr>
                <w:rFonts w:hint="eastAsia" w:asciiTheme="minorEastAsia" w:hAnsiTheme="minorEastAsia" w:eastAsiaTheme="minorEastAsia" w:cstheme="minorEastAsia"/>
                <w:i w:val="0"/>
                <w:iCs w:val="0"/>
                <w:color w:val="auto"/>
                <w:sz w:val="18"/>
                <w:szCs w:val="18"/>
                <w:highlight w:val="none"/>
                <w:u w:val="none"/>
                <w:lang w:val="en-US" w:eastAsia="zh-CN"/>
              </w:rPr>
              <w:t>万元</w:t>
            </w:r>
            <w:r>
              <w:rPr>
                <w:rFonts w:hint="eastAsia" w:asciiTheme="minorEastAsia" w:hAnsiTheme="minorEastAsia" w:eastAsiaTheme="minorEastAsia" w:cstheme="minorEastAsia"/>
                <w:color w:val="auto"/>
                <w:sz w:val="18"/>
                <w:szCs w:val="18"/>
                <w:highlight w:val="none"/>
                <w:lang w:val="en-US" w:eastAsia="zh-CN"/>
              </w:rPr>
              <w:t>具体在</w:t>
            </w:r>
            <w:r>
              <w:rPr>
                <w:rFonts w:hint="eastAsia" w:asciiTheme="minorEastAsia" w:hAnsiTheme="minorEastAsia" w:cstheme="minorEastAsia"/>
                <w:color w:val="auto"/>
                <w:sz w:val="18"/>
                <w:szCs w:val="18"/>
                <w:highlight w:val="none"/>
                <w:lang w:val="en-US" w:eastAsia="zh-CN"/>
              </w:rPr>
              <w:t>自治县城西街道办事处</w:t>
            </w:r>
            <w:r>
              <w:rPr>
                <w:rFonts w:hint="eastAsia" w:asciiTheme="minorEastAsia" w:hAnsiTheme="minorEastAsia" w:eastAsiaTheme="minorEastAsia" w:cstheme="minorEastAsia"/>
                <w:color w:val="auto"/>
                <w:sz w:val="18"/>
                <w:szCs w:val="18"/>
                <w:highlight w:val="none"/>
                <w:lang w:val="en-US" w:eastAsia="zh-CN"/>
              </w:rPr>
              <w:t>列支</w:t>
            </w:r>
            <w:r>
              <w:rPr>
                <w:rFonts w:hint="eastAsia" w:asciiTheme="minorEastAsia" w:hAnsiTheme="minorEastAsia" w:cstheme="minorEastAsia"/>
                <w:color w:val="auto"/>
                <w:sz w:val="18"/>
                <w:szCs w:val="18"/>
                <w:highlight w:val="none"/>
                <w:lang w:val="en-US" w:eastAsia="zh-CN"/>
              </w:rPr>
              <w:t>；</w:t>
            </w:r>
            <w:r>
              <w:rPr>
                <w:rFonts w:hint="eastAsia" w:asciiTheme="minorEastAsia" w:hAnsiTheme="minorEastAsia" w:eastAsiaTheme="minorEastAsia" w:cstheme="minorEastAsia"/>
                <w:color w:val="auto"/>
                <w:sz w:val="18"/>
                <w:szCs w:val="18"/>
                <w:highlight w:val="none"/>
                <w:lang w:val="en-US" w:eastAsia="zh-CN"/>
              </w:rPr>
              <w:t>按照历行节约要求，压缩经费支出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5.77</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5.77</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主要用于县级人大工会开展工会活动支出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1034.14</w:t>
            </w:r>
          </w:p>
        </w:tc>
        <w:tc>
          <w:tcPr>
            <w:tcW w:w="8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630.00</w:t>
            </w:r>
          </w:p>
        </w:tc>
        <w:tc>
          <w:tcPr>
            <w:tcW w:w="1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sz w:val="18"/>
          <w:szCs w:val="18"/>
          <w:highlight w:val="none"/>
        </w:rPr>
      </w:pPr>
    </w:p>
    <w:p>
      <w:pPr>
        <w:jc w:val="both"/>
        <w:rPr>
          <w:rFonts w:ascii="仿宋" w:hAnsi="仿宋" w:eastAsia="仿宋"/>
          <w:sz w:val="32"/>
          <w:szCs w:val="32"/>
          <w:highlight w:val="none"/>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both"/>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46.19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46.53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100.74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社保计算基数增加</w:t>
      </w:r>
      <w:r>
        <w:rPr>
          <w:rFonts w:hint="eastAsia" w:ascii="仿宋_GB2312" w:hAnsi="仿宋_GB2312" w:eastAsia="仿宋_GB2312" w:cs="仿宋_GB2312"/>
          <w:color w:val="auto"/>
          <w:sz w:val="32"/>
          <w:szCs w:val="32"/>
          <w:highlight w:val="none"/>
          <w:lang w:val="en-US" w:eastAsia="zh-CN"/>
        </w:rPr>
        <w:t>。</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cstheme="minorEastAsia"/>
                <w:i w:val="0"/>
                <w:iCs w:val="0"/>
                <w:color w:val="000000"/>
                <w:sz w:val="18"/>
                <w:szCs w:val="18"/>
                <w:highlight w:val="none"/>
                <w:u w:val="none"/>
                <w:lang w:val="en-US" w:eastAsia="zh-CN"/>
              </w:rPr>
              <w:t>46.19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heme="minorEastAsia" w:hAnsiTheme="minorEastAsia" w:eastAsiaTheme="minorEastAsia" w:cstheme="minorEastAsia"/>
                <w:i w:val="0"/>
                <w:iCs w:val="0"/>
                <w:color w:val="000000"/>
                <w:kern w:val="2"/>
                <w:sz w:val="18"/>
                <w:szCs w:val="18"/>
                <w:highlight w:val="none"/>
                <w:u w:val="none"/>
                <w:lang w:val="en-US" w:eastAsia="zh-CN" w:bidi="ar-SA"/>
              </w:rPr>
            </w:pPr>
            <w:r>
              <w:rPr>
                <w:rFonts w:hint="eastAsia" w:asciiTheme="minorEastAsia" w:hAnsiTheme="minorEastAsia" w:cstheme="minorEastAsia"/>
                <w:i w:val="0"/>
                <w:iCs w:val="0"/>
                <w:color w:val="000000"/>
                <w:kern w:val="2"/>
                <w:sz w:val="18"/>
                <w:szCs w:val="18"/>
                <w:highlight w:val="none"/>
                <w:u w:val="none"/>
                <w:lang w:val="en-US" w:eastAsia="zh-CN" w:bidi="ar-SA"/>
              </w:rPr>
              <w:t>46.53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cstheme="minorEastAsia"/>
                <w:i w:val="0"/>
                <w:iCs w:val="0"/>
                <w:color w:val="000000"/>
                <w:sz w:val="18"/>
                <w:szCs w:val="18"/>
                <w:highlight w:val="none"/>
                <w:u w:val="none"/>
                <w:lang w:val="en-US" w:eastAsia="zh-CN"/>
              </w:rPr>
              <w:t>100.74</w:t>
            </w:r>
            <w:r>
              <w:rPr>
                <w:rFonts w:hint="eastAsia" w:asciiTheme="minorEastAsia" w:hAnsiTheme="minorEastAsia" w:eastAsiaTheme="minorEastAsia" w:cstheme="minorEastAsia"/>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主要用于</w:t>
            </w:r>
            <w:r>
              <w:rPr>
                <w:rFonts w:hint="eastAsia" w:asciiTheme="minorEastAsia" w:hAnsiTheme="minorEastAsia" w:eastAsiaTheme="minorEastAsia" w:cstheme="minorEastAsia"/>
                <w:kern w:val="0"/>
                <w:sz w:val="18"/>
                <w:szCs w:val="18"/>
                <w:lang w:eastAsia="zh-CN"/>
              </w:rPr>
              <w:t>单位按照规定标准为在职在编干部职工缴纳的基本养老保险费支出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社保计算基数增加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cstheme="minorEastAsia"/>
                <w:i w:val="0"/>
                <w:iCs w:val="0"/>
                <w:color w:val="000000"/>
                <w:sz w:val="18"/>
                <w:szCs w:val="18"/>
                <w:highlight w:val="none"/>
                <w:u w:val="none"/>
                <w:lang w:val="en-US" w:eastAsia="zh-CN"/>
              </w:rPr>
              <w:t>46.19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olor w:val="000000"/>
                <w:kern w:val="2"/>
                <w:sz w:val="18"/>
                <w:szCs w:val="18"/>
                <w:highlight w:val="none"/>
                <w:u w:val="none"/>
                <w:lang w:val="en-US" w:eastAsia="zh-CN" w:bidi="ar-SA"/>
              </w:rPr>
            </w:pPr>
            <w:r>
              <w:rPr>
                <w:rFonts w:hint="eastAsia" w:asciiTheme="minorEastAsia" w:hAnsiTheme="minorEastAsia" w:cstheme="minorEastAsia"/>
                <w:i w:val="0"/>
                <w:iCs w:val="0"/>
                <w:color w:val="000000"/>
                <w:kern w:val="2"/>
                <w:sz w:val="18"/>
                <w:szCs w:val="18"/>
                <w:highlight w:val="none"/>
                <w:u w:val="none"/>
                <w:lang w:val="en-US" w:eastAsia="zh-CN" w:bidi="ar-SA"/>
              </w:rPr>
              <w:t>46.53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p>
        </w:tc>
      </w:tr>
    </w:tbl>
    <w:p>
      <w:pPr>
        <w:jc w:val="both"/>
        <w:rPr>
          <w:rFonts w:hint="eastAsia" w:ascii="仿宋" w:hAnsi="仿宋" w:eastAsia="仿宋"/>
          <w:sz w:val="32"/>
          <w:szCs w:val="32"/>
          <w:highlight w:val="none"/>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both"/>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34.69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34.95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100.75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住房公积金计算基数增加</w:t>
      </w:r>
      <w:r>
        <w:rPr>
          <w:rFonts w:hint="eastAsia" w:ascii="仿宋_GB2312" w:hAnsi="仿宋_GB2312" w:eastAsia="仿宋_GB2312" w:cs="仿宋_GB2312"/>
          <w:color w:val="auto"/>
          <w:sz w:val="32"/>
          <w:szCs w:val="32"/>
          <w:highlight w:val="none"/>
          <w:lang w:val="en-US" w:eastAsia="zh-CN"/>
        </w:rPr>
        <w:t>。</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主要用于</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单位按规定的比例为在职在编干部职工缴纳的住房公积金</w:t>
            </w:r>
            <w:r>
              <w:rPr>
                <w:rFonts w:hint="eastAsia" w:asciiTheme="minorEastAsia" w:hAnsiTheme="minorEastAsia" w:eastAsiaTheme="minorEastAsia" w:cstheme="minorEastAsia"/>
                <w:spacing w:val="-3"/>
                <w:kern w:val="0"/>
                <w:sz w:val="18"/>
                <w:szCs w:val="18"/>
                <w:highlight w:val="none"/>
              </w:rPr>
              <w:t>支出</w:t>
            </w:r>
            <w:r>
              <w:rPr>
                <w:rFonts w:hint="eastAsia" w:asciiTheme="minorEastAsia" w:hAnsiTheme="minorEastAsia" w:eastAsiaTheme="minorEastAsia" w:cstheme="minorEastAsia"/>
                <w:sz w:val="18"/>
                <w:szCs w:val="18"/>
                <w:highlight w:val="none"/>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住房公积金计算基数增加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sz w:val="32"/>
          <w:szCs w:val="32"/>
          <w:highlight w:val="none"/>
        </w:rPr>
      </w:pPr>
      <w:r>
        <w:drawing>
          <wp:inline distT="0" distB="0" distL="114300" distR="114300">
            <wp:extent cx="4572000" cy="27432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both"/>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79.78</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年初没有这项经费预算。</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主要用于</w:t>
            </w:r>
            <w:r>
              <w:rPr>
                <w:rFonts w:hint="eastAsia" w:asciiTheme="minorEastAsia" w:hAnsiTheme="minorEastAsia" w:eastAsiaTheme="minorEastAsia" w:cstheme="minorEastAsia"/>
                <w:b w:val="0"/>
                <w:color w:val="030303"/>
                <w:w w:val="100"/>
                <w:sz w:val="18"/>
                <w:szCs w:val="18"/>
                <w:lang w:eastAsia="zh-CN"/>
              </w:rPr>
              <w:t>单位按照规定的标准发放职工年度奖励性补贴</w:t>
            </w:r>
            <w:r>
              <w:rPr>
                <w:rFonts w:hint="eastAsia" w:asciiTheme="minorEastAsia" w:hAnsiTheme="minorEastAsia" w:eastAsiaTheme="minorEastAsia" w:cstheme="minorEastAsia"/>
                <w:sz w:val="18"/>
                <w:szCs w:val="18"/>
                <w:highlight w:val="none"/>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kern w:val="2"/>
                <w:sz w:val="18"/>
                <w:szCs w:val="18"/>
                <w:highlight w:val="none"/>
                <w:lang w:val="en-US" w:eastAsia="zh-CN" w:bidi="ar"/>
              </w:rPr>
              <w:t>年初没有这项经费预算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sz w:val="32"/>
          <w:szCs w:val="32"/>
          <w:highlight w:val="none"/>
        </w:rPr>
      </w:pPr>
      <w:r>
        <w:drawing>
          <wp:inline distT="0" distB="0" distL="114300" distR="114300">
            <wp:extent cx="4572000" cy="27432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both"/>
        <w:rPr>
          <w:rFonts w:hint="eastAsia" w:eastAsia="仿宋"/>
          <w:color w:val="FF0000"/>
          <w:highlight w:val="none"/>
          <w:lang w:val="en-US" w:eastAsia="zh-CN"/>
        </w:rPr>
      </w:pPr>
      <w:r>
        <w:rPr>
          <w:rFonts w:hint="eastAsia" w:ascii="仿宋" w:hAnsi="仿宋" w:eastAsia="仿宋"/>
          <w:sz w:val="32"/>
          <w:szCs w:val="32"/>
          <w:highlight w:val="none"/>
          <w:lang w:eastAsia="zh-CN"/>
        </w:rPr>
        <w:t>科学技术</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06</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6.00</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年初没有这项经费预算。</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sz w:val="18"/>
                <w:szCs w:val="18"/>
                <w:u w:color="auto"/>
                <w:lang w:val="en-US" w:eastAsia="zh-CN"/>
              </w:rPr>
              <w:t>主要用于单位开展乡村振兴产业发展调研委托业务费支出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宋体" w:hAnsi="宋体" w:eastAsia="宋体" w:cs="宋体"/>
                <w:color w:val="FF0000"/>
                <w:sz w:val="18"/>
                <w:szCs w:val="18"/>
                <w:highlight w:val="none"/>
                <w:lang w:val="en-US" w:eastAsia="zh-CN"/>
              </w:rPr>
            </w:pPr>
            <w:r>
              <w:rPr>
                <w:rFonts w:hint="eastAsia" w:ascii="宋体" w:hAnsi="宋体" w:eastAsia="宋体" w:cs="宋体"/>
                <w:color w:val="auto"/>
                <w:kern w:val="2"/>
                <w:sz w:val="18"/>
                <w:szCs w:val="18"/>
                <w:highlight w:val="none"/>
                <w:lang w:val="en-US" w:eastAsia="zh-CN" w:bidi="ar"/>
              </w:rPr>
              <w:t>年初没有这项经费预算。</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ind w:firstLine="420" w:firstLineChars="200"/>
        <w:jc w:val="both"/>
        <w:rPr>
          <w:rFonts w:hint="eastAsia" w:ascii="黑体" w:hAnsi="黑体" w:eastAsia="黑体" w:cs="黑体"/>
          <w:sz w:val="32"/>
          <w:szCs w:val="32"/>
          <w:highlight w:val="none"/>
        </w:rPr>
      </w:pPr>
      <w:r>
        <w:drawing>
          <wp:inline distT="0" distB="0" distL="114300" distR="114300">
            <wp:extent cx="4572000" cy="2743200"/>
            <wp:effectExtent l="4445" t="4445" r="1460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552.93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385.9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66.96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464.23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129.20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职工年度奖励性补贴年初没有预算。</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116.53万元，30102津贴补贴62.07万元，30103奖金163.97万元，30107绩效工资6.64万元，30108机关事业单位基本养老保险缴费46.53万元，30110职工基本医疗保险缴费18.64万元，30112其他社会保障缴费5.83万元，30113住房公积金36.77万元，30199其他工资福利支出7.26万元。</w:t>
      </w:r>
    </w:p>
    <w:p>
      <w:pPr>
        <w:jc w:val="both"/>
        <w:rPr>
          <w:rFonts w:hint="eastAsia" w:ascii="仿宋" w:hAnsi="仿宋" w:eastAsia="仿宋" w:cs="仿宋"/>
          <w:sz w:val="32"/>
          <w:szCs w:val="32"/>
          <w:highlight w:val="none"/>
        </w:rPr>
      </w:pPr>
      <w:r>
        <w:drawing>
          <wp:inline distT="0" distB="0" distL="114300" distR="114300">
            <wp:extent cx="4572000" cy="2743200"/>
            <wp:effectExtent l="4445" t="4445" r="14605"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35.70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87.01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color w:val="auto"/>
          <w:sz w:val="32"/>
          <w:szCs w:val="32"/>
          <w:highlight w:val="none"/>
          <w:lang w:val="en-US" w:eastAsia="zh-CN"/>
        </w:rPr>
        <w:t>按照历行节约要求，压缩经费支出</w:t>
      </w:r>
      <w:r>
        <w:rPr>
          <w:rFonts w:hint="eastAsia" w:ascii="仿宋_GB2312" w:hAnsi="仿宋_GB2312" w:eastAsia="仿宋_GB2312" w:cs="仿宋_GB2312"/>
          <w:color w:val="auto"/>
          <w:kern w:val="2"/>
          <w:sz w:val="32"/>
          <w:szCs w:val="32"/>
          <w:highlight w:val="none"/>
          <w:lang w:val="en-US" w:eastAsia="zh-CN" w:bidi="ar"/>
        </w:rPr>
        <w:t>。</w:t>
      </w:r>
    </w:p>
    <w:p>
      <w:pPr>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30205水费0.05万元，30206电费0.24万元，30207邮电费3.85万元，30211差旅费5.48万元，30215会议费0.01万元，30216培训费0.37万元，30228工会经费5.77万元，30239其他交通费用19.94万元。</w:t>
      </w:r>
    </w:p>
    <w:p>
      <w:pPr>
        <w:jc w:val="both"/>
        <w:rPr>
          <w:rFonts w:hint="eastAsia" w:ascii="仿宋" w:hAnsi="仿宋" w:eastAsia="仿宋" w:cs="仿宋"/>
          <w:sz w:val="32"/>
          <w:szCs w:val="32"/>
          <w:highlight w:val="none"/>
        </w:rPr>
      </w:pPr>
      <w:r>
        <w:drawing>
          <wp:inline distT="0" distB="0" distL="114300" distR="114300">
            <wp:extent cx="4572000" cy="2743200"/>
            <wp:effectExtent l="4445" t="4445" r="14605" b="1460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53.00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152.83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主要原因是：调整财政统发退休人员工资</w:t>
      </w:r>
      <w:r>
        <w:rPr>
          <w:rFonts w:hint="eastAsia" w:ascii="仿宋" w:hAnsi="仿宋" w:eastAsia="仿宋" w:cs="仿宋"/>
          <w:color w:val="auto"/>
          <w:kern w:val="2"/>
          <w:sz w:val="32"/>
          <w:szCs w:val="32"/>
          <w:highlight w:val="none"/>
          <w:lang w:val="en-US" w:eastAsia="zh-CN" w:bidi="ar"/>
        </w:rPr>
        <w:t>。</w:t>
      </w:r>
    </w:p>
    <w:p>
      <w:pPr>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30301离休费16.43万元，30305生活补助35.84万元，30307医疗费补助0.15万元，30399其他对个人和家庭的补助0.57万元。</w:t>
      </w:r>
    </w:p>
    <w:p>
      <w:pPr>
        <w:jc w:val="both"/>
        <w:rPr>
          <w:rFonts w:hint="eastAsia" w:ascii="仿宋" w:hAnsi="仿宋" w:eastAsia="仿宋" w:cs="仿宋"/>
          <w:sz w:val="32"/>
          <w:szCs w:val="32"/>
          <w:highlight w:val="none"/>
        </w:rPr>
      </w:pPr>
      <w:r>
        <w:drawing>
          <wp:inline distT="0" distB="0" distL="114300" distR="114300">
            <wp:extent cx="4572000" cy="2743200"/>
            <wp:effectExtent l="4445" t="4445" r="14605" b="14605"/>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both"/>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广西河池市环江毛南族自治县</w:t>
      </w:r>
      <w:r>
        <w:rPr>
          <w:rFonts w:hint="eastAsia" w:ascii="仿宋" w:hAnsi="仿宋" w:eastAsia="仿宋" w:cs="仿宋"/>
          <w:color w:val="auto"/>
          <w:sz w:val="32"/>
          <w:u w:color="auto"/>
          <w:lang w:eastAsia="zh-CN"/>
        </w:rPr>
        <w:t>人民代表大会常务委员会</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五、20</w:t>
      </w:r>
      <w:r>
        <w:rPr>
          <w:rFonts w:hint="eastAsia" w:ascii="黑体" w:hAnsi="黑体" w:eastAsia="黑体" w:cs="黑体"/>
          <w:sz w:val="32"/>
          <w:szCs w:val="32"/>
          <w:highlight w:val="none"/>
          <w:lang w:val="en-US" w:eastAsia="zh-CN"/>
        </w:rPr>
        <w:t>23</w:t>
      </w:r>
      <w:r>
        <w:rPr>
          <w:rFonts w:hint="eastAsia" w:ascii="黑体" w:hAnsi="黑体" w:eastAsia="黑体" w:cs="黑体"/>
          <w:sz w:val="32"/>
          <w:szCs w:val="32"/>
          <w:highlight w:val="none"/>
        </w:rPr>
        <w:t>年度国有资本经营预算支出决算情况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u w:color="auto"/>
        </w:rPr>
      </w:pPr>
      <w:bookmarkStart w:id="4" w:name="PO_part3A5B1C1DiffReason1"/>
      <w:r>
        <w:rPr>
          <w:rFonts w:hint="eastAsia" w:ascii="仿宋_GB2312" w:hAnsi="Times New Roman" w:eastAsia="仿宋_GB2312" w:cs="Times New Roman"/>
          <w:color w:val="auto"/>
          <w:sz w:val="32"/>
          <w:szCs w:val="32"/>
        </w:rPr>
        <w:t>广西河池市环江毛南族自治县</w:t>
      </w:r>
      <w:r>
        <w:rPr>
          <w:rFonts w:hint="eastAsia" w:ascii="仿宋" w:hAnsi="仿宋" w:eastAsia="仿宋" w:cs="仿宋"/>
          <w:color w:val="auto"/>
          <w:sz w:val="32"/>
          <w:u w:color="auto"/>
          <w:lang w:eastAsia="zh-CN"/>
        </w:rPr>
        <w:t>人民代表大会常务委员会</w:t>
      </w:r>
      <w:r>
        <w:rPr>
          <w:rFonts w:ascii="仿宋_GB2312" w:hAnsi="仿宋_GB2312" w:eastAsia="仿宋_GB2312" w:cs="仿宋_GB2312"/>
          <w:color w:val="auto"/>
          <w:sz w:val="32"/>
          <w:u w:color="auto"/>
        </w:rPr>
        <w:t>没有国有资本经营预算收入，也没有国有资本经营预算收入</w:t>
      </w:r>
      <w:bookmarkEnd w:id="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7.3</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0.02</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7.3</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ascii="仿宋" w:hAnsi="仿宋" w:eastAsia="仿宋" w:cs="仿宋"/>
          <w:sz w:val="32"/>
          <w:u w:color="auto"/>
        </w:rPr>
        <w:t>广西河池市环江毛南族自治县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7.3</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0.02</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8</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sz w:val="32"/>
          <w:szCs w:val="32"/>
          <w:highlight w:val="none"/>
        </w:rPr>
        <w:t>次，人次</w:t>
      </w:r>
      <w:r>
        <w:rPr>
          <w:rFonts w:ascii="仿宋" w:hAnsi="仿宋" w:eastAsia="仿宋" w:cs="仿宋"/>
          <w:sz w:val="32"/>
          <w:szCs w:val="32"/>
          <w:highlight w:val="none"/>
        </w:rPr>
        <w:t>6</w:t>
      </w:r>
      <w:r>
        <w:rPr>
          <w:rFonts w:hint="eastAsia" w:ascii="仿宋" w:hAnsi="仿宋" w:eastAsia="仿宋" w:cs="仿宋"/>
          <w:sz w:val="32"/>
          <w:szCs w:val="32"/>
          <w:highlight w:val="none"/>
          <w:lang w:val="en-US" w:eastAsia="zh-CN"/>
        </w:rPr>
        <w:t>65人</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35.70</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5.33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12.99</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26.99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43.05</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按照历行节约要求，压缩经费支出</w:t>
      </w:r>
      <w:r>
        <w:rPr>
          <w:rFonts w:hint="eastAsia" w:ascii="仿宋" w:hAnsi="仿宋" w:eastAsia="仿宋" w:cs="仿宋"/>
          <w:color w:val="auto"/>
          <w:sz w:val="32"/>
          <w:szCs w:val="32"/>
          <w:highlight w:val="none"/>
          <w:lang w:eastAsia="zh-CN"/>
        </w:rPr>
        <w:t>。</w:t>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11.28</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11.28</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11.28</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11.28</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329.70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both"/>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六委一中心工作业务经费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171.28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项目的预算申报、组织实施、资金支付等均比较规范，项目预算绩效指标设置合理明确、符合部门特点，基本过到项目设定的预算绩效目标，较好的完成了年度工作。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center"/>
        <w:rPr>
          <w:rFonts w:hint="eastAsia" w:ascii="仿宋_GB2312" w:hAnsi="仿宋_GB2312" w:eastAsia="仿宋_GB2312" w:cs="仿宋_GB2312"/>
          <w:i w:val="0"/>
          <w:iCs w:val="0"/>
          <w:caps w:val="0"/>
          <w:color w:val="333333"/>
          <w:spacing w:val="0"/>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797.26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i w:val="0"/>
          <w:iCs w:val="0"/>
          <w:caps w:val="0"/>
          <w:color w:val="333333"/>
          <w:spacing w:val="0"/>
          <w:sz w:val="32"/>
          <w:szCs w:val="32"/>
        </w:rPr>
        <w:t>年初预算</w:t>
      </w:r>
      <w:r>
        <w:rPr>
          <w:rFonts w:hint="eastAsia" w:ascii="仿宋_GB2312" w:hAnsi="仿宋_GB2312" w:eastAsia="仿宋_GB2312" w:cs="仿宋_GB2312"/>
          <w:i w:val="0"/>
          <w:iCs w:val="0"/>
          <w:caps w:val="0"/>
          <w:color w:val="333333"/>
          <w:spacing w:val="0"/>
          <w:sz w:val="32"/>
          <w:szCs w:val="32"/>
          <w:lang w:eastAsia="zh-CN"/>
        </w:rPr>
        <w:t>数</w:t>
      </w:r>
      <w:r>
        <w:rPr>
          <w:rFonts w:hint="eastAsia" w:ascii="仿宋_GB2312" w:hAnsi="仿宋_GB2312" w:eastAsia="仿宋_GB2312" w:cs="仿宋_GB2312"/>
          <w:i w:val="0"/>
          <w:iCs w:val="0"/>
          <w:caps w:val="0"/>
          <w:color w:val="333333"/>
          <w:spacing w:val="0"/>
          <w:sz w:val="32"/>
          <w:szCs w:val="32"/>
          <w:lang w:val="en-US" w:eastAsia="zh-CN"/>
        </w:rPr>
        <w:t>1115.02</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年中预算</w:t>
      </w:r>
      <w:r>
        <w:rPr>
          <w:rFonts w:hint="eastAsia" w:ascii="仿宋_GB2312" w:hAnsi="仿宋_GB2312" w:eastAsia="仿宋_GB2312" w:cs="仿宋_GB2312"/>
          <w:i w:val="0"/>
          <w:iCs w:val="0"/>
          <w:caps w:val="0"/>
          <w:color w:val="333333"/>
          <w:spacing w:val="0"/>
          <w:sz w:val="32"/>
          <w:szCs w:val="32"/>
          <w:lang w:eastAsia="zh-CN"/>
        </w:rPr>
        <w:t>调整数</w:t>
      </w:r>
      <w:r>
        <w:rPr>
          <w:rFonts w:hint="eastAsia" w:ascii="仿宋_GB2312" w:hAnsi="仿宋_GB2312" w:eastAsia="仿宋_GB2312" w:cs="仿宋_GB2312"/>
          <w:i w:val="0"/>
          <w:iCs w:val="0"/>
          <w:caps w:val="0"/>
          <w:color w:val="333333"/>
          <w:spacing w:val="0"/>
          <w:sz w:val="32"/>
          <w:szCs w:val="32"/>
          <w:lang w:val="en-US" w:eastAsia="zh-CN"/>
        </w:rPr>
        <w:t>-112.73</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，调整后预算数</w:t>
      </w:r>
      <w:r>
        <w:rPr>
          <w:rFonts w:hint="eastAsia" w:ascii="仿宋_GB2312" w:hAnsi="仿宋_GB2312" w:eastAsia="仿宋_GB2312" w:cs="仿宋_GB2312"/>
          <w:i w:val="0"/>
          <w:iCs w:val="0"/>
          <w:caps w:val="0"/>
          <w:color w:val="333333"/>
          <w:spacing w:val="0"/>
          <w:sz w:val="32"/>
          <w:szCs w:val="32"/>
          <w:lang w:val="en-US" w:eastAsia="zh-CN"/>
        </w:rPr>
        <w:t>1002.29万元，全年执行数797.26万元，预算执行率79.54%</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自评结论：一等。</w:t>
      </w:r>
    </w:p>
    <w:p>
      <w:pPr>
        <w:ind w:firstLine="640" w:firstLineChars="200"/>
        <w:jc w:val="both"/>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情况如下：</w:t>
      </w:r>
    </w:p>
    <w:p>
      <w:pPr>
        <w:numPr>
          <w:ilvl w:val="0"/>
          <w:numId w:val="0"/>
        </w:numPr>
        <w:ind w:firstLine="640" w:firstLineChars="200"/>
        <w:jc w:val="both"/>
        <w:rPr>
          <w:rFonts w:hint="default"/>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（1）六委一中心工作业务经费自评得分为99.29分。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（2）联系村工作经费自评得分为99.29分。</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一因财政资金紧张，资金拨付较缓慢；二是绩效设置不够细化。下一步改进措施：加快资金使用进度，细化绩效内容。</w:t>
      </w:r>
    </w:p>
    <w:p>
      <w:pPr>
        <w:numPr>
          <w:ilvl w:val="0"/>
          <w:numId w:val="0"/>
        </w:numPr>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（3）人大信访工作经费自评得分为92.33分。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一因财政资金紧张，资金拨付较缓慢；二是绩效设置不够细化。下一步改进措施：加快资金使用进度，细化绩效内容。</w:t>
      </w:r>
    </w:p>
    <w:p>
      <w:pPr>
        <w:numPr>
          <w:ilvl w:val="0"/>
          <w:numId w:val="0"/>
        </w:numPr>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（4）全国少数民族自治县人大工作联席会议经费自评得分为98.92分。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（5）专题调研视察工作经费自评得分为92.84分。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w:t>
      </w:r>
      <w:r>
        <w:rPr>
          <w:rFonts w:hint="eastAsia" w:ascii="仿宋" w:hAnsi="仿宋" w:eastAsia="仿宋" w:cs="仿宋"/>
          <w:color w:val="000000" w:themeColor="text1"/>
          <w:spacing w:val="-6"/>
          <w:sz w:val="32"/>
          <w:szCs w:val="32"/>
          <w:lang w:eastAsia="zh-CN"/>
          <w14:textFill>
            <w14:solidFill>
              <w14:schemeClr w14:val="tx1"/>
            </w14:solidFill>
          </w14:textFill>
        </w:rPr>
        <w:t>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（6）县级人大代表履职活动经费自评得分为100分。</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（7）县级人大代表履职培训经费自评得分为99.99分。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（8）代表列席旁听常委会经费自评得分为93.68分。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eastAsia="仿宋" w:cs="仿宋"/>
          <w:color w:val="000000" w:themeColor="text1"/>
          <w:sz w:val="32"/>
          <w:szCs w:val="32"/>
          <w:lang w:val="en-US" w:eastAsia="zh-CN"/>
          <w14:textFill>
            <w14:solidFill>
              <w14:schemeClr w14:val="tx1"/>
            </w14:solidFill>
          </w14:textFill>
        </w:rPr>
        <w:t>（9）办公设备购置</w:t>
      </w:r>
      <w:r>
        <w:rPr>
          <w:rFonts w:hint="eastAsia" w:ascii="仿宋" w:hAnsi="仿宋" w:eastAsia="仿宋" w:cs="仿宋"/>
          <w:color w:val="000000" w:themeColor="text1"/>
          <w:sz w:val="32"/>
          <w:szCs w:val="32"/>
          <w:lang w:val="en-US" w:eastAsia="zh-CN"/>
          <w14:textFill>
            <w14:solidFill>
              <w14:schemeClr w14:val="tx1"/>
            </w14:solidFill>
          </w14:textFill>
        </w:rPr>
        <w:t>自评得分为</w:t>
      </w:r>
      <w:r>
        <w:rPr>
          <w:rFonts w:hint="eastAsia" w:ascii="仿宋" w:eastAsia="仿宋" w:cs="仿宋"/>
          <w:color w:val="000000" w:themeColor="text1"/>
          <w:sz w:val="32"/>
          <w:szCs w:val="32"/>
          <w:lang w:val="en-US" w:eastAsia="zh-CN"/>
          <w14:textFill>
            <w14:solidFill>
              <w14:schemeClr w14:val="tx1"/>
            </w14:solidFill>
          </w14:textFill>
        </w:rPr>
        <w:t>97.50</w:t>
      </w:r>
      <w:r>
        <w:rPr>
          <w:rFonts w:hint="eastAsia" w:ascii="仿宋" w:hAnsi="仿宋" w:eastAsia="仿宋" w:cs="仿宋"/>
          <w:color w:val="000000" w:themeColor="text1"/>
          <w:sz w:val="32"/>
          <w:szCs w:val="32"/>
          <w:lang w:val="en-US" w:eastAsia="zh-CN"/>
          <w14:textFill>
            <w14:solidFill>
              <w14:schemeClr w14:val="tx1"/>
            </w14:solidFill>
          </w14:textFill>
        </w:rPr>
        <w:t>分</w:t>
      </w:r>
      <w:r>
        <w:rPr>
          <w:rFonts w:hint="eastAsia" w:asci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eastAsia="仿宋" w:cs="仿宋"/>
          <w:color w:val="000000" w:themeColor="text1"/>
          <w:sz w:val="32"/>
          <w:szCs w:val="32"/>
          <w:lang w:val="en-US" w:eastAsia="zh-CN"/>
          <w14:textFill>
            <w14:solidFill>
              <w14:schemeClr w14:val="tx1"/>
            </w14:solidFill>
          </w14:textFill>
        </w:rPr>
        <w:t>（10）县级人大代表小组活动经费</w:t>
      </w:r>
      <w:r>
        <w:rPr>
          <w:rFonts w:hint="eastAsia" w:ascii="仿宋" w:hAnsi="仿宋" w:eastAsia="仿宋" w:cs="仿宋"/>
          <w:color w:val="000000" w:themeColor="text1"/>
          <w:sz w:val="32"/>
          <w:szCs w:val="32"/>
          <w:lang w:val="en-US" w:eastAsia="zh-CN"/>
          <w14:textFill>
            <w14:solidFill>
              <w14:schemeClr w14:val="tx1"/>
            </w14:solidFill>
          </w14:textFill>
        </w:rPr>
        <w:t>自评得分为95.71分。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eastAsia="仿宋" w:cs="仿宋"/>
          <w:color w:val="000000" w:themeColor="text1"/>
          <w:sz w:val="32"/>
          <w:szCs w:val="32"/>
          <w:lang w:val="en-US" w:eastAsia="zh-CN"/>
          <w14:textFill>
            <w14:solidFill>
              <w14:schemeClr w14:val="tx1"/>
            </w14:solidFill>
          </w14:textFill>
        </w:rPr>
        <w:t>（11）人大办业务经费</w:t>
      </w:r>
      <w:r>
        <w:rPr>
          <w:rFonts w:hint="eastAsia" w:ascii="仿宋" w:hAnsi="仿宋" w:eastAsia="仿宋" w:cs="仿宋"/>
          <w:color w:val="000000" w:themeColor="text1"/>
          <w:sz w:val="32"/>
          <w:szCs w:val="32"/>
          <w:lang w:val="en-US" w:eastAsia="zh-CN"/>
          <w14:textFill>
            <w14:solidFill>
              <w14:schemeClr w14:val="tx1"/>
            </w14:solidFill>
          </w14:textFill>
        </w:rPr>
        <w:t>自评得分为98.01分</w:t>
      </w:r>
      <w:r>
        <w:rPr>
          <w:rFonts w:hint="eastAsia" w:asci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（12）立法专项经费自评得分为91.41分</w:t>
      </w:r>
      <w:r>
        <w:rPr>
          <w:rFonts w:hint="eastAsia" w:asci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w:t>
      </w:r>
      <w:r>
        <w:rPr>
          <w:rFonts w:hint="eastAsia" w:ascii="仿宋" w:hAnsi="仿宋" w:eastAsia="仿宋" w:cs="仿宋"/>
          <w:color w:val="000000" w:themeColor="text1"/>
          <w:spacing w:val="-6"/>
          <w:sz w:val="32"/>
          <w:szCs w:val="32"/>
          <w:lang w:eastAsia="zh-CN"/>
          <w14:textFill>
            <w14:solidFill>
              <w14:schemeClr w14:val="tx1"/>
            </w14:solidFill>
          </w14:textFill>
        </w:rPr>
        <w:t>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（13）自治县人民代表大会会议经费自评得分为99.46分。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（14）人大代表议案建议办理专项经费自评得分为90分。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（15）普法宣传经费自评得分为90分。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（16）党支部组织生活经费自评得分为100分。</w:t>
      </w:r>
    </w:p>
    <w:p>
      <w:pPr>
        <w:numPr>
          <w:ilvl w:val="0"/>
          <w:numId w:val="3"/>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执法检查经费自评得分为90分。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（20）“代表风采”宣传经费自评得分为99.57分。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（21）立法研究咨询服务费自评得分为100分。</w:t>
      </w:r>
    </w:p>
    <w:p>
      <w:pPr>
        <w:numPr>
          <w:ilvl w:val="0"/>
          <w:numId w:val="0"/>
        </w:numPr>
        <w:ind w:left="0" w:leftChars="0" w:firstLine="640" w:firstLineChars="200"/>
        <w:jc w:val="both"/>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（22）2022年执法检查经费自评得分为92.92分。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w:t>
      </w:r>
      <w:r>
        <w:rPr>
          <w:rFonts w:hint="eastAsia" w:ascii="仿宋" w:hAnsi="仿宋" w:eastAsia="仿宋" w:cs="仿宋"/>
          <w:color w:val="000000" w:themeColor="text1"/>
          <w:spacing w:val="-6"/>
          <w:sz w:val="32"/>
          <w:szCs w:val="32"/>
          <w:lang w:eastAsia="zh-CN"/>
          <w14:textFill>
            <w14:solidFill>
              <w14:schemeClr w14:val="tx1"/>
            </w14:solidFill>
          </w14:textFill>
        </w:rPr>
        <w:t>置不够细化。下一步改进措施：加快资金使用进度，细化绩效内容。</w:t>
      </w:r>
    </w:p>
    <w:p>
      <w:pPr>
        <w:numPr>
          <w:ilvl w:val="0"/>
          <w:numId w:val="4"/>
        </w:numPr>
        <w:ind w:left="0" w:leftChars="0"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奖励性补贴自评得分为100分。</w:t>
      </w:r>
    </w:p>
    <w:p>
      <w:pPr>
        <w:numPr>
          <w:ilvl w:val="0"/>
          <w:numId w:val="4"/>
        </w:numPr>
        <w:ind w:left="0" w:leftChars="0"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奖励性补贴(非三保）自评得分为100分。</w:t>
      </w:r>
    </w:p>
    <w:p>
      <w:pPr>
        <w:numPr>
          <w:ilvl w:val="0"/>
          <w:numId w:val="4"/>
        </w:numPr>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代表履职平台信息化建设经费自评得分90分。</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绩效设置不够细化。下一步改进措施：加快资金使用进度，细化绩效内容。</w:t>
      </w:r>
    </w:p>
    <w:p>
      <w:pPr>
        <w:numPr>
          <w:ilvl w:val="0"/>
          <w:numId w:val="4"/>
        </w:numPr>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人大志编撰经费</w:t>
      </w:r>
      <w:r>
        <w:rPr>
          <w:rFonts w:hint="eastAsia" w:ascii="仿宋" w:hAnsi="仿宋" w:eastAsia="仿宋" w:cs="仿宋"/>
          <w:color w:val="000000" w:themeColor="text1"/>
          <w:sz w:val="32"/>
          <w:szCs w:val="32"/>
          <w:lang w:val="en-US" w:eastAsia="zh-CN"/>
          <w14:textFill>
            <w14:solidFill>
              <w14:schemeClr w14:val="tx1"/>
            </w14:solidFill>
          </w14:textFill>
        </w:rPr>
        <w:t>自评得分90分。</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绩效设置不够细化。下一步改进措施：加快资金使用进度，细化绩效内容。</w:t>
      </w:r>
    </w:p>
    <w:p>
      <w:pPr>
        <w:numPr>
          <w:ilvl w:val="0"/>
          <w:numId w:val="4"/>
        </w:numPr>
        <w:ind w:left="0" w:leftChars="0" w:firstLine="640" w:firstLineChars="200"/>
        <w:jc w:val="both"/>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常委会会议经费自评得分</w:t>
      </w:r>
      <w:r>
        <w:rPr>
          <w:rFonts w:hint="eastAsia" w:ascii="仿宋" w:hAnsi="仿宋" w:eastAsia="仿宋" w:cs="仿宋"/>
          <w:color w:val="000000" w:themeColor="text1"/>
          <w:sz w:val="32"/>
          <w:szCs w:val="32"/>
          <w:lang w:val="en-US" w:eastAsia="zh-CN"/>
          <w14:textFill>
            <w14:solidFill>
              <w14:schemeClr w14:val="tx1"/>
            </w14:solidFill>
          </w14:textFill>
        </w:rPr>
        <w:t>96.98分。</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w:t>
      </w:r>
      <w:r>
        <w:rPr>
          <w:rFonts w:hint="eastAsia" w:ascii="仿宋" w:hAnsi="仿宋" w:eastAsia="仿宋" w:cs="仿宋"/>
          <w:color w:val="000000" w:themeColor="text1"/>
          <w:spacing w:val="-6"/>
          <w:sz w:val="32"/>
          <w:szCs w:val="32"/>
          <w:lang w:eastAsia="zh-CN"/>
          <w14:textFill>
            <w14:solidFill>
              <w14:schemeClr w14:val="tx1"/>
            </w14:solidFill>
          </w14:textFill>
        </w:rPr>
        <w:t>置不够细化。下一步改进措施：加快资金使用进度，细化绩效内容。</w:t>
      </w:r>
    </w:p>
    <w:p>
      <w:pPr>
        <w:numPr>
          <w:ilvl w:val="0"/>
          <w:numId w:val="4"/>
        </w:numPr>
        <w:ind w:left="0" w:leftChars="0" w:firstLine="640" w:firstLineChars="200"/>
        <w:jc w:val="both"/>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专题调研经费、专题询问、工作评议等监督工作经费自评得分</w:t>
      </w:r>
      <w:r>
        <w:rPr>
          <w:rFonts w:hint="eastAsia" w:ascii="仿宋" w:hAnsi="仿宋" w:eastAsia="仿宋" w:cs="仿宋"/>
          <w:color w:val="000000" w:themeColor="text1"/>
          <w:sz w:val="32"/>
          <w:szCs w:val="32"/>
          <w:lang w:val="en-US" w:eastAsia="zh-CN"/>
          <w14:textFill>
            <w14:solidFill>
              <w14:schemeClr w14:val="tx1"/>
            </w14:solidFill>
          </w14:textFill>
        </w:rPr>
        <w:t>98.88分。</w:t>
      </w:r>
      <w:r>
        <w:rPr>
          <w:rFonts w:hint="eastAsia" w:ascii="仿宋" w:hAnsi="仿宋" w:eastAsia="仿宋" w:cs="仿宋"/>
          <w:color w:val="000000" w:themeColor="text1"/>
          <w:sz w:val="32"/>
          <w:szCs w:val="32"/>
          <w:lang w:eastAsia="zh-CN"/>
          <w14:textFill>
            <w14:solidFill>
              <w14:schemeClr w14:val="tx1"/>
            </w14:solidFill>
          </w14:textFill>
        </w:rPr>
        <w:t>绩效设</w:t>
      </w:r>
      <w:r>
        <w:rPr>
          <w:rFonts w:hint="eastAsia" w:ascii="仿宋" w:hAnsi="仿宋" w:eastAsia="仿宋" w:cs="仿宋"/>
          <w:color w:val="000000" w:themeColor="text1"/>
          <w:spacing w:val="-6"/>
          <w:sz w:val="32"/>
          <w:szCs w:val="32"/>
          <w:lang w:eastAsia="zh-CN"/>
          <w14:textFill>
            <w14:solidFill>
              <w14:schemeClr w14:val="tx1"/>
            </w14:solidFill>
          </w14:textFill>
        </w:rPr>
        <w:t>置不够细化。下一步改进措施：加快资金使用进度，细化绩效内容。</w:t>
      </w:r>
    </w:p>
    <w:p>
      <w:pPr>
        <w:numPr>
          <w:ilvl w:val="0"/>
          <w:numId w:val="4"/>
        </w:numPr>
        <w:ind w:left="0" w:leftChars="0" w:firstLine="640" w:firstLineChars="200"/>
        <w:jc w:val="both"/>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自治县人大立法</w:t>
      </w:r>
      <w:r>
        <w:rPr>
          <w:rFonts w:hint="eastAsia" w:ascii="仿宋" w:hAnsi="仿宋" w:eastAsia="仿宋" w:cs="仿宋"/>
          <w:color w:val="000000" w:themeColor="text1"/>
          <w:sz w:val="32"/>
          <w:szCs w:val="32"/>
          <w:lang w:val="en-US" w:eastAsia="zh-CN"/>
          <w14:textFill>
            <w14:solidFill>
              <w14:schemeClr w14:val="tx1"/>
            </w14:solidFill>
          </w14:textFill>
        </w:rPr>
        <w:t>经费（自治区补助资金）</w:t>
      </w:r>
      <w:r>
        <w:rPr>
          <w:rFonts w:hint="eastAsia" w:ascii="仿宋" w:hAnsi="仿宋" w:eastAsia="仿宋" w:cs="仿宋"/>
          <w:color w:val="000000" w:themeColor="text1"/>
          <w:sz w:val="32"/>
          <w:szCs w:val="32"/>
          <w:lang w:eastAsia="zh-CN"/>
          <w14:textFill>
            <w14:solidFill>
              <w14:schemeClr w14:val="tx1"/>
            </w14:solidFill>
          </w14:textFill>
        </w:rPr>
        <w:t>自评得分</w:t>
      </w:r>
      <w:r>
        <w:rPr>
          <w:rFonts w:hint="eastAsia" w:ascii="仿宋" w:hAnsi="仿宋" w:eastAsia="仿宋" w:cs="仿宋"/>
          <w:color w:val="000000" w:themeColor="text1"/>
          <w:sz w:val="32"/>
          <w:szCs w:val="32"/>
          <w:lang w:val="en-US" w:eastAsia="zh-CN"/>
          <w14:textFill>
            <w14:solidFill>
              <w14:schemeClr w14:val="tx1"/>
            </w14:solidFill>
          </w14:textFill>
        </w:rPr>
        <w:t>100分。</w:t>
      </w:r>
      <w:r>
        <w:rPr>
          <w:rFonts w:hint="eastAsia" w:ascii="仿宋" w:hAnsi="仿宋" w:eastAsia="仿宋" w:cs="仿宋"/>
          <w:color w:val="000000" w:themeColor="text1"/>
          <w:sz w:val="32"/>
          <w:szCs w:val="32"/>
          <w:lang w:eastAsia="zh-CN"/>
          <w14:textFill>
            <w14:solidFill>
              <w14:schemeClr w14:val="tx1"/>
            </w14:solidFill>
          </w14:textFill>
        </w:rPr>
        <w:t>绩效设</w:t>
      </w:r>
      <w:r>
        <w:rPr>
          <w:rFonts w:hint="eastAsia" w:ascii="仿宋" w:hAnsi="仿宋" w:eastAsia="仿宋" w:cs="仿宋"/>
          <w:color w:val="000000" w:themeColor="text1"/>
          <w:spacing w:val="-6"/>
          <w:sz w:val="32"/>
          <w:szCs w:val="32"/>
          <w:lang w:eastAsia="zh-CN"/>
          <w14:textFill>
            <w14:solidFill>
              <w14:schemeClr w14:val="tx1"/>
            </w14:solidFill>
          </w14:textFill>
        </w:rPr>
        <w:t>置不够细化。下一步改进措施：加快资金使用进度，细化绩效内容。</w:t>
      </w:r>
    </w:p>
    <w:p>
      <w:pPr>
        <w:numPr>
          <w:ilvl w:val="0"/>
          <w:numId w:val="0"/>
        </w:numPr>
        <w:ind w:leftChars="200"/>
        <w:jc w:val="both"/>
        <w:rPr>
          <w:rFonts w:hint="eastAsia" w:ascii="仿宋" w:hAnsi="仿宋" w:eastAsia="仿宋" w:cs="仿宋"/>
          <w:color w:val="000000" w:themeColor="text1"/>
          <w:spacing w:val="-6"/>
          <w:sz w:val="32"/>
          <w:szCs w:val="32"/>
          <w:lang w:eastAsia="zh-CN"/>
          <w14:textFill>
            <w14:solidFill>
              <w14:schemeClr w14:val="tx1"/>
            </w14:solidFill>
          </w14:textFill>
        </w:rPr>
      </w:pPr>
    </w:p>
    <w:p>
      <w:pPr>
        <w:numPr>
          <w:ilvl w:val="0"/>
          <w:numId w:val="0"/>
        </w:numPr>
        <w:ind w:leftChars="200"/>
        <w:jc w:val="both"/>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object>
          <v:shape id="_x0000_i1025" o:spt="75" type="#_x0000_t75" style="height:40.25pt;width:295.75pt;" o:ole="t" filled="f" o:preferrelative="t" stroked="f" coordsize="21600,21600">
            <v:fill on="f" focussize="0,0"/>
            <v:stroke on="f"/>
            <v:imagedata r:id="rId22" o:title=""/>
            <o:lock v:ext="edit" aspectratio="t"/>
            <w10:wrap type="none"/>
            <w10:anchorlock/>
          </v:shape>
          <o:OLEObject Type="Embed" ProgID="Package" ShapeID="_x0000_i1025" DrawAspect="Content" ObjectID="_1468075725" r:id="rId21">
            <o:LockedField>false</o:LockedField>
          </o:OLEObject>
        </w:object>
      </w:r>
      <w:bookmarkStart w:id="5" w:name="_GoBack"/>
      <w:bookmarkEnd w:id="5"/>
    </w:p>
    <w:p>
      <w:pPr>
        <w:numPr>
          <w:ilvl w:val="0"/>
          <w:numId w:val="0"/>
        </w:numPr>
        <w:ind w:left="0" w:leftChars="0" w:firstLine="420" w:firstLineChars="200"/>
        <w:jc w:val="both"/>
        <w:rPr>
          <w:rFonts w:hint="default"/>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 w:hAnsi="仿宋" w:eastAsia="仿宋" w:cs="仿宋"/>
          <w:sz w:val="32"/>
          <w:szCs w:val="32"/>
          <w:highlight w:val="none"/>
        </w:rPr>
      </w:pPr>
    </w:p>
    <w:sectPr>
      <w:pgSz w:w="11906" w:h="16838"/>
      <w:pgMar w:top="1984" w:right="1474" w:bottom="1417"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25C745D"/>
    <w:multiLevelType w:val="singleLevel"/>
    <w:tmpl w:val="C25C745D"/>
    <w:lvl w:ilvl="0" w:tentative="0">
      <w:start w:val="17"/>
      <w:numFmt w:val="decimal"/>
      <w:suff w:val="space"/>
      <w:lvlText w:val="（%1）"/>
      <w:lvlJc w:val="left"/>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127DFCD4"/>
    <w:multiLevelType w:val="singleLevel"/>
    <w:tmpl w:val="127DFCD4"/>
    <w:lvl w:ilvl="0" w:tentative="0">
      <w:start w:val="23"/>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3N2YwMGFkODU4ZmM0YjUwZDNlODE4YWNmYzNkOD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4527E0"/>
    <w:rsid w:val="015F1951"/>
    <w:rsid w:val="01AE23C1"/>
    <w:rsid w:val="020C171D"/>
    <w:rsid w:val="0216715F"/>
    <w:rsid w:val="02180A0F"/>
    <w:rsid w:val="0275451F"/>
    <w:rsid w:val="02E0291A"/>
    <w:rsid w:val="04003C23"/>
    <w:rsid w:val="04221DEB"/>
    <w:rsid w:val="043426E6"/>
    <w:rsid w:val="04E54546"/>
    <w:rsid w:val="05232144"/>
    <w:rsid w:val="05355B4E"/>
    <w:rsid w:val="05406293"/>
    <w:rsid w:val="054D6B6E"/>
    <w:rsid w:val="05992762"/>
    <w:rsid w:val="069815BB"/>
    <w:rsid w:val="07B0770E"/>
    <w:rsid w:val="08DF222C"/>
    <w:rsid w:val="0942143F"/>
    <w:rsid w:val="0A8D5817"/>
    <w:rsid w:val="0AAA48E8"/>
    <w:rsid w:val="0B705849"/>
    <w:rsid w:val="0BED15C5"/>
    <w:rsid w:val="0D100297"/>
    <w:rsid w:val="0D202B45"/>
    <w:rsid w:val="0E596F18"/>
    <w:rsid w:val="0F8D4C87"/>
    <w:rsid w:val="102F4FB0"/>
    <w:rsid w:val="10505FAA"/>
    <w:rsid w:val="105F7E7E"/>
    <w:rsid w:val="10761BCF"/>
    <w:rsid w:val="10A96A1D"/>
    <w:rsid w:val="11E56B5B"/>
    <w:rsid w:val="12025A37"/>
    <w:rsid w:val="1203449B"/>
    <w:rsid w:val="124841D3"/>
    <w:rsid w:val="125C77AB"/>
    <w:rsid w:val="13FF2FDC"/>
    <w:rsid w:val="14CB726E"/>
    <w:rsid w:val="15F42192"/>
    <w:rsid w:val="16450704"/>
    <w:rsid w:val="16A91EF8"/>
    <w:rsid w:val="17E92249"/>
    <w:rsid w:val="189C5290"/>
    <w:rsid w:val="18D304F1"/>
    <w:rsid w:val="190366E4"/>
    <w:rsid w:val="19F32577"/>
    <w:rsid w:val="19F45B80"/>
    <w:rsid w:val="1A6D6D61"/>
    <w:rsid w:val="1B0C078D"/>
    <w:rsid w:val="1B2B31E2"/>
    <w:rsid w:val="1B302BE8"/>
    <w:rsid w:val="1B4C295A"/>
    <w:rsid w:val="1B973C63"/>
    <w:rsid w:val="1BA1001E"/>
    <w:rsid w:val="1C0C3617"/>
    <w:rsid w:val="1C242EB2"/>
    <w:rsid w:val="1D0C4666"/>
    <w:rsid w:val="1D317259"/>
    <w:rsid w:val="1DC85C1E"/>
    <w:rsid w:val="1E664F5B"/>
    <w:rsid w:val="1EB34BE1"/>
    <w:rsid w:val="1FB113FD"/>
    <w:rsid w:val="215E639F"/>
    <w:rsid w:val="21EC3183"/>
    <w:rsid w:val="22280ABD"/>
    <w:rsid w:val="225E72CD"/>
    <w:rsid w:val="22781DCE"/>
    <w:rsid w:val="22E7748A"/>
    <w:rsid w:val="22FA4903"/>
    <w:rsid w:val="23F0560A"/>
    <w:rsid w:val="246E2F77"/>
    <w:rsid w:val="250C58E6"/>
    <w:rsid w:val="25166300"/>
    <w:rsid w:val="252C5CD3"/>
    <w:rsid w:val="253048D6"/>
    <w:rsid w:val="254B4E2B"/>
    <w:rsid w:val="258E50DA"/>
    <w:rsid w:val="25AD710F"/>
    <w:rsid w:val="25CD79B1"/>
    <w:rsid w:val="25F17B1A"/>
    <w:rsid w:val="269A360B"/>
    <w:rsid w:val="28244721"/>
    <w:rsid w:val="283D7C94"/>
    <w:rsid w:val="2850330C"/>
    <w:rsid w:val="28F52908"/>
    <w:rsid w:val="29480E03"/>
    <w:rsid w:val="2983634D"/>
    <w:rsid w:val="29901626"/>
    <w:rsid w:val="2A2B57A0"/>
    <w:rsid w:val="2AFC7925"/>
    <w:rsid w:val="2B0D097F"/>
    <w:rsid w:val="2BB02055"/>
    <w:rsid w:val="2BC22D48"/>
    <w:rsid w:val="2BFE5FF1"/>
    <w:rsid w:val="2C575A56"/>
    <w:rsid w:val="2CBA2FB1"/>
    <w:rsid w:val="2E9A1557"/>
    <w:rsid w:val="2F257714"/>
    <w:rsid w:val="2F2E3CCB"/>
    <w:rsid w:val="2F3275E5"/>
    <w:rsid w:val="2FCF25FE"/>
    <w:rsid w:val="2FF142E4"/>
    <w:rsid w:val="306551CF"/>
    <w:rsid w:val="30AA08EF"/>
    <w:rsid w:val="30D23D1C"/>
    <w:rsid w:val="31221CF5"/>
    <w:rsid w:val="31400178"/>
    <w:rsid w:val="316A3890"/>
    <w:rsid w:val="316F36A1"/>
    <w:rsid w:val="31B62870"/>
    <w:rsid w:val="321E3342"/>
    <w:rsid w:val="327759C8"/>
    <w:rsid w:val="327B68A4"/>
    <w:rsid w:val="33185FE3"/>
    <w:rsid w:val="33AE0ED8"/>
    <w:rsid w:val="33E47EA6"/>
    <w:rsid w:val="34EE2E36"/>
    <w:rsid w:val="350D205A"/>
    <w:rsid w:val="35CD7559"/>
    <w:rsid w:val="36777241"/>
    <w:rsid w:val="36D97C8A"/>
    <w:rsid w:val="371E78D5"/>
    <w:rsid w:val="37A506B0"/>
    <w:rsid w:val="37D90F1F"/>
    <w:rsid w:val="37F43748"/>
    <w:rsid w:val="38A951DB"/>
    <w:rsid w:val="38B31605"/>
    <w:rsid w:val="38B63734"/>
    <w:rsid w:val="38E57001"/>
    <w:rsid w:val="39003F4F"/>
    <w:rsid w:val="39644874"/>
    <w:rsid w:val="39E15B62"/>
    <w:rsid w:val="3A663AD8"/>
    <w:rsid w:val="3ACD3478"/>
    <w:rsid w:val="3BF24551"/>
    <w:rsid w:val="3C07002B"/>
    <w:rsid w:val="3D0535AB"/>
    <w:rsid w:val="3D0D152A"/>
    <w:rsid w:val="3D251EFB"/>
    <w:rsid w:val="3DBD49CE"/>
    <w:rsid w:val="3DF62756"/>
    <w:rsid w:val="3EB82D15"/>
    <w:rsid w:val="3ECF3EA7"/>
    <w:rsid w:val="3F1B7587"/>
    <w:rsid w:val="3F4343E8"/>
    <w:rsid w:val="3F564288"/>
    <w:rsid w:val="3FFC2E3E"/>
    <w:rsid w:val="41570914"/>
    <w:rsid w:val="41E57B4F"/>
    <w:rsid w:val="42334885"/>
    <w:rsid w:val="427005BB"/>
    <w:rsid w:val="42C02DCF"/>
    <w:rsid w:val="432F26F6"/>
    <w:rsid w:val="43880F63"/>
    <w:rsid w:val="43B27D8E"/>
    <w:rsid w:val="441C5A6F"/>
    <w:rsid w:val="44C44FCC"/>
    <w:rsid w:val="44CC7369"/>
    <w:rsid w:val="457F5108"/>
    <w:rsid w:val="46840182"/>
    <w:rsid w:val="46951B6B"/>
    <w:rsid w:val="46C51AB9"/>
    <w:rsid w:val="46F25D74"/>
    <w:rsid w:val="486A6177"/>
    <w:rsid w:val="48AE5850"/>
    <w:rsid w:val="48F705C9"/>
    <w:rsid w:val="49A34401"/>
    <w:rsid w:val="4A3E30AB"/>
    <w:rsid w:val="4A7B3BD0"/>
    <w:rsid w:val="4AC14DAC"/>
    <w:rsid w:val="4B3A2B43"/>
    <w:rsid w:val="4BC3097D"/>
    <w:rsid w:val="4BCD6705"/>
    <w:rsid w:val="4C082C41"/>
    <w:rsid w:val="4C4C5224"/>
    <w:rsid w:val="4CCA3DED"/>
    <w:rsid w:val="4D154C85"/>
    <w:rsid w:val="4DED0263"/>
    <w:rsid w:val="4E80176C"/>
    <w:rsid w:val="4EAF3848"/>
    <w:rsid w:val="4EB35ECE"/>
    <w:rsid w:val="4EB8094F"/>
    <w:rsid w:val="4EB90223"/>
    <w:rsid w:val="50604C00"/>
    <w:rsid w:val="508F4E24"/>
    <w:rsid w:val="51461E90"/>
    <w:rsid w:val="51463753"/>
    <w:rsid w:val="518015D9"/>
    <w:rsid w:val="522D7B75"/>
    <w:rsid w:val="52553A93"/>
    <w:rsid w:val="52705FF4"/>
    <w:rsid w:val="52832CB1"/>
    <w:rsid w:val="53521F8B"/>
    <w:rsid w:val="538549BE"/>
    <w:rsid w:val="53E22F47"/>
    <w:rsid w:val="543A0058"/>
    <w:rsid w:val="54522FF8"/>
    <w:rsid w:val="549E4761"/>
    <w:rsid w:val="54B83EB0"/>
    <w:rsid w:val="55450629"/>
    <w:rsid w:val="555B6E99"/>
    <w:rsid w:val="56692963"/>
    <w:rsid w:val="568B0F48"/>
    <w:rsid w:val="56A77ED4"/>
    <w:rsid w:val="575863BE"/>
    <w:rsid w:val="5786217B"/>
    <w:rsid w:val="58897261"/>
    <w:rsid w:val="58CE6FC1"/>
    <w:rsid w:val="59127A0C"/>
    <w:rsid w:val="59337A15"/>
    <w:rsid w:val="59810274"/>
    <w:rsid w:val="59845D68"/>
    <w:rsid w:val="5A0E0EC3"/>
    <w:rsid w:val="5AAF413F"/>
    <w:rsid w:val="5C9E5181"/>
    <w:rsid w:val="5CA96A00"/>
    <w:rsid w:val="5CE172C2"/>
    <w:rsid w:val="5CF730BC"/>
    <w:rsid w:val="5D1452A3"/>
    <w:rsid w:val="5E066CD2"/>
    <w:rsid w:val="5E076DC1"/>
    <w:rsid w:val="5E495A74"/>
    <w:rsid w:val="5E5F0DCE"/>
    <w:rsid w:val="5F7E303B"/>
    <w:rsid w:val="5FA40A7B"/>
    <w:rsid w:val="5FB05672"/>
    <w:rsid w:val="5FCC6587"/>
    <w:rsid w:val="5FD56D29"/>
    <w:rsid w:val="5FEC7F3F"/>
    <w:rsid w:val="60716BAF"/>
    <w:rsid w:val="60D31618"/>
    <w:rsid w:val="60F74BC3"/>
    <w:rsid w:val="617D3BF8"/>
    <w:rsid w:val="61841F6A"/>
    <w:rsid w:val="623007A9"/>
    <w:rsid w:val="62B4442B"/>
    <w:rsid w:val="62E45E6C"/>
    <w:rsid w:val="637606BD"/>
    <w:rsid w:val="637D7558"/>
    <w:rsid w:val="64016D84"/>
    <w:rsid w:val="643C3296"/>
    <w:rsid w:val="644F19AC"/>
    <w:rsid w:val="64C25B49"/>
    <w:rsid w:val="65AA4920"/>
    <w:rsid w:val="65E31D0B"/>
    <w:rsid w:val="66A94F3C"/>
    <w:rsid w:val="67694F1E"/>
    <w:rsid w:val="676C3CE4"/>
    <w:rsid w:val="680E2692"/>
    <w:rsid w:val="68376DD7"/>
    <w:rsid w:val="68A747C2"/>
    <w:rsid w:val="68B27D65"/>
    <w:rsid w:val="691463AB"/>
    <w:rsid w:val="69597934"/>
    <w:rsid w:val="695C3AB5"/>
    <w:rsid w:val="6AD541DF"/>
    <w:rsid w:val="6AD97F5A"/>
    <w:rsid w:val="6B555497"/>
    <w:rsid w:val="6B595831"/>
    <w:rsid w:val="6B6366CB"/>
    <w:rsid w:val="6B964DDC"/>
    <w:rsid w:val="6BA20179"/>
    <w:rsid w:val="6C783074"/>
    <w:rsid w:val="6D187859"/>
    <w:rsid w:val="6D9E65C6"/>
    <w:rsid w:val="6DA81947"/>
    <w:rsid w:val="6E0C610D"/>
    <w:rsid w:val="6E5A6ED5"/>
    <w:rsid w:val="6EB365E5"/>
    <w:rsid w:val="6EB66DE2"/>
    <w:rsid w:val="6ED3075F"/>
    <w:rsid w:val="6ED674E5"/>
    <w:rsid w:val="6EF36A95"/>
    <w:rsid w:val="6F1A7DC5"/>
    <w:rsid w:val="6F2A2D4B"/>
    <w:rsid w:val="6F8A0C1E"/>
    <w:rsid w:val="6FE52FE0"/>
    <w:rsid w:val="6FEC15AB"/>
    <w:rsid w:val="703F45D4"/>
    <w:rsid w:val="70BC0483"/>
    <w:rsid w:val="715D6546"/>
    <w:rsid w:val="71BE069E"/>
    <w:rsid w:val="72661558"/>
    <w:rsid w:val="736509DB"/>
    <w:rsid w:val="738F5872"/>
    <w:rsid w:val="73953409"/>
    <w:rsid w:val="73D94D40"/>
    <w:rsid w:val="73E069A3"/>
    <w:rsid w:val="758F4FC4"/>
    <w:rsid w:val="76571F4C"/>
    <w:rsid w:val="76DB47B5"/>
    <w:rsid w:val="772E349A"/>
    <w:rsid w:val="776B3F01"/>
    <w:rsid w:val="78104AA8"/>
    <w:rsid w:val="78D9001A"/>
    <w:rsid w:val="78E257C5"/>
    <w:rsid w:val="79013419"/>
    <w:rsid w:val="794B35BE"/>
    <w:rsid w:val="7ABB57E7"/>
    <w:rsid w:val="7AFB2BD3"/>
    <w:rsid w:val="7B036659"/>
    <w:rsid w:val="7B0703E4"/>
    <w:rsid w:val="7B0A3A31"/>
    <w:rsid w:val="7B3360ED"/>
    <w:rsid w:val="7B7C6E76"/>
    <w:rsid w:val="7BDF037E"/>
    <w:rsid w:val="7BF50948"/>
    <w:rsid w:val="7C135AB8"/>
    <w:rsid w:val="7CE66A78"/>
    <w:rsid w:val="7D23564C"/>
    <w:rsid w:val="7D5E062D"/>
    <w:rsid w:val="7D7A542B"/>
    <w:rsid w:val="7DF76CD8"/>
    <w:rsid w:val="7ED67698"/>
    <w:rsid w:val="7F695C26"/>
    <w:rsid w:val="7F6E4CF8"/>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emf"/><Relationship Id="rId21" Type="http://schemas.openxmlformats.org/officeDocument/2006/relationships/oleObject" Target="embeddings/oleObject1.bin"/><Relationship Id="rId20" Type="http://schemas.openxmlformats.org/officeDocument/2006/relationships/chart" Target="charts/chart13.xml"/><Relationship Id="rId2" Type="http://schemas.openxmlformats.org/officeDocument/2006/relationships/settings" Target="settings.xml"/><Relationship Id="rId19" Type="http://schemas.openxmlformats.org/officeDocument/2006/relationships/chart" Target="charts/chart12.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37096;&#38376;&#20915;&#31639;\&#25903;&#20184;&#26126;&#32454;\2024&#24180;&#25351;&#26631;\241205&#25903;&#20986;&#26126;&#32454;&#34920;&#23548;&#20986;.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37096;&#38376;&#20915;&#31639;\&#25903;&#20184;&#26126;&#32454;\2024&#24180;&#25351;&#26631;\241205&#25903;&#20986;&#26126;&#32454;&#34920;&#23548;&#20986;.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E:\&#37096;&#38376;&#20915;&#31639;\&#25903;&#20184;&#26126;&#32454;\2024&#24180;&#25351;&#26631;\241205&#25903;&#20986;&#26126;&#32454;&#34920;&#23548;&#20986;.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E:\&#37096;&#38376;&#20915;&#31639;\&#25903;&#20184;&#26126;&#32454;\2024&#24180;&#25351;&#26631;\241205&#25903;&#20986;&#26126;&#32454;&#34920;&#23548;&#20986;.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37096;&#38376;&#20915;&#31639;\&#25903;&#20184;&#26126;&#32454;\2024&#24180;&#25351;&#26631;\241205&#25903;&#20986;&#26126;&#32454;&#34920;&#23548;&#20986;.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7096;&#38376;&#20915;&#31639;\&#25903;&#20184;&#26126;&#32454;\2024&#24180;&#25351;&#26631;\241205&#25903;&#20986;&#26126;&#32454;&#34920;&#23548;&#20986;.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7096;&#38376;&#20915;&#31639;\&#25903;&#20184;&#26126;&#32454;\2024&#24180;&#25351;&#26631;\241205&#25903;&#20986;&#26126;&#32454;&#34920;&#23548;&#20986;.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37096;&#38376;&#20915;&#31639;\&#25903;&#20184;&#26126;&#32454;\2024&#24180;&#25351;&#26631;\241205&#25903;&#20986;&#26126;&#32454;&#34920;&#23548;&#20986;.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37096;&#38376;&#20915;&#31639;\&#25903;&#20184;&#26126;&#32454;\2024&#24180;&#25351;&#26631;\241205&#25903;&#20986;&#26126;&#32454;&#34920;&#23548;&#20986;.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37096;&#38376;&#20915;&#31639;\&#25903;&#20184;&#26126;&#32454;\2024&#24180;&#25351;&#26631;\241205&#25903;&#20986;&#26126;&#32454;&#34920;&#23548;&#2098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[241205支出明细表导出.xlsx]Sheet1!$M$8:$M$9</c:f>
              <c:strCache>
                <c:ptCount val="2"/>
                <c:pt idx="0">
                  <c:v>一般公共预算财政拨款收入</c:v>
                </c:pt>
                <c:pt idx="1">
                  <c:v>政府性基金预算财政拨款收入</c:v>
                </c:pt>
              </c:strCache>
            </c:strRef>
          </c:cat>
          <c:val>
            <c:numRef>
              <c:f>[241205支出明细表导出.xlsx]Sheet1!$N$8:$N$9</c:f>
              <c:numCache>
                <c:formatCode>General</c:formatCode>
                <c:ptCount val="2"/>
                <c:pt idx="0">
                  <c:v>797.26</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[241205支出明细表导出.xlsx]Sheet1!$N$18</c:f>
              <c:strCache>
                <c:ptCount val="1"/>
                <c:pt idx="0">
                  <c:v>对个人和家庭的补助</c:v>
                </c:pt>
              </c:strCache>
            </c:strRef>
          </c:tx>
          <c:spPr>
            <a:solidFill>
              <a:schemeClr val="accent1"/>
            </a:solidFill>
            <a:ln>
              <a:noFill/>
            </a:ln>
            <a:effectLst/>
          </c:spPr>
          <c:invertIfNegative val="0"/>
          <c:dLbls>
            <c:delete val="1"/>
          </c:dLbls>
          <c:cat>
            <c:numRef>
              <c:f>[241205支出明细表导出.xlsx]Sheet1!$M$19:$M$22</c:f>
              <c:numCache>
                <c:formatCode>General</c:formatCode>
                <c:ptCount val="4"/>
                <c:pt idx="0">
                  <c:v>30301</c:v>
                </c:pt>
                <c:pt idx="1">
                  <c:v>30305</c:v>
                </c:pt>
                <c:pt idx="2">
                  <c:v>30307</c:v>
                </c:pt>
                <c:pt idx="3">
                  <c:v>30399</c:v>
                </c:pt>
              </c:numCache>
            </c:numRef>
          </c:cat>
          <c:val>
            <c:numRef>
              <c:f>[241205支出明细表导出.xlsx]Sheet1!$N$19:$N$22</c:f>
              <c:numCache>
                <c:formatCode>General</c:formatCode>
                <c:ptCount val="4"/>
                <c:pt idx="0">
                  <c:v>16.43</c:v>
                </c:pt>
                <c:pt idx="1">
                  <c:v>35.84</c:v>
                </c:pt>
                <c:pt idx="2">
                  <c:v>0.15</c:v>
                </c:pt>
                <c:pt idx="3">
                  <c:v>0.57</c:v>
                </c:pt>
              </c:numCache>
            </c:numRef>
          </c:val>
        </c:ser>
        <c:dLbls>
          <c:showLegendKey val="0"/>
          <c:showVal val="0"/>
          <c:showCatName val="0"/>
          <c:showSerName val="0"/>
          <c:showPercent val="0"/>
          <c:showBubbleSize val="0"/>
        </c:dLbls>
        <c:gapWidth val="219"/>
        <c:overlap val="-27"/>
        <c:axId val="826825933"/>
        <c:axId val="203158045"/>
      </c:barChart>
      <c:catAx>
        <c:axId val="8268259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158045"/>
        <c:crosses val="autoZero"/>
        <c:auto val="1"/>
        <c:lblAlgn val="ctr"/>
        <c:lblOffset val="100"/>
        <c:noMultiLvlLbl val="0"/>
      </c:catAx>
      <c:valAx>
        <c:axId val="2031580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68259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[241205支出明细表导出.xlsx]Sheet1!$N$7</c:f>
              <c:strCache>
                <c:ptCount val="1"/>
                <c:pt idx="0">
                  <c:v>支出决算图表</c:v>
                </c:pt>
              </c:strCache>
            </c:strRef>
          </c:tx>
          <c:spPr>
            <a:solidFill>
              <a:schemeClr val="accent1"/>
            </a:solidFill>
            <a:ln>
              <a:noFill/>
            </a:ln>
            <a:effectLst/>
          </c:spPr>
          <c:invertIfNegative val="0"/>
          <c:dLbls>
            <c:delete val="1"/>
          </c:dLbls>
          <c:cat>
            <c:strRef>
              <c:f>[241205支出明细表导出.xlsx]Sheet1!$M$8:$M$12</c:f>
              <c:strCache>
                <c:ptCount val="5"/>
                <c:pt idx="0">
                  <c:v>一般公共预算财政拨款收入</c:v>
                </c:pt>
                <c:pt idx="1">
                  <c:v>科技技术支出</c:v>
                </c:pt>
                <c:pt idx="2">
                  <c:v>社会保障和就业支出</c:v>
                </c:pt>
                <c:pt idx="3">
                  <c:v>住房保障支出</c:v>
                </c:pt>
                <c:pt idx="4">
                  <c:v>其他支出</c:v>
                </c:pt>
              </c:strCache>
            </c:strRef>
          </c:cat>
          <c:val>
            <c:numRef>
              <c:f>[241205支出明细表导出.xlsx]Sheet1!$N$8:$N$12</c:f>
              <c:numCache>
                <c:formatCode>General</c:formatCode>
                <c:ptCount val="5"/>
                <c:pt idx="0">
                  <c:v>586.21</c:v>
                </c:pt>
                <c:pt idx="1">
                  <c:v>6</c:v>
                </c:pt>
                <c:pt idx="2">
                  <c:v>46.53</c:v>
                </c:pt>
                <c:pt idx="3">
                  <c:v>34.95</c:v>
                </c:pt>
                <c:pt idx="4">
                  <c:v>79.78</c:v>
                </c:pt>
              </c:numCache>
            </c:numRef>
          </c:val>
        </c:ser>
        <c:dLbls>
          <c:showLegendKey val="0"/>
          <c:showVal val="0"/>
          <c:showCatName val="0"/>
          <c:showSerName val="0"/>
          <c:showPercent val="0"/>
          <c:showBubbleSize val="0"/>
        </c:dLbls>
        <c:gapWidth val="219"/>
        <c:overlap val="-27"/>
        <c:axId val="244072682"/>
        <c:axId val="797882067"/>
      </c:barChart>
      <c:catAx>
        <c:axId val="2440726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7882067"/>
        <c:crosses val="autoZero"/>
        <c:auto val="1"/>
        <c:lblAlgn val="ctr"/>
        <c:lblOffset val="100"/>
        <c:noMultiLvlLbl val="0"/>
      </c:catAx>
      <c:valAx>
        <c:axId val="7978820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07268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一般公共服务支出</a:t>
            </a:r>
          </a:p>
        </c:rich>
      </c:tx>
      <c:layout/>
      <c:overlay val="0"/>
      <c:spPr>
        <a:noFill/>
        <a:ln>
          <a:noFill/>
        </a:ln>
        <a:effectLst/>
      </c:spPr>
    </c:title>
    <c:autoTitleDeleted val="0"/>
    <c:plotArea>
      <c:layout/>
      <c:barChart>
        <c:barDir val="col"/>
        <c:grouping val="clustered"/>
        <c:varyColors val="0"/>
        <c:ser>
          <c:idx val="0"/>
          <c:order val="0"/>
          <c:tx>
            <c:strRef>
              <c:f>[241205支出明细表导出.xlsx]Sheet1!$N$18</c:f>
              <c:strCache>
                <c:ptCount val="1"/>
                <c:pt idx="0">
                  <c:v>年初预算数</c:v>
                </c:pt>
              </c:strCache>
            </c:strRef>
          </c:tx>
          <c:spPr>
            <a:solidFill>
              <a:schemeClr val="accent1"/>
            </a:solidFill>
            <a:ln>
              <a:noFill/>
            </a:ln>
            <a:effectLst/>
          </c:spPr>
          <c:invertIfNegative val="0"/>
          <c:dLbls>
            <c:delete val="1"/>
          </c:dLbls>
          <c:cat>
            <c:strRef>
              <c:f>[241205支出明细表导出.xlsx]Sheet1!$M$19:$M$27</c:f>
              <c:strCache>
                <c:ptCount val="9"/>
                <c:pt idx="0">
                  <c:v>行政运行</c:v>
                </c:pt>
                <c:pt idx="1">
                  <c:v>人大会议</c:v>
                </c:pt>
                <c:pt idx="2">
                  <c:v>人大立法</c:v>
                </c:pt>
                <c:pt idx="3">
                  <c:v>人大监督</c:v>
                </c:pt>
                <c:pt idx="4">
                  <c:v>人大代表履职能力提升</c:v>
                </c:pt>
                <c:pt idx="5">
                  <c:v>代表工作</c:v>
                </c:pt>
                <c:pt idx="6">
                  <c:v>人大信访工作</c:v>
                </c:pt>
                <c:pt idx="7">
                  <c:v>其他人大事务支出</c:v>
                </c:pt>
                <c:pt idx="8">
                  <c:v>其他群众团体事务支出</c:v>
                </c:pt>
              </c:strCache>
            </c:strRef>
          </c:cat>
          <c:val>
            <c:numRef>
              <c:f>[241205支出明细表导出.xlsx]Sheet1!$N$19:$N$27</c:f>
              <c:numCache>
                <c:formatCode>General</c:formatCode>
                <c:ptCount val="9"/>
                <c:pt idx="0">
                  <c:v>426.57</c:v>
                </c:pt>
                <c:pt idx="1">
                  <c:v>94.29</c:v>
                </c:pt>
                <c:pt idx="2">
                  <c:v>68</c:v>
                </c:pt>
                <c:pt idx="3">
                  <c:v>23</c:v>
                </c:pt>
                <c:pt idx="4">
                  <c:v>82.3</c:v>
                </c:pt>
                <c:pt idx="5">
                  <c:v>153.21</c:v>
                </c:pt>
                <c:pt idx="6">
                  <c:v>1</c:v>
                </c:pt>
                <c:pt idx="7">
                  <c:v>180</c:v>
                </c:pt>
                <c:pt idx="8">
                  <c:v>5.77</c:v>
                </c:pt>
              </c:numCache>
            </c:numRef>
          </c:val>
        </c:ser>
        <c:ser>
          <c:idx val="1"/>
          <c:order val="1"/>
          <c:tx>
            <c:strRef>
              <c:f>[241205支出明细表导出.xlsx]Sheet1!$O$18</c:f>
              <c:strCache>
                <c:ptCount val="1"/>
                <c:pt idx="0">
                  <c:v>决算</c:v>
                </c:pt>
              </c:strCache>
            </c:strRef>
          </c:tx>
          <c:spPr>
            <a:solidFill>
              <a:schemeClr val="accent2"/>
            </a:solidFill>
            <a:ln>
              <a:noFill/>
            </a:ln>
            <a:effectLst/>
          </c:spPr>
          <c:invertIfNegative val="0"/>
          <c:dLbls>
            <c:delete val="1"/>
          </c:dLbls>
          <c:cat>
            <c:strRef>
              <c:f>[241205支出明细表导出.xlsx]Sheet1!$M$19:$M$27</c:f>
              <c:strCache>
                <c:ptCount val="9"/>
                <c:pt idx="0">
                  <c:v>行政运行</c:v>
                </c:pt>
                <c:pt idx="1">
                  <c:v>人大会议</c:v>
                </c:pt>
                <c:pt idx="2">
                  <c:v>人大立法</c:v>
                </c:pt>
                <c:pt idx="3">
                  <c:v>人大监督</c:v>
                </c:pt>
                <c:pt idx="4">
                  <c:v>人大代表履职能力提升</c:v>
                </c:pt>
                <c:pt idx="5">
                  <c:v>代表工作</c:v>
                </c:pt>
                <c:pt idx="6">
                  <c:v>人大信访工作</c:v>
                </c:pt>
                <c:pt idx="7">
                  <c:v>其他人大事务支出</c:v>
                </c:pt>
                <c:pt idx="8">
                  <c:v>其他群众团体事务支出</c:v>
                </c:pt>
              </c:strCache>
            </c:strRef>
          </c:cat>
          <c:val>
            <c:numRef>
              <c:f>[241205支出明细表导出.xlsx]Sheet1!$O$19:$O$27</c:f>
              <c:numCache>
                <c:formatCode>General</c:formatCode>
                <c:ptCount val="9"/>
                <c:pt idx="0">
                  <c:v>452.86</c:v>
                </c:pt>
                <c:pt idx="1">
                  <c:v>37.88</c:v>
                </c:pt>
                <c:pt idx="2">
                  <c:v>28.43</c:v>
                </c:pt>
                <c:pt idx="3">
                  <c:v>17.8</c:v>
                </c:pt>
                <c:pt idx="4">
                  <c:v>24</c:v>
                </c:pt>
                <c:pt idx="5">
                  <c:v>44.35</c:v>
                </c:pt>
                <c:pt idx="6">
                  <c:v>0.23</c:v>
                </c:pt>
                <c:pt idx="7">
                  <c:v>18.68</c:v>
                </c:pt>
                <c:pt idx="8">
                  <c:v>5.77</c:v>
                </c:pt>
              </c:numCache>
            </c:numRef>
          </c:val>
        </c:ser>
        <c:dLbls>
          <c:showLegendKey val="0"/>
          <c:showVal val="0"/>
          <c:showCatName val="0"/>
          <c:showSerName val="0"/>
          <c:showPercent val="0"/>
          <c:showBubbleSize val="0"/>
        </c:dLbls>
        <c:gapWidth val="219"/>
        <c:overlap val="-27"/>
        <c:axId val="261672577"/>
        <c:axId val="540775280"/>
      </c:barChart>
      <c:catAx>
        <c:axId val="2616725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0775280"/>
        <c:crosses val="autoZero"/>
        <c:auto val="1"/>
        <c:lblAlgn val="ctr"/>
        <c:lblOffset val="100"/>
        <c:noMultiLvlLbl val="0"/>
      </c:catAx>
      <c:valAx>
        <c:axId val="54077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6725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[241205支出明细表导出.xlsx]Sheet1!$M$19</c:f>
              <c:strCache>
                <c:ptCount val="1"/>
                <c:pt idx="0">
                  <c:v>社会保障和就业支出</c:v>
                </c:pt>
              </c:strCache>
            </c:strRef>
          </c:tx>
          <c:spPr>
            <a:solidFill>
              <a:schemeClr val="accent1"/>
            </a:solidFill>
            <a:ln>
              <a:noFill/>
            </a:ln>
            <a:effectLst/>
          </c:spPr>
          <c:invertIfNegative val="0"/>
          <c:dLbls>
            <c:delete val="1"/>
          </c:dLbls>
          <c:cat>
            <c:strRef>
              <c:f>[241205支出明细表导出.xlsx]Sheet1!$N$18:$O$18</c:f>
              <c:strCache>
                <c:ptCount val="2"/>
                <c:pt idx="0">
                  <c:v>年初预算数</c:v>
                </c:pt>
                <c:pt idx="1">
                  <c:v>决算</c:v>
                </c:pt>
              </c:strCache>
            </c:strRef>
          </c:cat>
          <c:val>
            <c:numRef>
              <c:f>[241205支出明细表导出.xlsx]Sheet1!$N$19:$O$19</c:f>
              <c:numCache>
                <c:formatCode>General</c:formatCode>
                <c:ptCount val="2"/>
                <c:pt idx="0">
                  <c:v>46.19</c:v>
                </c:pt>
                <c:pt idx="1">
                  <c:v>46.53</c:v>
                </c:pt>
              </c:numCache>
            </c:numRef>
          </c:val>
        </c:ser>
        <c:dLbls>
          <c:showLegendKey val="0"/>
          <c:showVal val="0"/>
          <c:showCatName val="0"/>
          <c:showSerName val="0"/>
          <c:showPercent val="0"/>
          <c:showBubbleSize val="0"/>
        </c:dLbls>
        <c:gapWidth val="219"/>
        <c:overlap val="-27"/>
        <c:axId val="260229546"/>
        <c:axId val="166900785"/>
      </c:barChart>
      <c:catAx>
        <c:axId val="2602295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6900785"/>
        <c:crosses val="autoZero"/>
        <c:auto val="1"/>
        <c:lblAlgn val="ctr"/>
        <c:lblOffset val="100"/>
        <c:noMultiLvlLbl val="0"/>
      </c:catAx>
      <c:valAx>
        <c:axId val="1669007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2295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[241205支出明细表导出.xlsx]Sheet1!$M$19</c:f>
              <c:strCache>
                <c:ptCount val="1"/>
                <c:pt idx="0">
                  <c:v>住房保障支出</c:v>
                </c:pt>
              </c:strCache>
            </c:strRef>
          </c:tx>
          <c:spPr>
            <a:solidFill>
              <a:schemeClr val="accent1"/>
            </a:solidFill>
            <a:ln>
              <a:noFill/>
            </a:ln>
            <a:effectLst/>
          </c:spPr>
          <c:invertIfNegative val="0"/>
          <c:dLbls>
            <c:delete val="1"/>
          </c:dLbls>
          <c:cat>
            <c:strRef>
              <c:f>[241205支出明细表导出.xlsx]Sheet1!$N$18:$O$18</c:f>
              <c:strCache>
                <c:ptCount val="2"/>
                <c:pt idx="0">
                  <c:v>年初预算数</c:v>
                </c:pt>
                <c:pt idx="1">
                  <c:v>决算</c:v>
                </c:pt>
              </c:strCache>
            </c:strRef>
          </c:cat>
          <c:val>
            <c:numRef>
              <c:f>[241205支出明细表导出.xlsx]Sheet1!$N$19:$O$19</c:f>
              <c:numCache>
                <c:formatCode>General</c:formatCode>
                <c:ptCount val="2"/>
                <c:pt idx="0">
                  <c:v>34.69</c:v>
                </c:pt>
                <c:pt idx="1">
                  <c:v>34.95</c:v>
                </c:pt>
              </c:numCache>
            </c:numRef>
          </c:val>
        </c:ser>
        <c:dLbls>
          <c:showLegendKey val="0"/>
          <c:showVal val="0"/>
          <c:showCatName val="0"/>
          <c:showSerName val="0"/>
          <c:showPercent val="0"/>
          <c:showBubbleSize val="0"/>
        </c:dLbls>
        <c:gapWidth val="219"/>
        <c:overlap val="-27"/>
        <c:axId val="439389453"/>
        <c:axId val="764384598"/>
      </c:barChart>
      <c:catAx>
        <c:axId val="4393894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4384598"/>
        <c:crosses val="autoZero"/>
        <c:auto val="1"/>
        <c:lblAlgn val="ctr"/>
        <c:lblOffset val="100"/>
        <c:noMultiLvlLbl val="0"/>
      </c:catAx>
      <c:valAx>
        <c:axId val="7643845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938945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[241205支出明细表导出.xlsx]Sheet1!$M$19</c:f>
              <c:strCache>
                <c:ptCount val="1"/>
                <c:pt idx="0">
                  <c:v>其他支出</c:v>
                </c:pt>
              </c:strCache>
            </c:strRef>
          </c:tx>
          <c:spPr>
            <a:solidFill>
              <a:schemeClr val="accent1"/>
            </a:solidFill>
            <a:ln>
              <a:noFill/>
            </a:ln>
            <a:effectLst/>
          </c:spPr>
          <c:invertIfNegative val="0"/>
          <c:dLbls>
            <c:delete val="1"/>
          </c:dLbls>
          <c:cat>
            <c:strRef>
              <c:f>[241205支出明细表导出.xlsx]Sheet1!$N$18:$O$18</c:f>
              <c:strCache>
                <c:ptCount val="2"/>
                <c:pt idx="0">
                  <c:v>年初预算数</c:v>
                </c:pt>
                <c:pt idx="1">
                  <c:v>决算</c:v>
                </c:pt>
              </c:strCache>
            </c:strRef>
          </c:cat>
          <c:val>
            <c:numRef>
              <c:f>[241205支出明细表导出.xlsx]Sheet1!$N$19:$O$19</c:f>
              <c:numCache>
                <c:formatCode>General</c:formatCode>
                <c:ptCount val="2"/>
                <c:pt idx="0">
                  <c:v>0</c:v>
                </c:pt>
                <c:pt idx="1">
                  <c:v>79.78</c:v>
                </c:pt>
              </c:numCache>
            </c:numRef>
          </c:val>
        </c:ser>
        <c:dLbls>
          <c:showLegendKey val="0"/>
          <c:showVal val="0"/>
          <c:showCatName val="0"/>
          <c:showSerName val="0"/>
          <c:showPercent val="0"/>
          <c:showBubbleSize val="0"/>
        </c:dLbls>
        <c:gapWidth val="219"/>
        <c:overlap val="-27"/>
        <c:axId val="645023243"/>
        <c:axId val="494104877"/>
      </c:barChart>
      <c:catAx>
        <c:axId val="6450232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4104877"/>
        <c:crosses val="autoZero"/>
        <c:auto val="1"/>
        <c:lblAlgn val="ctr"/>
        <c:lblOffset val="100"/>
        <c:noMultiLvlLbl val="0"/>
      </c:catAx>
      <c:valAx>
        <c:axId val="49410487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0232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[241205支出明细表导出.xlsx]Sheet1!$M$19</c:f>
              <c:strCache>
                <c:ptCount val="1"/>
                <c:pt idx="0">
                  <c:v>科学技术支出</c:v>
                </c:pt>
              </c:strCache>
            </c:strRef>
          </c:tx>
          <c:spPr>
            <a:solidFill>
              <a:schemeClr val="accent1"/>
            </a:solidFill>
            <a:ln>
              <a:noFill/>
            </a:ln>
            <a:effectLst/>
          </c:spPr>
          <c:invertIfNegative val="0"/>
          <c:dLbls>
            <c:delete val="1"/>
          </c:dLbls>
          <c:cat>
            <c:strRef>
              <c:f>[241205支出明细表导出.xlsx]Sheet1!$N$18:$O$18</c:f>
              <c:strCache>
                <c:ptCount val="2"/>
                <c:pt idx="0">
                  <c:v>年初预算数</c:v>
                </c:pt>
                <c:pt idx="1">
                  <c:v>决算</c:v>
                </c:pt>
              </c:strCache>
            </c:strRef>
          </c:cat>
          <c:val>
            <c:numRef>
              <c:f>[241205支出明细表导出.xlsx]Sheet1!$N$19:$O$19</c:f>
              <c:numCache>
                <c:formatCode>General</c:formatCode>
                <c:ptCount val="2"/>
                <c:pt idx="0">
                  <c:v>0</c:v>
                </c:pt>
                <c:pt idx="1">
                  <c:v>6</c:v>
                </c:pt>
              </c:numCache>
            </c:numRef>
          </c:val>
        </c:ser>
        <c:dLbls>
          <c:showLegendKey val="0"/>
          <c:showVal val="0"/>
          <c:showCatName val="0"/>
          <c:showSerName val="0"/>
          <c:showPercent val="0"/>
          <c:showBubbleSize val="0"/>
        </c:dLbls>
        <c:gapWidth val="219"/>
        <c:overlap val="-27"/>
        <c:axId val="470361679"/>
        <c:axId val="996114696"/>
      </c:barChart>
      <c:catAx>
        <c:axId val="4703616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6114696"/>
        <c:crosses val="autoZero"/>
        <c:auto val="1"/>
        <c:lblAlgn val="ctr"/>
        <c:lblOffset val="100"/>
        <c:noMultiLvlLbl val="0"/>
      </c:catAx>
      <c:valAx>
        <c:axId val="996114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3616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[241205支出明细表导出.xlsx]Sheet1!$N$18</c:f>
              <c:strCache>
                <c:ptCount val="1"/>
                <c:pt idx="0">
                  <c:v>工资福利支出</c:v>
                </c:pt>
              </c:strCache>
            </c:strRef>
          </c:tx>
          <c:spPr>
            <a:solidFill>
              <a:schemeClr val="accent1"/>
            </a:solidFill>
            <a:ln>
              <a:noFill/>
            </a:ln>
            <a:effectLst/>
          </c:spPr>
          <c:invertIfNegative val="0"/>
          <c:dLbls>
            <c:delete val="1"/>
          </c:dLbls>
          <c:cat>
            <c:numRef>
              <c:f>[241205支出明细表导出.xlsx]Sheet1!$M$19:$M$27</c:f>
              <c:numCache>
                <c:formatCode>General</c:formatCode>
                <c:ptCount val="9"/>
                <c:pt idx="0">
                  <c:v>30101</c:v>
                </c:pt>
                <c:pt idx="1">
                  <c:v>30102</c:v>
                </c:pt>
                <c:pt idx="2">
                  <c:v>30103</c:v>
                </c:pt>
                <c:pt idx="3">
                  <c:v>30107</c:v>
                </c:pt>
                <c:pt idx="4">
                  <c:v>30108</c:v>
                </c:pt>
                <c:pt idx="5">
                  <c:v>30110</c:v>
                </c:pt>
                <c:pt idx="6">
                  <c:v>30112</c:v>
                </c:pt>
                <c:pt idx="7">
                  <c:v>30113</c:v>
                </c:pt>
                <c:pt idx="8">
                  <c:v>30199</c:v>
                </c:pt>
              </c:numCache>
            </c:numRef>
          </c:cat>
          <c:val>
            <c:numRef>
              <c:f>[241205支出明细表导出.xlsx]Sheet1!$N$19:$N$27</c:f>
              <c:numCache>
                <c:formatCode>General</c:formatCode>
                <c:ptCount val="9"/>
                <c:pt idx="0">
                  <c:v>116.53</c:v>
                </c:pt>
                <c:pt idx="1">
                  <c:v>62.07</c:v>
                </c:pt>
                <c:pt idx="2">
                  <c:v>163.97</c:v>
                </c:pt>
                <c:pt idx="3">
                  <c:v>6.64</c:v>
                </c:pt>
                <c:pt idx="4">
                  <c:v>46.53</c:v>
                </c:pt>
                <c:pt idx="5">
                  <c:v>18.64</c:v>
                </c:pt>
                <c:pt idx="6">
                  <c:v>5.83</c:v>
                </c:pt>
                <c:pt idx="7">
                  <c:v>36.77</c:v>
                </c:pt>
                <c:pt idx="8">
                  <c:v>7.26</c:v>
                </c:pt>
              </c:numCache>
            </c:numRef>
          </c:val>
        </c:ser>
        <c:dLbls>
          <c:showLegendKey val="0"/>
          <c:showVal val="0"/>
          <c:showCatName val="0"/>
          <c:showSerName val="0"/>
          <c:showPercent val="0"/>
          <c:showBubbleSize val="0"/>
        </c:dLbls>
        <c:gapWidth val="219"/>
        <c:overlap val="-27"/>
        <c:axId val="153070670"/>
        <c:axId val="941153974"/>
      </c:barChart>
      <c:catAx>
        <c:axId val="1530706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153974"/>
        <c:crosses val="autoZero"/>
        <c:auto val="1"/>
        <c:lblAlgn val="ctr"/>
        <c:lblOffset val="100"/>
        <c:noMultiLvlLbl val="0"/>
      </c:catAx>
      <c:valAx>
        <c:axId val="9411539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30706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[241205支出明细表导出.xlsx]Sheet1!$N$18</c:f>
              <c:strCache>
                <c:ptCount val="1"/>
                <c:pt idx="0">
                  <c:v>商品和服务支出</c:v>
                </c:pt>
              </c:strCache>
            </c:strRef>
          </c:tx>
          <c:spPr>
            <a:solidFill>
              <a:schemeClr val="accent1"/>
            </a:solidFill>
            <a:ln>
              <a:noFill/>
            </a:ln>
            <a:effectLst/>
          </c:spPr>
          <c:invertIfNegative val="0"/>
          <c:dLbls>
            <c:delete val="1"/>
          </c:dLbls>
          <c:cat>
            <c:numRef>
              <c:f>[241205支出明细表导出.xlsx]Sheet1!$M$19:$M$26</c:f>
              <c:numCache>
                <c:formatCode>General</c:formatCode>
                <c:ptCount val="8"/>
                <c:pt idx="0">
                  <c:v>30205</c:v>
                </c:pt>
                <c:pt idx="1">
                  <c:v>30206</c:v>
                </c:pt>
                <c:pt idx="2">
                  <c:v>30207</c:v>
                </c:pt>
                <c:pt idx="3">
                  <c:v>30211</c:v>
                </c:pt>
                <c:pt idx="4">
                  <c:v>30215</c:v>
                </c:pt>
                <c:pt idx="5">
                  <c:v>30216</c:v>
                </c:pt>
                <c:pt idx="6">
                  <c:v>30228</c:v>
                </c:pt>
                <c:pt idx="7">
                  <c:v>30239</c:v>
                </c:pt>
              </c:numCache>
            </c:numRef>
          </c:cat>
          <c:val>
            <c:numRef>
              <c:f>[241205支出明细表导出.xlsx]Sheet1!$N$19:$N$26</c:f>
              <c:numCache>
                <c:formatCode>General</c:formatCode>
                <c:ptCount val="8"/>
                <c:pt idx="0">
                  <c:v>0.05</c:v>
                </c:pt>
                <c:pt idx="1">
                  <c:v>0.24</c:v>
                </c:pt>
                <c:pt idx="2">
                  <c:v>3.85</c:v>
                </c:pt>
                <c:pt idx="3">
                  <c:v>5.48</c:v>
                </c:pt>
                <c:pt idx="4">
                  <c:v>0.01</c:v>
                </c:pt>
                <c:pt idx="5">
                  <c:v>0.37</c:v>
                </c:pt>
                <c:pt idx="6">
                  <c:v>5.77</c:v>
                </c:pt>
                <c:pt idx="7">
                  <c:v>19.94</c:v>
                </c:pt>
              </c:numCache>
            </c:numRef>
          </c:val>
        </c:ser>
        <c:dLbls>
          <c:showLegendKey val="0"/>
          <c:showVal val="0"/>
          <c:showCatName val="0"/>
          <c:showSerName val="0"/>
          <c:showPercent val="0"/>
          <c:showBubbleSize val="0"/>
        </c:dLbls>
        <c:gapWidth val="219"/>
        <c:overlap val="-27"/>
        <c:axId val="323347043"/>
        <c:axId val="233732918"/>
      </c:barChart>
      <c:catAx>
        <c:axId val="3233470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3732918"/>
        <c:crosses val="autoZero"/>
        <c:auto val="1"/>
        <c:lblAlgn val="ctr"/>
        <c:lblOffset val="100"/>
        <c:noMultiLvlLbl val="0"/>
      </c:catAx>
      <c:valAx>
        <c:axId val="2337329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33470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3526</Words>
  <Characters>5670</Characters>
  <Lines>90</Lines>
  <Paragraphs>25</Paragraphs>
  <TotalTime>4</TotalTime>
  <ScaleCrop>false</ScaleCrop>
  <LinksUpToDate>false</LinksUpToDate>
  <CharactersWithSpaces>5741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cp:lastPrinted>2024-12-31T08:16:00Z</cp:lastPrinted>
  <dcterms:modified xsi:type="dcterms:W3CDTF">2025-01-02T02:55:39Z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BF7EF47F42A547B9A7B5A05AA5EE945C_13</vt:lpwstr>
  </property>
  <property fmtid="{D5CDD505-2E9C-101B-9397-08002B2CF9AE}" pid="4" name="KSOTemplateDocerSaveRecord">
    <vt:lpwstr>eyJoZGlkIjoiZDk3N2YwMGFkODU4ZmM0YjUwZDNlODE4YWNmYzNkODUifQ==</vt:lpwstr>
  </property>
</Properties>
</file>