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环江毛南族自治县司法局</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环江毛南族自治县司法局</w:t>
      </w:r>
      <w:r>
        <w:rPr>
          <w:rFonts w:hint="eastAsia" w:ascii="黑体" w:hAnsi="黑体" w:eastAsia="黑体" w:cs="黑体"/>
          <w:sz w:val="32"/>
          <w:szCs w:val="32"/>
          <w:highlight w:val="none"/>
        </w:rPr>
        <w:t>概况</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val="en-US" w:eastAsia="zh-CN"/>
        </w:rPr>
        <w:t xml:space="preserve">本部门职责 </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环江毛南族自治县司法局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环江毛南族自治县司法局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环江毛南族自治县司法局</w:t>
      </w:r>
      <w:r>
        <w:rPr>
          <w:rFonts w:hint="eastAsia" w:ascii="黑体" w:hAnsi="黑体" w:eastAsia="黑体" w:cs="黑体"/>
          <w:b/>
          <w:bCs/>
          <w:sz w:val="32"/>
          <w:szCs w:val="32"/>
          <w:highlight w:val="none"/>
        </w:rPr>
        <w:t>概况</w:t>
      </w:r>
    </w:p>
    <w:p>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本部门职责</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贯彻执行国家司法行政工作的方针、政策和法律、法规规定的工作职责，研究制定全县司法行政工作的中长期发展规划、年度工作计划并组织实施。</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拟订本县普法依法治理工作规划报党委、政府通过后组织实施，承担县依法治县领导小组办公室的日常工作。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指导管理全县基层司法所、人民调解和基层法律服务工作，参与重大疑难民间纠纷调解处理工作。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指导、监督、管理全县社区矫正工作，承担县社区矫正工作领导小组办公室的日常工作。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指导管理全县刑释解教人员的安置帮教工作，承担县刑释解教人员安置帮教工作领导小组办公室的日常工作。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指导管理全县公证机构和公证业务工作。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7、</w:t>
      </w:r>
      <w:r>
        <w:rPr>
          <w:rFonts w:hint="eastAsia" w:ascii="仿宋_GB2312" w:eastAsia="仿宋_GB2312" w:cs="Times New Roman"/>
          <w:sz w:val="32"/>
          <w:szCs w:val="32"/>
        </w:rPr>
        <w:t>指导管理全县律师和律师事务所的工作。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8、</w:t>
      </w:r>
      <w:r>
        <w:rPr>
          <w:rFonts w:hint="eastAsia" w:ascii="仿宋_GB2312" w:eastAsia="仿宋_GB2312" w:cs="Times New Roman"/>
          <w:sz w:val="32"/>
          <w:szCs w:val="32"/>
        </w:rPr>
        <w:t>指导管理全县法律援助工作。　　</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9、</w:t>
      </w:r>
      <w:r>
        <w:rPr>
          <w:rFonts w:hint="eastAsia" w:ascii="仿宋_GB2312" w:eastAsia="仿宋_GB2312" w:cs="Times New Roman"/>
          <w:sz w:val="32"/>
          <w:szCs w:val="32"/>
        </w:rPr>
        <w:t>指导管理全县面向社会服务的司法鉴定工作。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10、</w:t>
      </w:r>
      <w:r>
        <w:rPr>
          <w:rFonts w:hint="eastAsia" w:ascii="仿宋_GB2312" w:eastAsia="仿宋_GB2312" w:cs="Times New Roman"/>
          <w:sz w:val="32"/>
          <w:szCs w:val="32"/>
        </w:rPr>
        <w:t>参与地方性法规、规章的草拟工作，管理系统内部法制建设，承担司法行政应诉工作。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11、</w:t>
      </w:r>
      <w:r>
        <w:rPr>
          <w:rFonts w:hint="eastAsia" w:ascii="仿宋_GB2312" w:eastAsia="仿宋_GB2312" w:cs="Times New Roman"/>
          <w:sz w:val="32"/>
          <w:szCs w:val="32"/>
        </w:rPr>
        <w:t>负责全县司法行政系统的队伍建设和思想政治工作，管理机关和直属单位的人事工作，负责全县司法行政系统警务管理和警务督察工作。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12、</w:t>
      </w:r>
      <w:r>
        <w:rPr>
          <w:rFonts w:hint="eastAsia" w:ascii="仿宋_GB2312" w:eastAsia="仿宋_GB2312" w:cs="Times New Roman"/>
          <w:sz w:val="32"/>
          <w:szCs w:val="32"/>
        </w:rPr>
        <w:t>承办县人民政府和上级业务主管部门交办的其他工作事项。</w:t>
      </w:r>
    </w:p>
    <w:p>
      <w:pPr>
        <w:jc w:val="left"/>
        <w:rPr>
          <w:rFonts w:hint="eastAsia" w:ascii="仿宋_GB2312" w:eastAsia="仿宋_GB2312" w:cs="Times New Roman"/>
          <w:sz w:val="32"/>
          <w:szCs w:val="32"/>
        </w:rPr>
      </w:pPr>
      <w:r>
        <w:rPr>
          <w:rFonts w:hint="eastAsia" w:ascii="仿宋_GB2312" w:eastAsia="仿宋_GB2312" w:cs="Times New Roman"/>
          <w:sz w:val="32"/>
          <w:szCs w:val="32"/>
          <w:lang w:val="en-US" w:eastAsia="zh-CN"/>
        </w:rPr>
        <w:t>13、</w:t>
      </w:r>
      <w:r>
        <w:rPr>
          <w:rFonts w:hint="eastAsia" w:ascii="仿宋_GB2312" w:eastAsia="仿宋_GB2312" w:cs="Times New Roman"/>
          <w:sz w:val="32"/>
          <w:szCs w:val="32"/>
        </w:rPr>
        <w:t>承办自治区人民政府交办的其他事项。</w:t>
      </w:r>
    </w:p>
    <w:p>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pPr>
        <w:spacing w:line="568" w:lineRule="exact"/>
        <w:ind w:firstLine="640" w:firstLineChars="200"/>
        <w:rPr>
          <w:rFonts w:hint="eastAsia" w:ascii="仿宋_GB2312" w:eastAsia="仿宋_GB2312"/>
          <w:color w:val="auto"/>
          <w:sz w:val="32"/>
          <w:szCs w:val="32"/>
          <w:lang w:eastAsia="zh-CN"/>
        </w:rPr>
      </w:pPr>
      <w:r>
        <w:rPr>
          <w:rFonts w:hint="eastAsia" w:ascii="仿宋_GB2312" w:eastAsia="仿宋_GB2312"/>
          <w:sz w:val="32"/>
          <w:szCs w:val="32"/>
        </w:rPr>
        <w:t>根据上述职责，司法局设5个内设机构。</w:t>
      </w:r>
      <w:r>
        <w:rPr>
          <w:rFonts w:hint="eastAsia" w:ascii="仿宋_GB2312" w:eastAsia="仿宋_GB2312"/>
          <w:color w:val="auto"/>
          <w:sz w:val="32"/>
          <w:szCs w:val="32"/>
        </w:rPr>
        <w:t>实有财政供养在职在编人数4</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人，其中行政在职3</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人，参公在职2人，事业在职</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人；离退休3</w:t>
      </w:r>
      <w:r>
        <w:rPr>
          <w:rFonts w:hint="eastAsia" w:ascii="仿宋_GB2312"/>
          <w:color w:val="auto"/>
          <w:sz w:val="32"/>
          <w:szCs w:val="32"/>
          <w:lang w:val="en-US" w:eastAsia="zh-CN"/>
        </w:rPr>
        <w:t>7</w:t>
      </w:r>
      <w:r>
        <w:rPr>
          <w:rFonts w:hint="eastAsia" w:ascii="仿宋_GB2312" w:eastAsia="仿宋_GB2312"/>
          <w:color w:val="auto"/>
          <w:sz w:val="32"/>
          <w:szCs w:val="32"/>
        </w:rPr>
        <w:t>人</w:t>
      </w:r>
      <w:r>
        <w:rPr>
          <w:rFonts w:hint="eastAsia" w:ascii="仿宋_GB2312"/>
          <w:color w:val="auto"/>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社区矫正管理科。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负责监督检查社区矫正法律法规和政策的执行工作，拟定社区矫正工作发展规划、管理制度和相关政策并组织实施。指导、监督社区矫正对象的刑罚执行、管理教育和帮扶工作。指导社会力量和志愿者参与社区矫正工作。指导社区矫正场所建设和管理工作。负责自治县社区矫正工作领导小组办公室的日常工作。</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政府法律事务科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承办自治县人民政府行政规范性文件合法性审查工作。负责行政执法的综合协调工作。指导、监督各乡镇、各部门依法行政工作，推进严格规范公正文明执法。负责协调行政执法体制改革和行政执法的普遍性重要性问题。指导行政执法示范点建设。组织开展行政执法监督工作。负责自</w:t>
      </w:r>
      <w:bookmarkStart w:id="4" w:name="_GoBack"/>
      <w:bookmarkEnd w:id="4"/>
      <w:r>
        <w:rPr>
          <w:rFonts w:hint="eastAsia" w:ascii="仿宋" w:hAnsi="仿宋" w:eastAsia="仿宋" w:cs="仿宋"/>
          <w:sz w:val="32"/>
          <w:szCs w:val="32"/>
        </w:rPr>
        <w:t>治县人民政府职能转变、“放管服”改革措施的法制协调工作。指导行政执法队伍规范化、制度化建设。指导行政裁决工作。承办向自治县人民政府申请的行政复议和行政赔偿案件。负责办理自治县人民政府的行政应诉案件。承办因不服自治县人民政府行政复议决定依法向河池市人民政府申请裁决案件的答复工作。指导、监督全县行政复议、行政应诉工作。承办自治县司法局的行政复议、行政应诉和国家赔偿案件。</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公共法律服务管理科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制定保障人民群众参与、促进、监督法治建设的制度措施。指导人民团体、群众自治组织和社会组织参与、支持法治社会建设工作。指导人民调解、行政调解、行业性专业性调解工作。指导人民陪审员和人民监督员选任管理工作。指导全县刑满释放人员安置帮教工作。负责自治县刑释人员安置帮教工作领导小组办公室的日常工作。负责规划和推进公共法律服务体系和平台建设。指导、监督、管理律师、公证、法律援助、基层法律服务、仲裁等工作。指导、监督律师公证、法律援助、基层法律服务、仲裁等方面的法律法规和规章政策的执行。指导、监督律师、公证、法律援助、基层法律服务、仲裁及从业人员执业许可。组织实施我县法律援助工作。牵头指导律师行业党建工作。指导、监督党政机关、企事业单位、村(居)法律顾问工作。指导社会组织和志愿者开展法律服务工作。指导公职律师和公司律师工作。</w:t>
      </w:r>
    </w:p>
    <w:p>
      <w:pPr>
        <w:spacing w:line="560" w:lineRule="exact"/>
        <w:ind w:firstLine="640" w:firstLineChars="200"/>
        <w:rPr>
          <w:rFonts w:hint="eastAsia" w:ascii="仿宋" w:hAnsi="仿宋" w:eastAsia="仿宋" w:cs="仿宋"/>
          <w:b/>
          <w:bCs/>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普法依法治理科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负责处理自治县党委全面依法治县委员会办公室日常事务。承担全面依法治县工作规划建议的协调工作。组织起草全面依法治县有关重要文件。研究提出建设法治政府、法治社会的意见和措施，对应完成法治调研、法治督察工作任务。负责拟订法治宣传教育规划并组织实施。指导、监督各部门各单位“谁执法谁普法”的普法责任制落实工作，推进全民普法。指导、监督国家工作人员学法用法工作。指导、监督各乡镇、各部门、各行业依法治理和法治创建工作。组织、指导对外法治宣传、新闻宣传工作。指导、推进社会主义法治文化建设工作。</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综合科</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办公室负责机关日常运转工作。承担机关文电、会务、机要、档案、督查督办、政务公开、统计、保密、信访、外事、安全、应急管理等工作。负责机关重要文稿、公文的组织起草、审核工作和信息报送工作。负责本系统舆情监控。负责本系统车辆的管理，保养、维护、修理、出差用车安排、加油、使用人员登记等工作。</w:t>
      </w:r>
    </w:p>
    <w:p>
      <w:pPr>
        <w:spacing w:line="560" w:lineRule="exact"/>
        <w:ind w:firstLine="640" w:firstLineChars="200"/>
        <w:rPr>
          <w:rFonts w:hint="eastAsia" w:ascii="楷体" w:hAnsi="楷体" w:eastAsia="楷体" w:cs="楷体"/>
          <w:b/>
          <w:bCs/>
          <w:sz w:val="32"/>
          <w:szCs w:val="32"/>
        </w:rPr>
      </w:pPr>
      <w:r>
        <w:rPr>
          <w:rFonts w:hint="eastAsia" w:ascii="仿宋" w:hAnsi="仿宋" w:eastAsia="仿宋" w:cs="仿宋"/>
          <w:sz w:val="32"/>
          <w:szCs w:val="32"/>
        </w:rPr>
        <w:t>政工科负责负责本系统思想政治和组织、人事和纪检监察工作，指导、监督党的建设和干部队伍建设。负责机关离退休人员工作。负责机关和直属事业单位的党群工作。推进司法所及队伍建设。</w:t>
      </w:r>
    </w:p>
    <w:p>
      <w:pPr>
        <w:spacing w:line="560" w:lineRule="exact"/>
        <w:ind w:firstLine="640" w:firstLineChars="200"/>
        <w:rPr>
          <w:rFonts w:hint="eastAsia" w:ascii="楷体" w:hAnsi="楷体" w:eastAsia="楷体" w:cs="楷体"/>
          <w:b/>
          <w:bCs/>
          <w:sz w:val="32"/>
          <w:szCs w:val="32"/>
        </w:rPr>
      </w:pPr>
      <w:r>
        <w:rPr>
          <w:rFonts w:hint="eastAsia" w:ascii="仿宋" w:hAnsi="仿宋" w:eastAsia="仿宋" w:cs="仿宋"/>
          <w:sz w:val="32"/>
          <w:szCs w:val="32"/>
        </w:rPr>
        <w:t>财务科负责指导本系统财务、物资装备和基本建设管理工作，拟定建设标准、经费保障、物资装备和财务管理办法。指导、监督本系统政法补助专款和基建投资的使用工作。负责全系统服装和警车等业务装备的管理工作。负责机关、基层司法所、直属事业单位的预决算和机关的财务管理、国有资产管理、政府采购等工作。开展审计监督工作。指导、管理本系统信息化建设。承担机关电子政务工作的具体实施和技术保障。承担机关综合政务管理、公共法律服务网络平台及其相关业务系统的建设、维护和系统信息数据资源集成共享及应用工作。负责机关官网的建设和维护。</w:t>
      </w:r>
    </w:p>
    <w:p>
      <w:pPr>
        <w:spacing w:line="56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调处办负责</w:t>
      </w:r>
      <w:r>
        <w:rPr>
          <w:rFonts w:eastAsia="仿宋_GB2312"/>
          <w:color w:val="000000"/>
          <w:sz w:val="32"/>
          <w:szCs w:val="32"/>
        </w:rPr>
        <w:t>组织协调、督促指导全县“三大纠纷”调处工作；总结交流调处工作经验，做好调处人员的业务培训和业务统计工作；负责自治县人民政府直接交办的重大、疑难“三大纠纷”案件的调处工作；完成自治县人民政府交办的其他工作任务。</w:t>
      </w:r>
    </w:p>
    <w:p>
      <w:pPr>
        <w:spacing w:line="560" w:lineRule="exact"/>
        <w:rPr>
          <w:rFonts w:ascii="黑体" w:hAnsi="黑体" w:eastAsia="黑体" w:cs="黑体"/>
          <w:sz w:val="32"/>
          <w:szCs w:val="32"/>
        </w:rPr>
      </w:pP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环江毛南族自治县司法局</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keepNext w:val="0"/>
        <w:keepLines w:val="0"/>
        <w:widowControl/>
        <w:suppressLineNumbers w:val="0"/>
        <w:jc w:val="left"/>
        <w:rPr>
          <w:rFonts w:hint="eastAsia" w:ascii="黑体" w:hAnsi="黑体" w:eastAsia="黑体" w:cs="黑体"/>
          <w:sz w:val="32"/>
          <w:szCs w:val="32"/>
          <w:highlight w:val="none"/>
        </w:rPr>
      </w:pPr>
      <w:r>
        <w:rPr>
          <w:rFonts w:ascii="仿宋" w:hAnsi="仿宋" w:eastAsia="仿宋" w:cs="仿宋"/>
          <w:color w:val="000000"/>
          <w:kern w:val="0"/>
          <w:sz w:val="24"/>
          <w:szCs w:val="24"/>
          <w:lang w:val="en-US" w:eastAsia="zh-CN" w:bidi="ar"/>
        </w:rPr>
        <w:t>表一：收入支出决算总表</w:t>
      </w: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5"/>
        <w:gridCol w:w="845"/>
        <w:gridCol w:w="1378"/>
        <w:gridCol w:w="2872"/>
        <w:gridCol w:w="435"/>
        <w:gridCol w:w="209"/>
        <w:gridCol w:w="297"/>
        <w:gridCol w:w="62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666"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4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8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666"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部门：环江毛南族自治县司法局</w:t>
            </w:r>
          </w:p>
        </w:tc>
        <w:tc>
          <w:tcPr>
            <w:tcW w:w="4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8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1,014.95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3" w:type="dxa"/>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widowControl/>
        <w:suppressLineNumbers w:val="0"/>
        <w:ind w:firstLine="480" w:firstLineChars="20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表二：收入决算表</w:t>
      </w:r>
    </w:p>
    <w:p>
      <w:pPr>
        <w:pStyle w:val="2"/>
        <w:rPr>
          <w:rFonts w:hint="eastAsia" w:ascii="宋体" w:hAnsi="宋体" w:eastAsia="宋体" w:cs="宋体"/>
          <w:color w:val="000000"/>
          <w:kern w:val="0"/>
          <w:sz w:val="30"/>
          <w:szCs w:val="30"/>
          <w:lang w:val="en-US" w:eastAsia="zh-CN" w:bidi="ar"/>
        </w:rPr>
      </w:pPr>
      <w:r>
        <w:rPr>
          <w:rFonts w:hint="eastAsia" w:ascii="仿宋" w:hAnsi="仿宋" w:eastAsia="仿宋" w:cs="仿宋"/>
          <w:color w:val="000000"/>
          <w:kern w:val="0"/>
          <w:sz w:val="24"/>
          <w:szCs w:val="24"/>
          <w:lang w:val="en-US" w:eastAsia="zh-CN" w:bidi="ar"/>
        </w:rPr>
        <w:t xml:space="preserve">                                                  </w:t>
      </w:r>
      <w:r>
        <w:rPr>
          <w:rFonts w:hint="eastAsia" w:ascii="宋体" w:hAnsi="宋体" w:eastAsia="宋体" w:cs="宋体"/>
          <w:color w:val="000000"/>
          <w:kern w:val="0"/>
          <w:sz w:val="30"/>
          <w:szCs w:val="30"/>
          <w:lang w:val="en-US" w:eastAsia="zh-CN" w:bidi="ar"/>
        </w:rPr>
        <w:t xml:space="preserve"> 收入决算表 </w:t>
      </w:r>
    </w:p>
    <w:p>
      <w:pPr>
        <w:rPr>
          <w:rFonts w:hint="default"/>
          <w:lang w:val="en-US"/>
        </w:rPr>
      </w:pPr>
      <w:r>
        <w:rPr>
          <w:rFonts w:hint="eastAsia" w:ascii="宋体" w:hAnsi="宋体" w:eastAsia="宋体" w:cs="宋体"/>
          <w:color w:val="000000"/>
          <w:kern w:val="0"/>
          <w:sz w:val="30"/>
          <w:szCs w:val="30"/>
          <w:lang w:val="en-US" w:eastAsia="zh-CN" w:bidi="ar"/>
        </w:rPr>
        <w:t xml:space="preserve">                                                                            </w:t>
      </w:r>
      <w:r>
        <w:rPr>
          <w:rFonts w:hint="eastAsia" w:ascii="宋体" w:hAnsi="宋体" w:eastAsia="宋体" w:cs="宋体"/>
          <w:color w:val="000000"/>
          <w:kern w:val="0"/>
          <w:sz w:val="20"/>
          <w:szCs w:val="20"/>
          <w:lang w:val="en-US" w:eastAsia="zh-CN" w:bidi="ar"/>
        </w:rPr>
        <w:t xml:space="preserve"> 公开02表</w:t>
      </w:r>
    </w:p>
    <w:p>
      <w:pPr>
        <w:rPr>
          <w:rFonts w:hint="default" w:ascii="宋体" w:hAnsi="宋体" w:eastAsia="宋体" w:cs="宋体"/>
          <w:color w:val="000000"/>
          <w:kern w:val="0"/>
          <w:sz w:val="30"/>
          <w:szCs w:val="30"/>
          <w:highlight w:val="none"/>
          <w:lang w:val="en-US" w:bidi="ar"/>
        </w:rPr>
      </w:pPr>
      <w:r>
        <w:rPr>
          <w:rFonts w:hint="eastAsia" w:ascii="宋体" w:hAnsi="宋体" w:eastAsia="宋体" w:cs="宋体"/>
          <w:i w:val="0"/>
          <w:iCs w:val="0"/>
          <w:color w:val="000000"/>
          <w:kern w:val="0"/>
          <w:sz w:val="20"/>
          <w:szCs w:val="20"/>
          <w:u w:val="none"/>
          <w:lang w:val="en-US" w:eastAsia="zh-CN" w:bidi="ar"/>
        </w:rPr>
        <w:t>部门：环江毛南族自治县司法局                                                                                       金额：万元</w:t>
      </w:r>
    </w:p>
    <w:tbl>
      <w:tblPr>
        <w:tblStyle w:val="8"/>
        <w:tblW w:w="151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3391"/>
        <w:gridCol w:w="2492"/>
        <w:gridCol w:w="1688"/>
        <w:gridCol w:w="1323"/>
        <w:gridCol w:w="1304"/>
        <w:gridCol w:w="1197"/>
        <w:gridCol w:w="1200"/>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9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9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上缴收入</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3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9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1,142.95</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1,142.95</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641.15</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641.15</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79.55</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79.55</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175" w:type="dxa"/>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175" w:type="dxa"/>
            <w:gridSpan w:val="11"/>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75" w:type="dxa"/>
            <w:gridSpan w:val="11"/>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75" w:type="dxa"/>
            <w:gridSpan w:val="11"/>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245"/>
        <w:gridCol w:w="1245"/>
        <w:gridCol w:w="1246"/>
        <w:gridCol w:w="1370"/>
        <w:gridCol w:w="1014"/>
        <w:gridCol w:w="1014"/>
        <w:gridCol w:w="1114"/>
        <w:gridCol w:w="843"/>
        <w:gridCol w:w="1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1,142.95</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838.72</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304.24</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基层司法业务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公共法律服务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社区矫正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其他司法支出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88.38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88.38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8"/>
        <w:tblW w:w="149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74"/>
        <w:gridCol w:w="632"/>
        <w:gridCol w:w="1155"/>
        <w:gridCol w:w="2476"/>
        <w:gridCol w:w="1231"/>
        <w:gridCol w:w="313"/>
        <w:gridCol w:w="313"/>
        <w:gridCol w:w="193"/>
        <w:gridCol w:w="385"/>
        <w:gridCol w:w="385"/>
        <w:gridCol w:w="193"/>
        <w:gridCol w:w="510"/>
        <w:gridCol w:w="1025"/>
        <w:gridCol w:w="1475"/>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186" w:type="dxa"/>
            <w:gridSpan w:val="1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16"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016"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部门：环江毛南族自治县司法局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4"/>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125"/>
        <w:gridCol w:w="222"/>
        <w:gridCol w:w="222"/>
        <w:gridCol w:w="222"/>
        <w:gridCol w:w="222"/>
        <w:gridCol w:w="222"/>
        <w:gridCol w:w="2034"/>
        <w:gridCol w:w="2592"/>
        <w:gridCol w:w="3399"/>
        <w:gridCol w:w="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 w:type="dxa"/>
          <w:trHeight w:val="390" w:hRule="atLeast"/>
        </w:trPr>
        <w:tc>
          <w:tcPr>
            <w:tcW w:w="13246"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 w:type="dxa"/>
          <w:trHeight w:val="255" w:hRule="atLeast"/>
        </w:trPr>
        <w:tc>
          <w:tcPr>
            <w:tcW w:w="411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025"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 w:type="dxa"/>
          <w:trHeight w:val="255" w:hRule="atLeast"/>
        </w:trPr>
        <w:tc>
          <w:tcPr>
            <w:tcW w:w="4111"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部门：环江毛南族自治县司法局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025"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56" w:type="dxa"/>
            <w:gridSpan w:val="7"/>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6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00"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9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64"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6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0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6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6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0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6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5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9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5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1,014.95</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838.72</w:t>
            </w: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641.15</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623.50</w:t>
            </w: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79.55</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w:t>
            </w:r>
          </w:p>
        </w:tc>
        <w:tc>
          <w:tcPr>
            <w:tcW w:w="3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11" w:type="dxa"/>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3077"/>
        <w:gridCol w:w="788"/>
        <w:gridCol w:w="693"/>
        <w:gridCol w:w="2123"/>
        <w:gridCol w:w="693"/>
        <w:gridCol w:w="693"/>
        <w:gridCol w:w="573"/>
        <w:gridCol w:w="573"/>
        <w:gridCol w:w="573"/>
        <w:gridCol w:w="573"/>
        <w:gridCol w:w="573"/>
        <w:gridCol w:w="573"/>
        <w:gridCol w:w="574"/>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770.18</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8"/>
        <w:tblW w:w="13982" w:type="dxa"/>
        <w:tblInd w:w="96" w:type="dxa"/>
        <w:tblLayout w:type="fixed"/>
        <w:tblCellMar>
          <w:top w:w="0" w:type="dxa"/>
          <w:left w:w="108" w:type="dxa"/>
          <w:bottom w:w="0" w:type="dxa"/>
          <w:right w:w="108" w:type="dxa"/>
        </w:tblCellMar>
      </w:tblPr>
      <w:tblGrid>
        <w:gridCol w:w="1132"/>
        <w:gridCol w:w="165"/>
        <w:gridCol w:w="240"/>
        <w:gridCol w:w="236"/>
        <w:gridCol w:w="492"/>
        <w:gridCol w:w="1133"/>
        <w:gridCol w:w="1973"/>
        <w:gridCol w:w="551"/>
        <w:gridCol w:w="551"/>
        <w:gridCol w:w="551"/>
        <w:gridCol w:w="1593"/>
        <w:gridCol w:w="7"/>
        <w:gridCol w:w="1680"/>
        <w:gridCol w:w="20"/>
        <w:gridCol w:w="1708"/>
        <w:gridCol w:w="2"/>
        <w:gridCol w:w="647"/>
        <w:gridCol w:w="649"/>
        <w:gridCol w:w="170"/>
        <w:gridCol w:w="480"/>
        <w:gridCol w:w="2"/>
      </w:tblGrid>
      <w:tr>
        <w:tblPrEx>
          <w:tblCellMar>
            <w:top w:w="0" w:type="dxa"/>
            <w:left w:w="108" w:type="dxa"/>
            <w:bottom w:w="0" w:type="dxa"/>
            <w:right w:w="108" w:type="dxa"/>
          </w:tblCellMar>
        </w:tblPrEx>
        <w:trPr>
          <w:gridAfter w:val="1"/>
          <w:wAfter w:w="2" w:type="dxa"/>
          <w:trHeight w:val="536" w:hRule="atLeast"/>
        </w:trPr>
        <w:tc>
          <w:tcPr>
            <w:tcW w:w="13980" w:type="dxa"/>
            <w:gridSpan w:val="2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1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环江毛南族自治县司法局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5"/>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6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0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本年收入</w:t>
            </w:r>
          </w:p>
        </w:tc>
        <w:tc>
          <w:tcPr>
            <w:tcW w:w="1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gridAfter w:val="1"/>
          <w:wAfter w:w="2" w:type="dxa"/>
          <w:trHeight w:val="312" w:hRule="atLeast"/>
        </w:trPr>
        <w:tc>
          <w:tcPr>
            <w:tcW w:w="3398"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基本支出结转</w:t>
            </w:r>
          </w:p>
        </w:tc>
        <w:tc>
          <w:tcPr>
            <w:tcW w:w="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项目支出结转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和结余</w:t>
            </w:r>
          </w:p>
        </w:tc>
        <w:tc>
          <w:tcPr>
            <w:tcW w:w="15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70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64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6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gridAfter w:val="1"/>
          <w:wAfter w:w="2" w:type="dxa"/>
          <w:trHeight w:val="312" w:hRule="atLeast"/>
        </w:trPr>
        <w:tc>
          <w:tcPr>
            <w:tcW w:w="3398"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15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6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r>
      <w:tr>
        <w:tblPrEx>
          <w:tblCellMar>
            <w:top w:w="0" w:type="dxa"/>
            <w:left w:w="108" w:type="dxa"/>
            <w:bottom w:w="0" w:type="dxa"/>
            <w:right w:w="108" w:type="dxa"/>
          </w:tblCellMar>
        </w:tblPrEx>
        <w:trPr>
          <w:gridAfter w:val="1"/>
          <w:wAfter w:w="2" w:type="dxa"/>
          <w:trHeight w:val="312" w:hRule="atLeast"/>
        </w:trPr>
        <w:tc>
          <w:tcPr>
            <w:tcW w:w="11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类</w:t>
            </w:r>
          </w:p>
        </w:tc>
        <w:tc>
          <w:tcPr>
            <w:tcW w:w="1133"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款</w:t>
            </w:r>
          </w:p>
        </w:tc>
        <w:tc>
          <w:tcPr>
            <w:tcW w:w="11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7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6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6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r>
      <w:tr>
        <w:tblPrEx>
          <w:tblCellMar>
            <w:top w:w="0" w:type="dxa"/>
            <w:left w:w="108" w:type="dxa"/>
            <w:bottom w:w="0" w:type="dxa"/>
            <w:right w:w="108" w:type="dxa"/>
          </w:tblCellMar>
        </w:tblPrEx>
        <w:trPr>
          <w:gridAfter w:val="1"/>
          <w:wAfter w:w="2" w:type="dxa"/>
          <w:trHeight w:val="277"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3"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11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128.00</w:t>
            </w:r>
          </w:p>
        </w:tc>
        <w:tc>
          <w:tcPr>
            <w:tcW w:w="170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128.00</w:t>
            </w:r>
          </w:p>
        </w:tc>
        <w:tc>
          <w:tcPr>
            <w:tcW w:w="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128.00</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6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128.00</w:t>
            </w:r>
          </w:p>
        </w:tc>
      </w:tr>
      <w:tr>
        <w:tblPrEx>
          <w:tblCellMar>
            <w:top w:w="0" w:type="dxa"/>
            <w:left w:w="108" w:type="dxa"/>
            <w:bottom w:w="0" w:type="dxa"/>
            <w:right w:w="108" w:type="dxa"/>
          </w:tblCellMar>
        </w:tblPrEx>
        <w:trPr>
          <w:gridAfter w:val="1"/>
          <w:wAfter w:w="2" w:type="dxa"/>
          <w:trHeight w:val="277" w:hRule="atLeast"/>
        </w:trPr>
        <w:tc>
          <w:tcPr>
            <w:tcW w:w="339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2121903</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128.00</w:t>
            </w:r>
          </w:p>
        </w:tc>
        <w:tc>
          <w:tcPr>
            <w:tcW w:w="170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128.00</w:t>
            </w:r>
          </w:p>
        </w:tc>
        <w:tc>
          <w:tcPr>
            <w:tcW w:w="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128.00</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6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128.00</w:t>
            </w:r>
          </w:p>
        </w:tc>
      </w:tr>
      <w:tr>
        <w:tblPrEx>
          <w:tblCellMar>
            <w:top w:w="0" w:type="dxa"/>
            <w:left w:w="108" w:type="dxa"/>
            <w:bottom w:w="0" w:type="dxa"/>
            <w:right w:w="108" w:type="dxa"/>
          </w:tblCellMar>
        </w:tblPrEx>
        <w:trPr>
          <w:gridAfter w:val="1"/>
          <w:wAfter w:w="2" w:type="dxa"/>
          <w:trHeight w:val="277" w:hRule="atLeast"/>
        </w:trPr>
        <w:tc>
          <w:tcPr>
            <w:tcW w:w="339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6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2" w:type="dxa"/>
          <w:trHeight w:val="300" w:hRule="atLeast"/>
        </w:trPr>
        <w:tc>
          <w:tcPr>
            <w:tcW w:w="13500"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8"/>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环江毛南族自治县司法局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8"/>
        <w:tblW w:w="0" w:type="auto"/>
        <w:tblInd w:w="0" w:type="dxa"/>
        <w:tblLayout w:type="autofit"/>
        <w:tblCellMar>
          <w:top w:w="0" w:type="dxa"/>
          <w:left w:w="108" w:type="dxa"/>
          <w:bottom w:w="0" w:type="dxa"/>
          <w:right w:w="108" w:type="dxa"/>
        </w:tblCellMar>
      </w:tblPr>
      <w:tblGrid>
        <w:gridCol w:w="1134"/>
        <w:gridCol w:w="1403"/>
        <w:gridCol w:w="1403"/>
        <w:gridCol w:w="823"/>
        <w:gridCol w:w="333"/>
        <w:gridCol w:w="567"/>
        <w:gridCol w:w="567"/>
        <w:gridCol w:w="333"/>
        <w:gridCol w:w="824"/>
        <w:gridCol w:w="1028"/>
        <w:gridCol w:w="1028"/>
        <w:gridCol w:w="1028"/>
        <w:gridCol w:w="1028"/>
        <w:gridCol w:w="1028"/>
        <w:gridCol w:w="1647"/>
      </w:tblGrid>
      <w:tr>
        <w:tblPrEx>
          <w:tblCellMar>
            <w:top w:w="0" w:type="dxa"/>
            <w:left w:w="108" w:type="dxa"/>
            <w:bottom w:w="0" w:type="dxa"/>
            <w:right w:w="108" w:type="dxa"/>
          </w:tblCellMar>
        </w:tblPrEx>
        <w:trPr>
          <w:gridBefore w:val="1"/>
          <w:wBefore w:w="0" w:type="auto"/>
          <w:trHeight w:val="308" w:hRule="atLeast"/>
        </w:trPr>
        <w:tc>
          <w:tcPr>
            <w:tcW w:w="12172" w:type="dxa"/>
            <w:gridSpan w:val="14"/>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632" w:hRule="atLeast"/>
        </w:trPr>
        <w:tc>
          <w:tcPr>
            <w:tcW w:w="0" w:type="auto"/>
            <w:gridSpan w:val="1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CellMar>
            <w:top w:w="0" w:type="dxa"/>
            <w:left w:w="108" w:type="dxa"/>
            <w:bottom w:w="0" w:type="dxa"/>
            <w:right w:w="108" w:type="dxa"/>
          </w:tblCellMar>
        </w:tblPrEx>
        <w:trPr>
          <w:trHeight w:val="316" w:hRule="atLeast"/>
        </w:trPr>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公开09表</w:t>
            </w:r>
          </w:p>
        </w:tc>
      </w:tr>
      <w:tr>
        <w:tblPrEx>
          <w:tblCellMar>
            <w:top w:w="0" w:type="dxa"/>
            <w:left w:w="108" w:type="dxa"/>
            <w:bottom w:w="0" w:type="dxa"/>
            <w:right w:w="108" w:type="dxa"/>
          </w:tblCellMar>
        </w:tblPrEx>
        <w:trPr>
          <w:trHeight w:val="316" w:hRule="atLeast"/>
        </w:trPr>
        <w:tc>
          <w:tcPr>
            <w:tcW w:w="0" w:type="auto"/>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26" w:hRule="atLeast"/>
        </w:trPr>
        <w:tc>
          <w:tcPr>
            <w:tcW w:w="82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59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26" w:hRule="atLeast"/>
        </w:trPr>
        <w:tc>
          <w:tcPr>
            <w:tcW w:w="13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3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因公出国（境）费</w:t>
            </w:r>
          </w:p>
        </w:tc>
        <w:tc>
          <w:tcPr>
            <w:tcW w:w="4110"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71"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9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9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因公出国（境）费</w:t>
            </w:r>
          </w:p>
        </w:tc>
        <w:tc>
          <w:tcPr>
            <w:tcW w:w="297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642" w:hRule="atLeast"/>
        </w:trPr>
        <w:tc>
          <w:tcPr>
            <w:tcW w:w="137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13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小计</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71"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99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公务用车购置费</w:t>
            </w: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13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3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137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642" w:hRule="atLeast"/>
        </w:trPr>
        <w:tc>
          <w:tcPr>
            <w:tcW w:w="1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10.39</w:t>
            </w:r>
          </w:p>
        </w:tc>
        <w:tc>
          <w:tcPr>
            <w:tcW w:w="1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9.12</w:t>
            </w:r>
          </w:p>
        </w:tc>
        <w:tc>
          <w:tcPr>
            <w:tcW w:w="137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37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9.12</w:t>
            </w:r>
          </w:p>
        </w:tc>
        <w:tc>
          <w:tcPr>
            <w:tcW w:w="137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1.27</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10.39</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9.12</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9.12</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1.27</w:t>
            </w:r>
          </w:p>
        </w:tc>
      </w:tr>
      <w:tr>
        <w:tblPrEx>
          <w:tblCellMar>
            <w:top w:w="0" w:type="dxa"/>
            <w:left w:w="108" w:type="dxa"/>
            <w:bottom w:w="0" w:type="dxa"/>
            <w:right w:w="108" w:type="dxa"/>
          </w:tblCellMar>
        </w:tblPrEx>
        <w:trPr>
          <w:trHeight w:val="642" w:hRule="atLeast"/>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环江毛南族自治县司法局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（一）本部门202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年度总收入</w:t>
      </w:r>
      <w:r>
        <w:rPr>
          <w:rFonts w:hint="eastAsia" w:ascii="仿宋" w:hAnsi="仿宋" w:eastAsia="仿宋" w:cs="仿宋"/>
          <w:color w:val="auto"/>
          <w:sz w:val="32"/>
          <w:szCs w:val="32"/>
          <w:highlight w:val="none"/>
          <w:lang w:val="en-US" w:eastAsia="zh-CN"/>
        </w:rPr>
        <w:t>1142.95</w:t>
      </w:r>
      <w:r>
        <w:rPr>
          <w:rFonts w:hint="eastAsia" w:ascii="仿宋" w:hAnsi="仿宋" w:eastAsia="仿宋" w:cs="仿宋"/>
          <w:color w:val="auto"/>
          <w:sz w:val="32"/>
          <w:szCs w:val="32"/>
          <w:highlight w:val="none"/>
        </w:rPr>
        <w:t>万元，</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1142.95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149.78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11.58</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1.一般公共预算财政拨款收入1014.95万元，为本级财政当年拨付的资金。较2022年度决算数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277.78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21.49</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：2023年内有人员调出，经费减少。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128.00</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128</w:t>
      </w:r>
      <w:r>
        <w:rPr>
          <w:rFonts w:ascii="仿宋" w:hAnsi="仿宋" w:eastAsia="仿宋" w:cs="仿宋"/>
          <w:sz w:val="32"/>
          <w:u w:color="auto"/>
        </w:rPr>
        <w:t>.00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。原因为：2023年新增了债务专项经费。</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4.事业收入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5.经营收入0.00万,为事业单位在业务活动之外开展非独立核算经营活动取得的收入。较2022年度决算数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6.其他收入0万元,为预算单位在“财政拨款收入”“事业收入”“经营收入”之外取得的收入。较2022年度决算数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8.上年结转和结余0万元，为以前年度支出预算因客观条件变化未执行完毕、结转到本年度按有关规定继续使用的资金。较2022年度决算数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color w:val="FF0000"/>
          <w:kern w:val="2"/>
          <w:sz w:val="32"/>
          <w:szCs w:val="32"/>
          <w:highlight w:val="none"/>
          <w:lang w:val="en-US" w:eastAsia="zh-CN" w:bidi="ar"/>
        </w:rPr>
      </w:pPr>
      <w:r>
        <w:drawing>
          <wp:inline distT="0" distB="0" distL="114300" distR="114300">
            <wp:extent cx="4572000" cy="2743200"/>
            <wp:effectExtent l="4445" t="4445" r="10795" b="1079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szCs w:val="32"/>
          <w:highlight w:val="none"/>
          <w:lang w:val="en-US" w:eastAsia="zh-CN"/>
        </w:rPr>
        <w:t>1142.95</w:t>
      </w:r>
      <w:r>
        <w:rPr>
          <w:rFonts w:hint="eastAsia" w:ascii="仿宋" w:hAnsi="仿宋" w:eastAsia="仿宋" w:cs="仿宋"/>
          <w:sz w:val="32"/>
          <w:szCs w:val="32"/>
          <w:highlight w:val="none"/>
        </w:rPr>
        <w:t>万元，其中本年支出</w:t>
      </w:r>
      <w:r>
        <w:rPr>
          <w:rFonts w:hint="eastAsia" w:ascii="仿宋" w:hAnsi="仿宋" w:eastAsia="仿宋" w:cs="仿宋"/>
          <w:sz w:val="32"/>
          <w:szCs w:val="32"/>
          <w:highlight w:val="none"/>
          <w:lang w:val="en-US" w:eastAsia="zh-CN"/>
        </w:rPr>
        <w:t>1142.95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149.78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11.58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rPr>
      </w:pPr>
      <w:r>
        <w:rPr>
          <w:rFonts w:hint="eastAsia" w:ascii="仿宋_GB2312" w:eastAsia="仿宋_GB2312" w:cs="仿宋_GB2312"/>
          <w:kern w:val="0"/>
          <w:sz w:val="32"/>
          <w:szCs w:val="32"/>
        </w:rPr>
        <w:t>1. 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9.61</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2023年工会经费支出</w:t>
      </w:r>
      <w:r>
        <w:rPr>
          <w:rFonts w:hint="eastAsia" w:ascii="仿宋_GB2312" w:eastAsia="仿宋_GB2312" w:cs="仿宋_GB2312"/>
          <w:kern w:val="0"/>
          <w:sz w:val="32"/>
          <w:szCs w:val="32"/>
        </w:rPr>
        <w:t>。较202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减少0.83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下降7.95</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2023年人员比2022年人员减少，基数减少。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yellow"/>
          <w:lang w:val="en-US" w:eastAsia="zh-CN"/>
        </w:rPr>
      </w:pPr>
      <w:r>
        <w:rPr>
          <w:rFonts w:hint="eastAsia" w:ascii="仿宋_GB2312" w:eastAsia="仿宋_GB2312" w:cs="仿宋_GB2312"/>
          <w:kern w:val="0"/>
          <w:sz w:val="32"/>
          <w:szCs w:val="32"/>
        </w:rPr>
        <w:t>2.公共安全支出（</w:t>
      </w:r>
      <w:r>
        <w:rPr>
          <w:rFonts w:hint="eastAsia" w:ascii="仿宋_GB2312" w:eastAsia="仿宋_GB2312" w:cs="仿宋_GB2312"/>
          <w:kern w:val="0"/>
          <w:sz w:val="32"/>
          <w:szCs w:val="32"/>
          <w:lang w:val="en-US" w:eastAsia="zh-CN"/>
        </w:rPr>
        <w:t>204</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782.74</w:t>
      </w:r>
      <w:r>
        <w:rPr>
          <w:rFonts w:hint="eastAsia" w:ascii="仿宋_GB2312" w:eastAsia="仿宋_GB2312" w:cs="仿宋_GB2312"/>
          <w:kern w:val="0"/>
          <w:sz w:val="32"/>
          <w:szCs w:val="32"/>
        </w:rPr>
        <w:t>万元，主要用于本部门为保证日常运转发生的基本支出和为完成各项工作任务、保障单位事业发展而发生的项目支出。较202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减少263.82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下降25.21</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yellow"/>
        </w:rPr>
        <w:t>主要原因是</w:t>
      </w:r>
      <w:r>
        <w:rPr>
          <w:rFonts w:hint="eastAsia" w:ascii="仿宋_GB2312" w:eastAsia="仿宋_GB2312" w:cs="仿宋_GB2312"/>
          <w:kern w:val="0"/>
          <w:sz w:val="32"/>
          <w:szCs w:val="32"/>
          <w:highlight w:val="yellow"/>
          <w:lang w:val="en-US" w:eastAsia="zh-CN"/>
        </w:rPr>
        <w:t>经费紧张，压减项目经费。</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3.其他科学技术支出（206类）17万元，主要用于宣传方面的经费支出，较2022年决算数增加17万元，增长100%，</w:t>
      </w:r>
      <w:r>
        <w:rPr>
          <w:rFonts w:hint="eastAsia" w:ascii="仿宋_GB2312" w:eastAsia="仿宋_GB2312" w:cs="仿宋_GB2312"/>
          <w:kern w:val="0"/>
          <w:sz w:val="32"/>
          <w:szCs w:val="32"/>
          <w:highlight w:val="yellow"/>
          <w:lang w:val="en-US" w:eastAsia="zh-CN"/>
        </w:rPr>
        <w:t>主要原因为按财政决算要求，调整支出功能分类</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208</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66.99</w:t>
      </w:r>
      <w:r>
        <w:rPr>
          <w:rFonts w:hint="eastAsia" w:ascii="仿宋_GB2312" w:eastAsia="仿宋_GB2312" w:cs="仿宋_GB2312"/>
          <w:kern w:val="0"/>
          <w:sz w:val="32"/>
          <w:szCs w:val="32"/>
        </w:rPr>
        <w:t>万元。主要为机关养老缴费支出。较202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增加0.2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增长0.3</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养老基数有所调整及人员有所调整</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5.城市建设支出（212类）128万，主要用于债务专项支出，较2022年决算数增加128万元，增长100%，主要原因为2023年新增债务专项经费。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221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50.24</w:t>
      </w:r>
      <w:r>
        <w:rPr>
          <w:rFonts w:hint="eastAsia" w:ascii="仿宋_GB2312" w:eastAsia="仿宋_GB2312" w:cs="仿宋_GB2312"/>
          <w:kern w:val="0"/>
          <w:sz w:val="32"/>
          <w:szCs w:val="32"/>
        </w:rPr>
        <w:t>万元</w:t>
      </w:r>
      <w:r>
        <w:rPr>
          <w:rFonts w:hint="eastAsia" w:ascii="仿宋_GB2312" w:eastAsia="仿宋_GB2312" w:cs="仿宋_GB2312"/>
          <w:kern w:val="0"/>
          <w:sz w:val="32"/>
          <w:szCs w:val="32"/>
        </w:rPr>
        <w:tab/>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val="en-US" w:eastAsia="zh-CN"/>
        </w:rPr>
        <w:t>减少5.72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w:t>
      </w:r>
      <w:r>
        <w:rPr>
          <w:rFonts w:hint="eastAsia" w:ascii="仿宋_GB2312" w:eastAsia="仿宋_GB2312" w:cs="仿宋_GB2312"/>
          <w:kern w:val="0"/>
          <w:sz w:val="32"/>
          <w:szCs w:val="32"/>
        </w:rPr>
        <w:t>1</w:t>
      </w:r>
      <w:r>
        <w:rPr>
          <w:rFonts w:hint="eastAsia" w:ascii="仿宋_GB2312" w:eastAsia="仿宋_GB2312" w:cs="仿宋_GB2312"/>
          <w:kern w:val="0"/>
          <w:sz w:val="32"/>
          <w:szCs w:val="32"/>
          <w:lang w:val="en-US" w:eastAsia="zh-CN"/>
        </w:rPr>
        <w:t>0.22</w:t>
      </w:r>
      <w:r>
        <w:rPr>
          <w:rFonts w:hint="eastAsia" w:ascii="仿宋_GB2312" w:eastAsia="仿宋_GB2312" w:cs="仿宋_GB2312"/>
          <w:kern w:val="0"/>
          <w:sz w:val="32"/>
          <w:szCs w:val="32"/>
        </w:rPr>
        <w:t>%，主要原因为</w:t>
      </w:r>
      <w:r>
        <w:rPr>
          <w:rFonts w:hint="eastAsia" w:ascii="仿宋_GB2312" w:eastAsia="仿宋_GB2312" w:cs="仿宋_GB2312"/>
          <w:kern w:val="0"/>
          <w:sz w:val="32"/>
          <w:szCs w:val="32"/>
          <w:lang w:val="en-US" w:eastAsia="zh-CN"/>
        </w:rPr>
        <w:t>2023年度有在职人员退休及人员调出</w:t>
      </w:r>
      <w:r>
        <w:rPr>
          <w:rFonts w:hint="eastAsia" w:ascii="仿宋_GB2312" w:eastAsia="仿宋_GB2312" w:cs="仿宋_GB2312"/>
          <w:kern w:val="0"/>
          <w:sz w:val="32"/>
          <w:szCs w:val="32"/>
        </w:rPr>
        <w:t>。住房保障支出（类）主要用于按照国家政策规定向职工发放的住房公积金、提租补贴、购房补贴等住房改革方面的支出。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、农林水支出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万元，下降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.其他支出（</w:t>
      </w:r>
      <w:r>
        <w:rPr>
          <w:rFonts w:hint="eastAsia" w:ascii="仿宋_GB2312" w:eastAsia="仿宋_GB2312" w:cs="仿宋_GB2312"/>
          <w:kern w:val="0"/>
          <w:sz w:val="32"/>
          <w:szCs w:val="32"/>
          <w:lang w:val="en-US" w:eastAsia="zh-CN"/>
        </w:rPr>
        <w:t>229</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88.38</w:t>
      </w:r>
      <w:r>
        <w:rPr>
          <w:rFonts w:hint="eastAsia" w:ascii="仿宋_GB2312" w:eastAsia="仿宋_GB2312" w:cs="仿宋_GB2312"/>
          <w:kern w:val="0"/>
          <w:sz w:val="32"/>
          <w:szCs w:val="32"/>
        </w:rPr>
        <w:t>万元，主要用于在职人员绩效补助等。较202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减少24.6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下降21.77</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w:t>
      </w:r>
      <w:r>
        <w:rPr>
          <w:rFonts w:hint="eastAsia" w:ascii="仿宋_GB2312" w:eastAsia="仿宋_GB2312" w:cs="仿宋_GB2312"/>
          <w:kern w:val="0"/>
          <w:sz w:val="32"/>
          <w:szCs w:val="32"/>
        </w:rPr>
        <w:t>为</w:t>
      </w:r>
      <w:r>
        <w:rPr>
          <w:rFonts w:hint="eastAsia" w:ascii="仿宋_GB2312" w:eastAsia="仿宋_GB2312" w:cs="仿宋_GB2312"/>
          <w:kern w:val="0"/>
          <w:sz w:val="32"/>
          <w:szCs w:val="32"/>
          <w:lang w:val="en-US" w:eastAsia="zh-CN"/>
        </w:rPr>
        <w:t>2023年度在职绩效补助部分金额按月随工资发放。</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.结余分配</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年度决算数增加（减少）0万元，增长（下降）0%。</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jc w:val="both"/>
        <w:rPr>
          <w:rFonts w:ascii="仿宋" w:hAnsi="仿宋" w:eastAsia="仿宋" w:cs="仿宋"/>
          <w:sz w:val="32"/>
          <w:szCs w:val="32"/>
          <w:highlight w:val="none"/>
        </w:rPr>
      </w:pPr>
      <w:r>
        <w:drawing>
          <wp:inline distT="0" distB="0" distL="114300" distR="114300">
            <wp:extent cx="4091940" cy="2575560"/>
            <wp:effectExtent l="4445" t="5080" r="18415" b="1016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1142.95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149.78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11.58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838.72</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304.24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szCs w:val="32"/>
          <w:highlight w:val="none"/>
          <w:lang w:val="en-US" w:eastAsia="zh-CN"/>
        </w:rPr>
        <w:t>890.86</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1142.95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128.3</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u w:color="auto"/>
          <w:lang w:val="en-US" w:eastAsia="zh-CN"/>
        </w:rPr>
        <w:t>一般公共服务支出</w:t>
      </w:r>
      <w:r>
        <w:rPr>
          <w:rFonts w:ascii="仿宋" w:hAnsi="仿宋" w:eastAsia="仿宋"/>
          <w:sz w:val="32"/>
          <w:u w:color="auto"/>
        </w:rPr>
        <w:t>（</w:t>
      </w:r>
      <w:r>
        <w:rPr>
          <w:rFonts w:hint="eastAsia" w:ascii="仿宋" w:hAnsi="仿宋" w:eastAsia="仿宋"/>
          <w:sz w:val="32"/>
          <w:u w:color="auto"/>
          <w:lang w:val="en-US" w:eastAsia="zh-CN"/>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9.61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97.96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主要原因为年有一人在职调出，他的工会指标转到调入单位。</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sz w:val="21"/>
                <w:szCs w:val="21"/>
                <w:highlight w:val="none"/>
                <w:lang w:val="en-US" w:eastAsia="zh-CN"/>
              </w:rPr>
              <w:t>年有一人在职调出，他的工会指标转到调入单位。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hint="eastAsia" w:ascii="仿宋" w:hAnsi="仿宋" w:eastAsia="仿宋"/>
          <w:sz w:val="32"/>
          <w:szCs w:val="32"/>
          <w:highlight w:val="none"/>
        </w:rPr>
      </w:pPr>
      <w:r>
        <w:drawing>
          <wp:inline distT="0" distB="0" distL="114300" distR="114300">
            <wp:extent cx="4572000" cy="2743200"/>
            <wp:effectExtent l="4445" t="4445" r="10795" b="10795"/>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u w:color="auto"/>
          <w:lang w:val="en-US" w:eastAsia="zh-CN"/>
        </w:rPr>
        <w:t>公共安全支出</w:t>
      </w:r>
      <w:r>
        <w:rPr>
          <w:rFonts w:ascii="仿宋" w:hAnsi="仿宋" w:eastAsia="仿宋"/>
          <w:sz w:val="32"/>
          <w:u w:color="auto"/>
        </w:rPr>
        <w:t>（20</w:t>
      </w:r>
      <w:r>
        <w:rPr>
          <w:rFonts w:hint="eastAsia" w:ascii="仿宋" w:hAnsi="仿宋" w:eastAsia="仿宋"/>
          <w:sz w:val="32"/>
          <w:u w:color="auto"/>
          <w:lang w:val="en-US" w:eastAsia="zh-CN"/>
        </w:rPr>
        <w:t>4</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743.74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782.73</w:t>
      </w:r>
      <w:r>
        <w:rPr>
          <w:rFonts w:hint="eastAsia" w:ascii="仿宋" w:hAnsi="仿宋" w:eastAsia="仿宋"/>
          <w:sz w:val="32"/>
          <w:szCs w:val="32"/>
          <w:highlight w:val="none"/>
        </w:rPr>
        <w:t>万元，完成年初预算的</w:t>
      </w:r>
      <w:r>
        <w:rPr>
          <w:rFonts w:ascii="仿宋" w:hAnsi="仿宋" w:eastAsia="仿宋"/>
          <w:sz w:val="32"/>
          <w:szCs w:val="32"/>
          <w:highlight w:val="none"/>
        </w:rPr>
        <w:t>1</w:t>
      </w:r>
      <w:r>
        <w:rPr>
          <w:rFonts w:hint="eastAsia" w:ascii="仿宋" w:hAnsi="仿宋" w:eastAsia="仿宋"/>
          <w:sz w:val="32"/>
          <w:szCs w:val="32"/>
          <w:highlight w:val="none"/>
          <w:lang w:val="en-US" w:eastAsia="zh-CN"/>
        </w:rPr>
        <w:t>05.24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原因是：决算增加了上级转移经费支出</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641.15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color w:val="auto"/>
                <w:kern w:val="0"/>
                <w:sz w:val="20"/>
                <w:szCs w:val="20"/>
              </w:rPr>
              <w:t>本部门为保证日常运转发生的基本支出和为完成各项工作任务、保障单位事业发展而发生的项目支出。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2023年绩效奖随月发放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基层司法业务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司法业务办案、法律顾问及行政复议经费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经费紧张，2023年底未能执行完毕。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普法宣传</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普法宣传费用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决算按要求调为其他支出功能分类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公共法律服务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137.33%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法律援助补贴费用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社区矫正</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社区矫正工作经费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其他司法支出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837.37%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司法办案业务费用、装备费用等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645.15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782.74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保证日常运转发生的基本支出和项目支出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bl>
    <w:p>
      <w:pPr>
        <w:jc w:val="both"/>
      </w:pPr>
      <w:r>
        <w:drawing>
          <wp:inline distT="0" distB="0" distL="114300" distR="114300">
            <wp:extent cx="4091940" cy="2926080"/>
            <wp:effectExtent l="4445" t="5080" r="18415"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both"/>
      </w:pPr>
    </w:p>
    <w:p>
      <w:pPr>
        <w:numPr>
          <w:ilvl w:val="0"/>
          <w:numId w:val="1"/>
        </w:numPr>
        <w:ind w:left="0" w:leftChars="0" w:firstLine="42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其他科学技术支出（206类）年初预算为0万元，支出决算为17万元，完成年初预算的100%，预决算存有差异的原因是：2023年按决算要求调整支出功能分类。</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支出具体情况如下：</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宣传方面的支出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sz w:val="18"/>
                <w:szCs w:val="18"/>
                <w:lang w:val="en-US" w:eastAsia="zh-CN"/>
              </w:rPr>
              <w:t>2023年按决算要求调整支出功能分类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宣传方面的支出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sz w:val="18"/>
                <w:szCs w:val="18"/>
                <w:lang w:val="en-US" w:eastAsia="zh-CN"/>
              </w:rPr>
              <w:t>2023年按决算要求调整支出功能分类</w:t>
            </w:r>
          </w:p>
        </w:tc>
      </w:tr>
    </w:tbl>
    <w:p>
      <w:pPr>
        <w:numPr>
          <w:ilvl w:val="0"/>
          <w:numId w:val="0"/>
        </w:numPr>
        <w:ind w:left="420" w:leftChars="0"/>
        <w:jc w:val="both"/>
        <w:rPr>
          <w:rFonts w:hint="default"/>
          <w:lang w:val="en-US" w:eastAsia="zh-CN"/>
        </w:rPr>
      </w:pPr>
      <w:r>
        <w:drawing>
          <wp:inline distT="0" distB="0" distL="114300" distR="114300">
            <wp:extent cx="4572000" cy="2743200"/>
            <wp:effectExtent l="4445" t="4445" r="1079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78.46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66.99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85.38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2023年度有在职人员转退休及有人员调出。</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66.99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 w:hAnsi="仿宋" w:eastAsia="仿宋" w:cs="仿宋"/>
                <w:color w:val="auto"/>
                <w:kern w:val="2"/>
                <w:sz w:val="20"/>
                <w:szCs w:val="20"/>
                <w:highlight w:val="none"/>
                <w:lang w:val="en-US" w:eastAsia="zh-CN" w:bidi="ar"/>
              </w:rPr>
              <w:t>2023年度有在职人员转退休及有人员调出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66.99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 w:hAnsi="仿宋" w:eastAsia="仿宋" w:cs="仿宋"/>
                <w:color w:val="auto"/>
                <w:kern w:val="2"/>
                <w:sz w:val="20"/>
                <w:szCs w:val="20"/>
                <w:highlight w:val="none"/>
                <w:lang w:val="en-US" w:eastAsia="zh-CN" w:bidi="ar"/>
              </w:rPr>
              <w:t>2023年度有在职人员转退休及有人员调出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091940" cy="2926080"/>
            <wp:effectExtent l="4445" t="5080" r="18415" b="1016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highlight w:val="none"/>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无此类支出。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无此类支出。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58.85</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50.24</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85.37</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2023年度有在职人员转退休及有人员调出。</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58.85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50.24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bidi="ar"/>
              </w:rPr>
              <w:t>2023年度有在职人员转退休及有人员调出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58.85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50.24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bidi="ar"/>
              </w:rPr>
              <w:t>2023年度有在职人员转退休及有人员调出</w:t>
            </w:r>
          </w:p>
        </w:tc>
      </w:tr>
    </w:tbl>
    <w:p>
      <w:pPr>
        <w:jc w:val="left"/>
        <w:rPr>
          <w:rFonts w:hint="eastAsia" w:ascii="仿宋" w:hAnsi="仿宋" w:eastAsia="仿宋"/>
          <w:sz w:val="32"/>
          <w:szCs w:val="32"/>
          <w:highlight w:val="none"/>
        </w:rPr>
      </w:pPr>
      <w:r>
        <w:drawing>
          <wp:inline distT="0" distB="0" distL="114300" distR="114300">
            <wp:extent cx="4091940" cy="2926080"/>
            <wp:effectExtent l="4445" t="5080" r="18415" b="1016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hint="eastAsia" w:ascii="仿宋" w:hAnsi="仿宋" w:eastAsia="仿宋"/>
          <w:sz w:val="32"/>
          <w:szCs w:val="32"/>
          <w:highlight w:val="none"/>
          <w:lang w:eastAsia="zh-CN"/>
        </w:rPr>
      </w:pPr>
    </w:p>
    <w:p>
      <w:pPr>
        <w:jc w:val="left"/>
        <w:rPr>
          <w:rFonts w:hint="eastAsia" w:ascii="仿宋" w:hAnsi="仿宋" w:eastAsia="仿宋"/>
          <w:sz w:val="32"/>
          <w:szCs w:val="32"/>
          <w:highlight w:val="none"/>
          <w:lang w:eastAsia="zh-CN"/>
        </w:rPr>
      </w:pPr>
    </w:p>
    <w:p>
      <w:pPr>
        <w:jc w:val="left"/>
        <w:rPr>
          <w:rFonts w:hint="eastAsia" w:ascii="仿宋" w:hAnsi="仿宋" w:eastAsia="仿宋"/>
          <w:sz w:val="32"/>
          <w:szCs w:val="32"/>
          <w:highlight w:val="none"/>
          <w:lang w:eastAsia="zh-CN"/>
        </w:rPr>
      </w:pPr>
    </w:p>
    <w:p>
      <w:pPr>
        <w:jc w:val="left"/>
        <w:rPr>
          <w:rFonts w:hint="eastAsia" w:ascii="仿宋" w:hAnsi="仿宋" w:eastAsia="仿宋"/>
          <w:sz w:val="32"/>
          <w:szCs w:val="32"/>
          <w:highlight w:val="none"/>
          <w:lang w:eastAsia="zh-CN"/>
        </w:rPr>
      </w:pPr>
    </w:p>
    <w:p>
      <w:pPr>
        <w:jc w:val="center"/>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838.72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770.18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68.54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701.15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18.86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绩效工资等变动增加。</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176.39万元，30102津贴补贴150.34万元，30103奖金219.75万元，30106伙食补助费0万元，30107绩效工资7.96万元，30108机关事业单位基本养老保险缴费66.99万元，30110职工基本医疗保险缴费26.9万元，30111公务员医疗补助缴费0万元，30112其他社会保障缴费1.42万元，30113住房公积金50.24万元，30114医疗费0万元，30199其他工资福利支出1.15万元。</w:t>
      </w:r>
    </w:p>
    <w:p>
      <w:pPr>
        <w:jc w:val="left"/>
        <w:rPr>
          <w:rFonts w:hint="default" w:ascii="仿宋" w:hAnsi="仿宋" w:eastAsia="仿宋" w:cs="仿宋"/>
          <w:sz w:val="32"/>
          <w:szCs w:val="32"/>
          <w:highlight w:val="none"/>
          <w:lang w:val="en-US" w:eastAsia="zh-CN"/>
        </w:rPr>
      </w:pPr>
      <w:r>
        <w:drawing>
          <wp:inline distT="0" distB="0" distL="114300" distR="114300">
            <wp:extent cx="4091940" cy="2926080"/>
            <wp:effectExtent l="4445" t="5080" r="18415" b="1016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68.54</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84.1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主要原因是：厉行节约，严控车辆费用，车辆费用未使用完毕。</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0.46万元，30205水费0.21万元，30206电费5.99万元，30207邮电费5.4万元，30209物业管理费0万元，30211差旅费0万元，30213维修（护）费0万元，30215会议费2.2万元，30216培训费2.12万元，30217公务接待费1.27万元，30226劳务费0万元，30228工会经费9.61万元，30231公务用车运行维护费9.12万元，30239其他交通费用32.14万元，30299其他商品和服务支出0万元。</w:t>
      </w:r>
    </w:p>
    <w:p>
      <w:pPr>
        <w:jc w:val="left"/>
        <w:rPr>
          <w:rFonts w:hint="eastAsia" w:ascii="仿宋" w:hAnsi="仿宋" w:eastAsia="仿宋" w:cs="仿宋"/>
          <w:sz w:val="32"/>
          <w:szCs w:val="32"/>
          <w:highlight w:val="none"/>
          <w:lang w:val="en-US" w:eastAsia="zh-CN"/>
        </w:rPr>
      </w:pPr>
    </w:p>
    <w:p>
      <w:pPr>
        <w:jc w:val="left"/>
        <w:rPr>
          <w:rFonts w:hint="eastAsia" w:ascii="仿宋" w:hAnsi="仿宋" w:eastAsia="仿宋" w:cs="仿宋"/>
          <w:sz w:val="32"/>
          <w:szCs w:val="32"/>
          <w:highlight w:val="none"/>
          <w:lang w:val="en-US" w:eastAsia="zh-CN"/>
        </w:rPr>
      </w:pPr>
    </w:p>
    <w:p>
      <w:pPr>
        <w:jc w:val="left"/>
        <w:rPr>
          <w:rFonts w:hint="default" w:ascii="仿宋" w:hAnsi="仿宋" w:eastAsia="仿宋" w:cs="仿宋"/>
          <w:sz w:val="32"/>
          <w:szCs w:val="32"/>
          <w:highlight w:val="none"/>
          <w:lang w:val="en-US" w:eastAsia="zh-CN"/>
        </w:rPr>
      </w:pPr>
      <w:r>
        <w:drawing>
          <wp:inline distT="0" distB="0" distL="114300" distR="114300">
            <wp:extent cx="4097020" cy="2727960"/>
            <wp:effectExtent l="4445" t="4445" r="13335" b="107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69.04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251.88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：2023年有在职人员转退休及新增了抚恤金。</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30301离休费0万元，30302退休费0万元，30304抚恤金25.41万元，30305生活补助43.35万元，30399其他对个人和家庭的补助0.27万元，其他对个人和家庭的补助0.01万元。</w:t>
      </w:r>
    </w:p>
    <w:p>
      <w:pPr>
        <w:jc w:val="left"/>
        <w:rPr>
          <w:rFonts w:hint="default" w:ascii="仿宋" w:hAnsi="仿宋" w:eastAsia="仿宋" w:cs="仿宋"/>
          <w:sz w:val="32"/>
          <w:szCs w:val="32"/>
          <w:highlight w:val="none"/>
          <w:lang w:val="en-US" w:eastAsia="zh-CN"/>
        </w:rPr>
      </w:pPr>
      <w:r>
        <w:drawing>
          <wp:inline distT="0" distB="0" distL="114300" distR="114300">
            <wp:extent cx="4572000" cy="2743200"/>
            <wp:effectExtent l="4445" t="4445" r="10795" b="1079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val="en-US" w:eastAsia="zh-CN"/>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val="en-US" w:eastAsia="zh-CN"/>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128</w:t>
      </w:r>
      <w:r>
        <w:rPr>
          <w:rFonts w:ascii="仿宋" w:hAnsi="仿宋" w:eastAsia="仿宋" w:cs="仿宋"/>
          <w:sz w:val="32"/>
          <w:szCs w:val="32"/>
          <w:highlight w:val="none"/>
        </w:rPr>
        <w:t>.00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128</w:t>
      </w:r>
      <w:r>
        <w:rPr>
          <w:rFonts w:ascii="仿宋" w:hAnsi="仿宋" w:eastAsia="仿宋" w:cs="仿宋"/>
          <w:sz w:val="32"/>
          <w:szCs w:val="32"/>
          <w:highlight w:val="none"/>
        </w:rPr>
        <w:t>.00</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128</w:t>
      </w:r>
      <w:r>
        <w:rPr>
          <w:rFonts w:ascii="仿宋" w:hAnsi="仿宋" w:eastAsia="仿宋" w:cs="仿宋"/>
          <w:sz w:val="32"/>
          <w:szCs w:val="32"/>
          <w:highlight w:val="none"/>
        </w:rPr>
        <w:t>.00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主要原因为：2023年新增了债务专项经费。</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128</w:t>
      </w:r>
      <w:r>
        <w:rPr>
          <w:rFonts w:ascii="仿宋" w:hAnsi="仿宋" w:eastAsia="仿宋" w:cs="仿宋"/>
          <w:sz w:val="32"/>
          <w:szCs w:val="32"/>
          <w:highlight w:val="none"/>
        </w:rPr>
        <w:t>.00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val="en-US" w:eastAsia="zh-CN"/>
        </w:rPr>
        <w:t>环江毛南族自治县司法局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10.39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22.94</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2023年预算有新购公务用车，而年内相关手续未能完成办理没能购买。</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w:t>
      </w:r>
      <w:r>
        <w:rPr>
          <w:rFonts w:hint="eastAsia" w:ascii="仿宋" w:hAnsi="仿宋" w:eastAsia="仿宋" w:cs="仿宋"/>
          <w:sz w:val="32"/>
          <w:szCs w:val="32"/>
          <w:highlight w:val="none"/>
        </w:rPr>
        <w:t>用车购置及运行费支出决算</w:t>
      </w:r>
      <w:r>
        <w:rPr>
          <w:rFonts w:hint="eastAsia" w:ascii="仿宋" w:hAnsi="仿宋" w:eastAsia="仿宋" w:cs="仿宋"/>
          <w:sz w:val="32"/>
          <w:szCs w:val="32"/>
          <w:highlight w:val="none"/>
          <w:lang w:val="en-US" w:eastAsia="zh-CN"/>
        </w:rPr>
        <w:t>9.12</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lang w:val="en-US" w:eastAsia="zh-CN"/>
        </w:rPr>
        <w:t>无。</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w:t>
      </w:r>
      <w:r>
        <w:rPr>
          <w:rFonts w:hint="eastAsia" w:ascii="仿宋" w:hAnsi="仿宋" w:eastAsia="仿宋" w:cs="仿宋"/>
          <w:sz w:val="32"/>
          <w:szCs w:val="32"/>
          <w:highlight w:val="none"/>
        </w:rPr>
        <w:t>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无</w:t>
      </w:r>
      <w:r>
        <w:rPr>
          <w:rFonts w:hint="eastAsia" w:ascii="仿宋_GB2312" w:hAnsi="Times New Roman" w:eastAsia="仿宋_GB2312" w:cs="Times New Roman"/>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szCs w:val="32"/>
          <w:highlight w:val="none"/>
          <w:lang w:val="en-US" w:eastAsia="zh-CN"/>
        </w:rPr>
        <w:t>9.12</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szCs w:val="32"/>
          <w:highlight w:val="none"/>
          <w:lang w:val="en-US" w:eastAsia="zh-CN"/>
        </w:rPr>
        <w:t>9.12</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48.77</w:t>
      </w:r>
      <w:r>
        <w:rPr>
          <w:rFonts w:ascii="仿宋" w:hAnsi="仿宋" w:eastAsia="仿宋" w:cs="仿宋"/>
          <w:color w:val="auto"/>
          <w:sz w:val="32"/>
          <w:u w:color="auto"/>
        </w:rPr>
        <w:t>%</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szCs w:val="32"/>
          <w:highlight w:val="none"/>
          <w:lang w:val="en-US" w:eastAsia="zh-CN"/>
        </w:rPr>
        <w:t>减少0.36</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val="en-US" w:eastAsia="zh-CN"/>
        </w:rPr>
        <w:t>节约公务用车费用</w:t>
      </w:r>
      <w:r>
        <w:rPr>
          <w:rFonts w:hint="eastAsia" w:ascii="仿宋" w:hAnsi="仿宋" w:eastAsia="仿宋" w:cs="仿宋"/>
          <w:color w:val="auto"/>
          <w:sz w:val="32"/>
          <w:szCs w:val="32"/>
          <w:highlight w:val="none"/>
        </w:rPr>
        <w:t>。主要用于机要文件交换、市内因公出行以及开展</w:t>
      </w:r>
      <w:r>
        <w:rPr>
          <w:rFonts w:hint="eastAsia" w:ascii="仿宋" w:hAnsi="仿宋" w:eastAsia="仿宋" w:cs="仿宋"/>
          <w:color w:val="auto"/>
          <w:sz w:val="32"/>
          <w:szCs w:val="32"/>
          <w:highlight w:val="none"/>
          <w:lang w:val="en-US" w:eastAsia="zh-CN"/>
        </w:rPr>
        <w:t>司法</w:t>
      </w:r>
      <w:r>
        <w:rPr>
          <w:rFonts w:hint="eastAsia" w:ascii="仿宋" w:hAnsi="仿宋" w:eastAsia="仿宋" w:cs="仿宋"/>
          <w:color w:val="auto"/>
          <w:sz w:val="32"/>
          <w:szCs w:val="32"/>
          <w:highlight w:val="none"/>
        </w:rPr>
        <w:t>业务所需车辆燃料费、维修费、过路过桥费、保险费等”。202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val="en-US" w:eastAsia="zh-CN"/>
        </w:rPr>
        <w:t>环江毛南族自治县司法局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12个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9.12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0.83</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63</w:t>
      </w:r>
      <w:r>
        <w:rPr>
          <w:rFonts w:ascii="仿宋" w:hAnsi="仿宋" w:eastAsia="仿宋" w:cs="仿宋"/>
          <w:sz w:val="32"/>
          <w:szCs w:val="32"/>
          <w:highlight w:val="none"/>
        </w:rPr>
        <w:t>.5%</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增加0.26</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主要原因是：厉行节约控制“三公”经费相关支出，2023年结算了2022年部分招待费。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112</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68.54</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12.96</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15.9</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减少4.94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下降6.7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工会经费比2022年有所减少及公务用车</w:t>
      </w:r>
      <w:r>
        <w:rPr>
          <w:rFonts w:hint="eastAsia" w:ascii="仿宋" w:hAnsi="仿宋" w:eastAsia="仿宋" w:cs="仿宋"/>
          <w:color w:val="auto"/>
          <w:sz w:val="32"/>
          <w:szCs w:val="32"/>
          <w:highlight w:val="none"/>
        </w:rPr>
        <w:t>运行维护</w:t>
      </w:r>
      <w:r>
        <w:rPr>
          <w:rFonts w:hint="eastAsia" w:ascii="仿宋" w:hAnsi="仿宋" w:eastAsia="仿宋" w:cs="仿宋"/>
          <w:color w:val="auto"/>
          <w:sz w:val="32"/>
          <w:szCs w:val="32"/>
          <w:highlight w:val="none"/>
          <w:lang w:val="en-US" w:eastAsia="zh-CN"/>
        </w:rPr>
        <w:t>费</w:t>
      </w:r>
      <w:r>
        <w:rPr>
          <w:rFonts w:hint="eastAsia" w:ascii="仿宋" w:hAnsi="仿宋" w:eastAsia="仿宋" w:cs="仿宋"/>
          <w:color w:val="auto"/>
          <w:sz w:val="32"/>
          <w:szCs w:val="32"/>
          <w:highlight w:val="none"/>
        </w:rPr>
        <w:t>支出减少</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24.93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24.93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24.93</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24.93</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b w:val="0"/>
          <w:bCs w:val="0"/>
          <w:caps w:val="0"/>
          <w:color w:val="auto"/>
          <w:kern w:val="0"/>
          <w:sz w:val="32"/>
          <w:szCs w:val="32"/>
          <w:vertAlign w:val="baseline"/>
          <w:lang w:val="en-US" w:eastAsia="zh-CN" w:bidi="ar"/>
        </w:rPr>
        <w:t>890.86</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万元，执行数</w:t>
      </w:r>
      <w:r>
        <w:rPr>
          <w:rFonts w:hint="eastAsia" w:ascii="仿宋_GB2312" w:eastAsia="仿宋_GB2312" w:cs="仿宋_GB2312"/>
          <w:b w:val="0"/>
          <w:bCs w:val="0"/>
          <w:caps w:val="0"/>
          <w:color w:val="auto"/>
          <w:kern w:val="0"/>
          <w:sz w:val="32"/>
          <w:szCs w:val="32"/>
          <w:vertAlign w:val="baseline"/>
          <w:lang w:val="en-US" w:eastAsia="zh-CN" w:bidi="ar"/>
        </w:rPr>
        <w:t>1142.95</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r>
        <w:rPr>
          <w:rFonts w:hint="eastAsia" w:ascii="仿宋" w:hAnsi="仿宋" w:eastAsia="仿宋" w:cs="仿宋"/>
          <w:b w:val="0"/>
          <w:bCs w:val="0"/>
          <w:caps w:val="0"/>
          <w:color w:val="auto"/>
          <w:kern w:val="0"/>
          <w:sz w:val="32"/>
          <w:szCs w:val="32"/>
          <w:vertAlign w:val="baseline"/>
          <w:lang w:val="en-US" w:eastAsia="zh-CN" w:bidi="ar"/>
        </w:rPr>
        <w:t>2023年</w:t>
      </w:r>
      <w:r>
        <w:rPr>
          <w:rFonts w:hint="eastAsia" w:ascii="Times New Roman" w:hAnsi="Times New Roman" w:eastAsia="仿宋_GB2312"/>
          <w:sz w:val="32"/>
          <w:lang w:val="en-US" w:eastAsia="zh-CN"/>
        </w:rPr>
        <w:t>我局坚持以“法律七进”为抓手，以特殊时间节点为契机，深入开展了形式多样的法治宣传活动共50余场次。</w:t>
      </w:r>
      <w:r>
        <w:rPr>
          <w:rFonts w:hint="default" w:ascii="Times New Roman" w:hAnsi="Times New Roman" w:eastAsia="仿宋_GB2312"/>
          <w:sz w:val="32"/>
          <w:lang w:val="en-US" w:eastAsia="zh-CN"/>
        </w:rPr>
        <w:t>依法严格</w:t>
      </w:r>
      <w:r>
        <w:rPr>
          <w:rFonts w:hint="eastAsia" w:ascii="Times New Roman" w:hAnsi="Times New Roman" w:eastAsia="仿宋_GB2312"/>
          <w:sz w:val="32"/>
          <w:lang w:val="en-US" w:eastAsia="zh-CN"/>
        </w:rPr>
        <w:t>执行</w:t>
      </w:r>
      <w:r>
        <w:rPr>
          <w:rFonts w:hint="default" w:ascii="Times New Roman" w:hAnsi="Times New Roman" w:eastAsia="仿宋_GB2312"/>
          <w:sz w:val="32"/>
          <w:lang w:val="en-US" w:eastAsia="zh-CN"/>
        </w:rPr>
        <w:t>社区矫正监管工作</w:t>
      </w:r>
      <w:r>
        <w:rPr>
          <w:rFonts w:hint="eastAsia" w:ascii="Times New Roman" w:hAnsi="Times New Roman" w:eastAsia="仿宋_GB2312"/>
          <w:sz w:val="32"/>
          <w:lang w:val="en-US" w:eastAsia="zh-CN"/>
        </w:rPr>
        <w:t>，健全社区矫正工作领导机构，不断完善社区矫正中心基础设施建设</w:t>
      </w:r>
      <w:r>
        <w:rPr>
          <w:rFonts w:hint="default" w:ascii="Times New Roman" w:hAnsi="Times New Roman" w:eastAsia="仿宋_GB2312"/>
          <w:sz w:val="32"/>
          <w:lang w:val="en-US" w:eastAsia="zh-CN"/>
        </w:rPr>
        <w:t>。2023年，我县在册社区矫正对象229人，均为缓刑罪犯。年内新接收178人，期满解除127人，完成社区矫正社会调查评估68人次。人民调解委员会累计排查各类矛盾纠纷共3274次,预防矛盾纠纷97件，调解矛盾纠纷484件，调解成功484件，调解成功率达100%，涉及纠纷金额548.23万元。</w:t>
      </w:r>
      <w:r>
        <w:rPr>
          <w:rFonts w:hint="eastAsia" w:ascii="Times New Roman" w:hAnsi="Times New Roman" w:eastAsia="仿宋_GB2312"/>
          <w:sz w:val="32"/>
          <w:lang w:val="en-US" w:eastAsia="zh-CN"/>
        </w:rPr>
        <w:t>全县村（社区）法律顾问累计为各村（社区）群众开展各种法律咨询、普法宣传教育、出具法律意见、代写法律文书、参与化解矛盾纠纷、协助处理信访问题等3000多件次</w:t>
      </w:r>
      <w:r>
        <w:rPr>
          <w:rFonts w:hint="default" w:ascii="Times New Roman" w:hAnsi="Times New Roman" w:eastAsia="仿宋_GB2312"/>
          <w:sz w:val="32"/>
          <w:lang w:val="en-US" w:eastAsia="zh-CN"/>
        </w:rPr>
        <w:t>。</w:t>
      </w:r>
      <w:r>
        <w:rPr>
          <w:rFonts w:hint="eastAsia" w:ascii="Times New Roman" w:hAnsi="Times New Roman" w:eastAsia="仿宋_GB2312"/>
          <w:sz w:val="32"/>
          <w:lang w:val="en-US" w:eastAsia="zh-CN"/>
        </w:rPr>
        <w:t>公证处办理各类公证事项121件，其中继承权公证90件，放弃继承权声明书4件，合同协议类公证3件，亲属关系证明5件，委托公证18件，印鉴公证1件。为弱势群体开展上门办证服务7次，依法减免公证费用1183.5元。</w:t>
      </w:r>
      <w:r>
        <w:rPr>
          <w:rFonts w:hint="eastAsia" w:ascii="仿宋" w:hAnsi="仿宋" w:eastAsia="仿宋" w:cs="仿宋"/>
          <w:color w:val="auto"/>
          <w:sz w:val="32"/>
          <w:szCs w:val="32"/>
        </w:rPr>
        <w:t>部门整体产出指标的各项二级指标和效益指标的各项二级指标都达到了预期指标</w:t>
      </w:r>
      <w:r>
        <w:rPr>
          <w:rFonts w:hint="eastAsia" w:ascii="仿宋" w:hAnsi="仿宋" w:eastAsia="仿宋" w:cs="仿宋"/>
          <w:b w:val="0"/>
          <w:bCs w:val="0"/>
          <w:caps w:val="0"/>
          <w:color w:val="auto"/>
          <w:kern w:val="0"/>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b w:val="0"/>
          <w:bCs w:val="0"/>
          <w:caps w:val="0"/>
          <w:color w:val="auto"/>
          <w:kern w:val="0"/>
          <w:sz w:val="32"/>
          <w:szCs w:val="32"/>
          <w:vertAlign w:val="baseline"/>
          <w:lang w:val="en-US" w:eastAsia="zh-CN" w:bidi="ar"/>
        </w:rPr>
        <w:t>33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b w:val="0"/>
          <w:bCs w:val="0"/>
          <w:caps w:val="0"/>
          <w:color w:val="auto"/>
          <w:kern w:val="0"/>
          <w:sz w:val="32"/>
          <w:szCs w:val="32"/>
          <w:vertAlign w:val="baseline"/>
          <w:lang w:val="en-US" w:eastAsia="zh-CN" w:bidi="ar"/>
        </w:rPr>
        <w:t>732.09</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b w:val="0"/>
          <w:bCs w:val="0"/>
          <w:caps w:val="0"/>
          <w:color w:val="auto"/>
          <w:kern w:val="0"/>
          <w:sz w:val="32"/>
          <w:szCs w:val="32"/>
          <w:vertAlign w:val="baseline"/>
          <w:lang w:val="en-US" w:eastAsia="zh-CN" w:bidi="ar"/>
        </w:rPr>
        <w:t>33</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b w:val="0"/>
          <w:bCs w:val="0"/>
          <w:caps w:val="0"/>
          <w:color w:val="auto"/>
          <w:kern w:val="0"/>
          <w:sz w:val="32"/>
          <w:szCs w:val="32"/>
          <w:vertAlign w:val="baseline"/>
          <w:lang w:val="en-US" w:eastAsia="zh-CN" w:bidi="ar"/>
        </w:rPr>
        <w:t>732.09</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firstLineChars="200"/>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b w:val="0"/>
          <w:bCs w:val="0"/>
          <w:caps w:val="0"/>
          <w:color w:val="auto"/>
          <w:kern w:val="0"/>
          <w:sz w:val="32"/>
          <w:szCs w:val="32"/>
          <w:vertAlign w:val="baseline"/>
          <w:lang w:val="en-US" w:eastAsia="zh-CN" w:bidi="ar"/>
        </w:rPr>
        <w:t>33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732.09</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ascii="仿宋" w:hAnsi="仿宋" w:eastAsia="仿宋" w:cs="仿宋"/>
          <w:color w:val="000000"/>
          <w:kern w:val="0"/>
          <w:sz w:val="31"/>
          <w:szCs w:val="31"/>
          <w:lang w:val="en-US" w:eastAsia="zh-CN" w:bidi="ar"/>
        </w:rPr>
        <w:t>1、</w:t>
      </w:r>
      <w:r>
        <w:rPr>
          <w:rFonts w:hint="eastAsia" w:ascii="仿宋_GB2312" w:hAnsi="仿宋_GB2312" w:eastAsia="仿宋_GB2312" w:cs="仿宋_GB2312"/>
          <w:i w:val="0"/>
          <w:iCs w:val="0"/>
          <w:caps w:val="0"/>
          <w:color w:val="000000"/>
          <w:spacing w:val="0"/>
          <w:sz w:val="32"/>
          <w:szCs w:val="32"/>
          <w:shd w:val="clear" w:fill="FFFFFF"/>
          <w:lang w:val="en-US" w:eastAsia="zh-CN"/>
        </w:rPr>
        <w:t>预算项目</w:t>
      </w:r>
      <w:r>
        <w:rPr>
          <w:rFonts w:hint="eastAsia" w:ascii="仿宋_GB2312" w:hAnsi="仿宋_GB2312" w:eastAsia="仿宋_GB2312" w:cs="仿宋_GB2312"/>
          <w:i w:val="0"/>
          <w:iCs w:val="0"/>
          <w:caps w:val="0"/>
          <w:color w:val="000000"/>
          <w:spacing w:val="0"/>
          <w:sz w:val="32"/>
          <w:szCs w:val="32"/>
          <w:shd w:val="clear" w:fill="FFFFFF"/>
        </w:rPr>
        <w:t>绩效的宣传力度不够，收到财政厅下发的</w:t>
      </w:r>
      <w:r>
        <w:rPr>
          <w:rFonts w:hint="eastAsia" w:ascii="仿宋_GB2312" w:hAnsi="仿宋_GB2312" w:eastAsia="仿宋_GB2312" w:cs="仿宋_GB2312"/>
          <w:i w:val="0"/>
          <w:iCs w:val="0"/>
          <w:caps w:val="0"/>
          <w:color w:val="000000"/>
          <w:spacing w:val="0"/>
          <w:sz w:val="32"/>
          <w:szCs w:val="32"/>
          <w:shd w:val="clear" w:fill="FFFFFF"/>
          <w:lang w:val="en-US" w:eastAsia="zh-CN"/>
        </w:rPr>
        <w:t>预算项目绩效</w:t>
      </w:r>
      <w:r>
        <w:rPr>
          <w:rFonts w:hint="eastAsia" w:ascii="仿宋_GB2312" w:hAnsi="仿宋_GB2312" w:eastAsia="仿宋_GB2312" w:cs="仿宋_GB2312"/>
          <w:i w:val="0"/>
          <w:iCs w:val="0"/>
          <w:caps w:val="0"/>
          <w:color w:val="000000"/>
          <w:spacing w:val="0"/>
          <w:sz w:val="32"/>
          <w:szCs w:val="32"/>
          <w:shd w:val="clear" w:fill="FFFFFF"/>
        </w:rPr>
        <w:t>方面的文件，直接签批给财务办理，导致项目具体实施处室不了解文件内容，起不到向项目实施处室宣传及沟通的作用。</w:t>
      </w:r>
      <w:r>
        <w:rPr>
          <w:rFonts w:hint="eastAsia" w:ascii="仿宋" w:hAnsi="仿宋" w:eastAsia="仿宋" w:cs="仿宋"/>
          <w:color w:val="000000"/>
          <w:kern w:val="0"/>
          <w:sz w:val="31"/>
          <w:szCs w:val="31"/>
          <w:lang w:val="en-US" w:eastAsia="zh-CN" w:bidi="ar"/>
        </w:rPr>
        <w:t>2、本年度项目已完成，但因库款紧张，无法完成支付等。</w:t>
      </w:r>
    </w:p>
    <w:p>
      <w:pPr>
        <w:keepNext w:val="0"/>
        <w:keepLines w:val="0"/>
        <w:widowControl/>
        <w:suppressLineNumbers w:val="0"/>
        <w:ind w:firstLine="640" w:firstLineChars="200"/>
        <w:jc w:val="left"/>
      </w:pPr>
      <w:r>
        <w:rPr>
          <w:rFonts w:hint="eastAsia" w:ascii="仿宋_GB2312" w:hAnsi="Times New Roman" w:eastAsia="仿宋_GB2312" w:cs="仿宋_GB2312"/>
          <w:b w:val="0"/>
          <w:bCs w:val="0"/>
          <w:caps w:val="0"/>
          <w:color w:val="auto"/>
          <w:kern w:val="0"/>
          <w:sz w:val="32"/>
          <w:szCs w:val="32"/>
          <w:vertAlign w:val="baseline"/>
          <w:lang w:val="en-US" w:eastAsia="zh-CN" w:bidi="ar"/>
        </w:rPr>
        <w:t>下一步改进措施：</w:t>
      </w:r>
      <w:r>
        <w:rPr>
          <w:rFonts w:ascii="仿宋" w:hAnsi="仿宋" w:eastAsia="仿宋" w:cs="仿宋"/>
          <w:color w:val="000000"/>
          <w:kern w:val="0"/>
          <w:sz w:val="31"/>
          <w:szCs w:val="31"/>
          <w:lang w:val="en-US" w:eastAsia="zh-CN" w:bidi="ar"/>
        </w:rPr>
        <w:t xml:space="preserve">1、认真研究政策，加强沟通，加快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资金支付进度，提高财政资金使用效率；2、加强绩效管理，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逐步规范绩效目标的编制，加强绩效跟踪监控，提升绩效评 </w:t>
      </w:r>
    </w:p>
    <w:p>
      <w:pPr>
        <w:keepNext w:val="0"/>
        <w:keepLines w:val="0"/>
        <w:widowControl/>
        <w:suppressLineNumbers w:val="0"/>
        <w:jc w:val="left"/>
        <w:rPr>
          <w:rFonts w:hint="eastAsia" w:ascii="仿宋_GB2312" w:eastAsia="仿宋_GB2312" w:cs="仿宋_GB2312"/>
          <w:caps w:val="0"/>
          <w:color w:val="auto"/>
          <w:kern w:val="0"/>
          <w:sz w:val="32"/>
          <w:szCs w:val="32"/>
          <w:vertAlign w:val="baseline"/>
          <w:lang w:bidi="ar"/>
        </w:rPr>
      </w:pPr>
      <w:r>
        <w:rPr>
          <w:rFonts w:hint="eastAsia" w:ascii="仿宋" w:hAnsi="仿宋" w:eastAsia="仿宋" w:cs="仿宋"/>
          <w:color w:val="000000"/>
          <w:kern w:val="0"/>
          <w:sz w:val="31"/>
          <w:szCs w:val="31"/>
          <w:lang w:val="en-US" w:eastAsia="zh-CN" w:bidi="ar"/>
        </w:rPr>
        <w:t>价质量</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i w:val="0"/>
          <w:iCs w:val="0"/>
          <w:caps w:val="0"/>
          <w:color w:val="000000"/>
          <w:spacing w:val="0"/>
          <w:sz w:val="32"/>
          <w:szCs w:val="32"/>
          <w:shd w:val="clear" w:fill="FFFFFF"/>
        </w:rPr>
        <w:t>部门预算绩效管理工作是一项长期性的工作，专业性强、工作量大、建议财政部门进一步加强开展相关业务工作培训，多开展以各部门之间的经验交流以及实地考察学习等方式的培训，</w:t>
      </w:r>
      <w:r>
        <w:rPr>
          <w:rFonts w:hint="eastAsia" w:ascii="仿宋_GB2312" w:hAnsi="仿宋_GB2312" w:eastAsia="仿宋_GB2312" w:cs="仿宋_GB2312"/>
          <w:i w:val="0"/>
          <w:iCs w:val="0"/>
          <w:caps w:val="0"/>
          <w:color w:val="000000"/>
          <w:spacing w:val="0"/>
          <w:sz w:val="32"/>
          <w:szCs w:val="32"/>
          <w:shd w:val="clear" w:fill="FFFFFF"/>
          <w:lang w:val="en-US" w:eastAsia="zh-CN"/>
        </w:rPr>
        <w:t>在单位提交绩效目标及自评时，严格审核纠错，在实践中不断学习，</w:t>
      </w:r>
      <w:r>
        <w:rPr>
          <w:rFonts w:hint="eastAsia" w:ascii="仿宋_GB2312" w:hAnsi="仿宋_GB2312" w:eastAsia="仿宋_GB2312" w:cs="仿宋_GB2312"/>
          <w:i w:val="0"/>
          <w:iCs w:val="0"/>
          <w:caps w:val="0"/>
          <w:color w:val="000000"/>
          <w:spacing w:val="0"/>
          <w:sz w:val="32"/>
          <w:szCs w:val="32"/>
          <w:shd w:val="clear" w:fill="FFFFFF"/>
        </w:rPr>
        <w:t>从而进一步推进各部门预算绩效管理工作。</w:t>
      </w:r>
    </w:p>
    <w:p>
      <w:pPr>
        <w:keepNext w:val="0"/>
        <w:keepLines w:val="0"/>
        <w:pageBreakBefore w:val="0"/>
        <w:numPr>
          <w:ilvl w:val="0"/>
          <w:numId w:val="3"/>
        </w:numPr>
        <w:kinsoku/>
        <w:wordWrap/>
        <w:overflowPunct/>
        <w:topLinePunct w:val="0"/>
        <w:bidi w:val="0"/>
        <w:snapToGrid/>
        <w:spacing w:beforeLines="50" w:afterLines="50" w:line="560" w:lineRule="exact"/>
        <w:ind w:left="630" w:leftChars="0"/>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w:t>
      </w:r>
    </w:p>
    <w:p>
      <w:pPr>
        <w:keepNext w:val="0"/>
        <w:keepLines w:val="0"/>
        <w:pageBreakBefore w:val="0"/>
        <w:numPr>
          <w:ilvl w:val="0"/>
          <w:numId w:val="0"/>
        </w:numPr>
        <w:kinsoku/>
        <w:wordWrap/>
        <w:overflowPunct/>
        <w:topLinePunct w:val="0"/>
        <w:bidi w:val="0"/>
        <w:snapToGrid/>
        <w:spacing w:beforeLines="50" w:afterLines="50" w:line="560" w:lineRule="exact"/>
        <w:ind w:firstLine="640" w:firstLineChars="200"/>
        <w:rPr>
          <w:rFonts w:hint="default" w:ascii="仿宋_GB2312"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根据年初设定的绩效目标，</w:t>
      </w:r>
      <w:r>
        <w:rPr>
          <w:rFonts w:hint="eastAsia" w:ascii="仿宋_GB2312" w:eastAsia="仿宋_GB2312" w:cs="仿宋_GB2312"/>
          <w:b w:val="0"/>
          <w:bCs w:val="0"/>
          <w:caps w:val="0"/>
          <w:color w:val="auto"/>
          <w:kern w:val="0"/>
          <w:sz w:val="32"/>
          <w:szCs w:val="32"/>
          <w:vertAlign w:val="baseline"/>
          <w:lang w:val="en-US" w:eastAsia="zh-CN" w:bidi="ar"/>
        </w:rPr>
        <w:t>法律援助配套业务补助经费支出</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分，</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b w:val="0"/>
          <w:bCs w:val="0"/>
          <w:caps w:val="0"/>
          <w:color w:val="auto"/>
          <w:kern w:val="0"/>
          <w:sz w:val="32"/>
          <w:szCs w:val="32"/>
          <w:vertAlign w:val="baseline"/>
          <w:lang w:val="en-US" w:eastAsia="zh-CN" w:bidi="ar"/>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b w:val="0"/>
          <w:bCs w:val="0"/>
          <w:caps w:val="0"/>
          <w:color w:val="auto"/>
          <w:kern w:val="0"/>
          <w:sz w:val="32"/>
          <w:szCs w:val="32"/>
          <w:vertAlign w:val="baseline"/>
          <w:lang w:val="en-US" w:eastAsia="zh-CN" w:bidi="ar"/>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r>
        <w:rPr>
          <w:rFonts w:hint="eastAsia" w:ascii="仿宋_GB2312" w:eastAsia="仿宋_GB2312" w:cs="仿宋_GB2312"/>
          <w:b w:val="0"/>
          <w:bCs w:val="0"/>
          <w:caps w:val="0"/>
          <w:color w:val="auto"/>
          <w:kern w:val="0"/>
          <w:sz w:val="32"/>
          <w:szCs w:val="32"/>
          <w:vertAlign w:val="baseline"/>
          <w:lang w:val="en-US" w:eastAsia="zh-CN" w:bidi="ar"/>
        </w:rPr>
        <w:t>一是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数量指标：</w:t>
      </w:r>
      <w:r>
        <w:rPr>
          <w:rFonts w:hint="default" w:ascii="Times New Roman" w:hAnsi="Times New Roman" w:eastAsia="仿宋_GB2312"/>
          <w:color w:val="000000" w:themeColor="text1"/>
          <w:sz w:val="32"/>
          <w:lang w:val="en-US" w:eastAsia="zh-CN"/>
          <w14:textFill>
            <w14:solidFill>
              <w14:schemeClr w14:val="tx1"/>
            </w14:solidFill>
          </w14:textFill>
        </w:rPr>
        <w:t>2023年以来，县法律援助中心共接待来电来访咨询</w:t>
      </w:r>
      <w:r>
        <w:rPr>
          <w:rFonts w:hint="eastAsia" w:ascii="Times New Roman" w:hAnsi="Times New Roman" w:eastAsia="仿宋_GB2312"/>
          <w:color w:val="000000" w:themeColor="text1"/>
          <w:sz w:val="32"/>
          <w:lang w:val="en-US" w:eastAsia="zh-CN"/>
          <w14:textFill>
            <w14:solidFill>
              <w14:schemeClr w14:val="tx1"/>
            </w14:solidFill>
          </w14:textFill>
        </w:rPr>
        <w:t>200</w:t>
      </w:r>
      <w:r>
        <w:rPr>
          <w:rFonts w:hint="default" w:ascii="Times New Roman" w:hAnsi="Times New Roman" w:eastAsia="仿宋_GB2312"/>
          <w:color w:val="000000" w:themeColor="text1"/>
          <w:sz w:val="32"/>
          <w:lang w:val="en-US" w:eastAsia="zh-CN"/>
          <w14:textFill>
            <w14:solidFill>
              <w14:schemeClr w14:val="tx1"/>
            </w14:solidFill>
          </w14:textFill>
        </w:rPr>
        <w:t>人次，共受理法律援助案件1</w:t>
      </w:r>
      <w:r>
        <w:rPr>
          <w:rFonts w:hint="eastAsia" w:ascii="Times New Roman" w:hAnsi="Times New Roman" w:eastAsia="仿宋_GB2312"/>
          <w:color w:val="000000" w:themeColor="text1"/>
          <w:sz w:val="32"/>
          <w:lang w:val="en-US" w:eastAsia="zh-CN"/>
          <w14:textFill>
            <w14:solidFill>
              <w14:schemeClr w14:val="tx1"/>
            </w14:solidFill>
          </w14:textFill>
        </w:rPr>
        <w:t>60</w:t>
      </w:r>
      <w:r>
        <w:rPr>
          <w:rFonts w:hint="default" w:ascii="Times New Roman" w:hAnsi="Times New Roman" w:eastAsia="仿宋_GB2312"/>
          <w:color w:val="000000" w:themeColor="text1"/>
          <w:sz w:val="32"/>
          <w:lang w:val="en-US" w:eastAsia="zh-CN"/>
          <w14:textFill>
            <w14:solidFill>
              <w14:schemeClr w14:val="tx1"/>
            </w14:solidFill>
          </w14:textFill>
        </w:rPr>
        <w:t>件</w:t>
      </w:r>
      <w:r>
        <w:rPr>
          <w:rFonts w:hint="eastAsia" w:ascii="Times New Roman" w:hAnsi="Times New Roman" w:eastAsia="仿宋_GB2312"/>
          <w:color w:val="000000" w:themeColor="text1"/>
          <w:sz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质量指标：按相关文件要求办理，没有接到投诉。全年受理法律援助案件160件，办结154件，办结率96.25%。三是时效指标：2023年底前已完成各项工作任务，做到应结尽结。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成本指标：已支付相关办案补贴节约成本，在预算内控制支出，未超预算支付。五是效益指标:</w:t>
      </w:r>
      <w:r>
        <w:rPr>
          <w:rFonts w:hint="eastAsia" w:ascii="仿宋" w:hAnsi="仿宋" w:eastAsia="仿宋" w:cs="仿宋"/>
          <w:color w:val="000000" w:themeColor="text1"/>
          <w:sz w:val="32"/>
          <w:szCs w:val="32"/>
          <w:lang w:val="en-US" w:eastAsia="zh-CN"/>
          <w14:textFill>
            <w14:solidFill>
              <w14:schemeClr w14:val="tx1"/>
            </w14:solidFill>
          </w14:textFill>
        </w:rPr>
        <w:t>法律援助受援人员增加，已做到应援尽援。六是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满意度指标：受援人员满意率为90%。</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自评发现的主要问题及原因：无。</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eastAsia="zh-CN" w:bidi="ar"/>
        </w:rPr>
        <w:t>组织对“</w:t>
      </w:r>
      <w:r>
        <w:rPr>
          <w:rFonts w:hint="eastAsia" w:ascii="仿宋_GB2312" w:eastAsia="仿宋_GB2312" w:cs="仿宋_GB2312"/>
          <w:caps w:val="0"/>
          <w:color w:val="auto"/>
          <w:kern w:val="0"/>
          <w:sz w:val="32"/>
          <w:szCs w:val="32"/>
          <w:vertAlign w:val="baseline"/>
          <w:lang w:val="en-US" w:eastAsia="zh-CN" w:bidi="ar"/>
        </w:rPr>
        <w:t>普法依法治理工作业务支出</w:t>
      </w:r>
      <w:r>
        <w:rPr>
          <w:rFonts w:hint="eastAsia" w:ascii="仿宋_GB2312" w:hAnsi="Times New Roman" w:eastAsia="仿宋_GB2312" w:cs="仿宋_GB2312"/>
          <w:caps w:val="0"/>
          <w:color w:val="auto"/>
          <w:kern w:val="0"/>
          <w:sz w:val="32"/>
          <w:szCs w:val="32"/>
          <w:vertAlign w:val="baseline"/>
          <w:lang w:eastAsia="zh-CN" w:bidi="ar"/>
        </w:rPr>
        <w:t>”</w:t>
      </w:r>
      <w:r>
        <w:rPr>
          <w:rFonts w:hint="eastAsia" w:ascii="仿宋_GB2312" w:eastAsia="仿宋_GB2312" w:cs="仿宋_GB2312"/>
          <w:caps w:val="0"/>
          <w:color w:val="auto"/>
          <w:kern w:val="0"/>
          <w:sz w:val="32"/>
          <w:szCs w:val="32"/>
          <w:vertAlign w:val="baseline"/>
          <w:lang w:eastAsia="zh-CN" w:bidi="ar"/>
        </w:rPr>
        <w:t>“</w:t>
      </w:r>
      <w:r>
        <w:rPr>
          <w:rFonts w:hint="eastAsia" w:ascii="仿宋_GB2312" w:eastAsia="仿宋_GB2312" w:cs="仿宋_GB2312"/>
          <w:caps w:val="0"/>
          <w:color w:val="auto"/>
          <w:kern w:val="0"/>
          <w:sz w:val="32"/>
          <w:szCs w:val="32"/>
          <w:vertAlign w:val="baseline"/>
          <w:lang w:val="en-US" w:eastAsia="zh-CN" w:bidi="ar"/>
        </w:rPr>
        <w:t>人民调解员办案补贴经费”“社区矫正人民调解安置帮教工作”“法律援助配套业务补助经费支出”</w:t>
      </w:r>
      <w:r>
        <w:rPr>
          <w:rFonts w:hint="eastAsia" w:ascii="仿宋_GB2312" w:hAnsi="Times New Roman" w:eastAsia="仿宋_GB2312" w:cs="仿宋_GB2312"/>
          <w:caps w:val="0"/>
          <w:color w:val="auto"/>
          <w:kern w:val="0"/>
          <w:sz w:val="32"/>
          <w:szCs w:val="32"/>
          <w:vertAlign w:val="baseline"/>
          <w:lang w:eastAsia="zh-CN" w:bidi="ar"/>
        </w:rPr>
        <w:t>等</w:t>
      </w:r>
      <w:r>
        <w:rPr>
          <w:rFonts w:hint="eastAsia" w:ascii="仿宋_GB2312" w:eastAsia="仿宋_GB2312" w:cs="仿宋_GB2312"/>
          <w:caps w:val="0"/>
          <w:color w:val="auto"/>
          <w:kern w:val="0"/>
          <w:sz w:val="32"/>
          <w:szCs w:val="32"/>
          <w:vertAlign w:val="baseline"/>
          <w:lang w:val="en-US" w:eastAsia="zh-CN" w:bidi="ar"/>
        </w:rPr>
        <w:t>33</w:t>
      </w:r>
      <w:r>
        <w:rPr>
          <w:rFonts w:hint="eastAsia" w:ascii="仿宋_GB2312" w:hAnsi="Times New Roman" w:eastAsia="仿宋_GB2312" w:cs="仿宋_GB2312"/>
          <w:caps w:val="0"/>
          <w:color w:val="auto"/>
          <w:kern w:val="0"/>
          <w:sz w:val="32"/>
          <w:szCs w:val="32"/>
          <w:vertAlign w:val="baseline"/>
          <w:lang w:val="en-US" w:eastAsia="zh-CN" w:bidi="ar"/>
        </w:rPr>
        <w:t>个项目开展了绩效评价，评价结果为</w:t>
      </w:r>
      <w:r>
        <w:rPr>
          <w:rFonts w:hint="eastAsia" w:ascii="仿宋_GB2312" w:eastAsia="仿宋_GB2312" w:cs="仿宋_GB2312"/>
          <w:caps w:val="0"/>
          <w:color w:val="auto"/>
          <w:kern w:val="0"/>
          <w:sz w:val="32"/>
          <w:szCs w:val="32"/>
          <w:vertAlign w:val="baseline"/>
          <w:lang w:val="en-US" w:eastAsia="zh-CN" w:bidi="ar"/>
        </w:rPr>
        <w:t>一</w:t>
      </w:r>
      <w:r>
        <w:rPr>
          <w:rFonts w:hint="eastAsia" w:ascii="仿宋_GB2312" w:hAnsi="Times New Roman" w:eastAsia="仿宋_GB2312" w:cs="仿宋_GB2312"/>
          <w:caps w:val="0"/>
          <w:color w:val="auto"/>
          <w:kern w:val="0"/>
          <w:sz w:val="32"/>
          <w:szCs w:val="32"/>
          <w:vertAlign w:val="baseline"/>
          <w:lang w:val="en-US" w:eastAsia="zh-CN" w:bidi="ar"/>
        </w:rPr>
        <w:t>等，</w:t>
      </w:r>
      <w:r>
        <w:rPr>
          <w:rFonts w:hint="eastAsia" w:ascii="仿宋_GB2312" w:hAnsi="Times New Roman" w:eastAsia="仿宋_GB2312" w:cs="仿宋_GB2312"/>
          <w:b w:val="0"/>
          <w:bCs w:val="0"/>
          <w:caps w:val="0"/>
          <w:color w:val="auto"/>
          <w:kern w:val="0"/>
          <w:sz w:val="32"/>
          <w:szCs w:val="32"/>
          <w:vertAlign w:val="baseline"/>
          <w:lang w:val="en-US" w:eastAsia="zh-CN" w:bidi="ar"/>
        </w:rPr>
        <w:t>涉及资金</w:t>
      </w:r>
      <w:r>
        <w:rPr>
          <w:rFonts w:hint="eastAsia" w:ascii="仿宋_GB2312" w:eastAsia="仿宋_GB2312" w:cs="仿宋_GB2312"/>
          <w:b w:val="0"/>
          <w:bCs w:val="0"/>
          <w:caps w:val="0"/>
          <w:color w:val="auto"/>
          <w:kern w:val="0"/>
          <w:sz w:val="32"/>
          <w:szCs w:val="32"/>
          <w:vertAlign w:val="baseline"/>
          <w:lang w:val="en-US" w:eastAsia="zh-CN" w:bidi="ar"/>
        </w:rPr>
        <w:t>732.09</w:t>
      </w:r>
      <w:r>
        <w:rPr>
          <w:rFonts w:hint="eastAsia" w:ascii="仿宋_GB2312" w:hAnsi="Times New Roman" w:eastAsia="仿宋_GB2312" w:cs="仿宋_GB2312"/>
          <w:b w:val="0"/>
          <w:bCs w:val="0"/>
          <w:caps w:val="0"/>
          <w:color w:val="auto"/>
          <w:kern w:val="0"/>
          <w:sz w:val="32"/>
          <w:szCs w:val="32"/>
          <w:vertAlign w:val="baseline"/>
          <w:lang w:val="en-US" w:eastAsia="zh-CN" w:bidi="ar"/>
        </w:rPr>
        <w:t>万元。从评价情况来看，</w:t>
      </w:r>
      <w:r>
        <w:rPr>
          <w:rFonts w:hint="eastAsia" w:ascii="仿宋_GB2312" w:eastAsia="仿宋_GB2312" w:cs="仿宋_GB2312"/>
          <w:b w:val="0"/>
          <w:bCs w:val="0"/>
          <w:caps w:val="0"/>
          <w:color w:val="auto"/>
          <w:kern w:val="0"/>
          <w:sz w:val="32"/>
          <w:szCs w:val="32"/>
          <w:vertAlign w:val="baseline"/>
          <w:lang w:val="en-US" w:eastAsia="zh-CN" w:bidi="ar"/>
        </w:rPr>
        <w:t>整体运行正常，各项工作有序开展。</w:t>
      </w:r>
    </w:p>
    <w:p>
      <w:pPr>
        <w:keepNext w:val="0"/>
        <w:keepLines w:val="0"/>
        <w:pageBreakBefore w:val="0"/>
        <w:widowControl w:val="0"/>
        <w:numPr>
          <w:ilvl w:val="0"/>
          <w:numId w:val="4"/>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财政绩效评价结</w:t>
      </w:r>
      <w:r>
        <w:rPr>
          <w:rFonts w:hint="eastAsia" w:ascii="仿宋_GB2312" w:eastAsia="仿宋_GB2312" w:cs="仿宋_GB2312"/>
          <w:caps w:val="0"/>
          <w:color w:val="auto"/>
          <w:kern w:val="0"/>
          <w:sz w:val="32"/>
          <w:szCs w:val="32"/>
          <w:vertAlign w:val="baseline"/>
          <w:lang w:val="en-US" w:eastAsia="zh-CN" w:bidi="ar"/>
        </w:rPr>
        <w:t>果。</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widowControl/>
        <w:suppressLineNumbers w:val="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附环江县司法局项目支出绩效自评表： </w:t>
      </w:r>
    </w:p>
    <w:p>
      <w:pPr>
        <w:keepNext w:val="0"/>
        <w:keepLines w:val="0"/>
        <w:widowControl/>
        <w:suppressLineNumbers w:val="0"/>
        <w:jc w:val="left"/>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object>
          <v:shape id="_x0000_i1025" o:spt="75" alt="" type="#_x0000_t75" style="height:42.75pt;width:166.5pt;" o:ole="t" filled="f" o:preferrelative="t" stroked="f" coordsize="21600,21600">
            <v:path/>
            <v:fill on="f" focussize="0,0"/>
            <v:stroke on="f"/>
            <v:imagedata r:id="rId20" o:title=""/>
            <o:lock v:ext="edit" aspectratio="t"/>
            <w10:wrap type="none"/>
            <w10:anchorlock/>
          </v:shape>
          <o:OLEObject Type="Embed" ProgID="Package" ShapeID="_x0000_i1025" DrawAspect="Content" ObjectID="_1468075725" r:id="rId19">
            <o:LockedField>false</o:LockedField>
          </o:OLEObject>
        </w:object>
      </w:r>
    </w:p>
    <w:p>
      <w:pPr>
        <w:jc w:val="left"/>
        <w:rPr>
          <w:rFonts w:hint="eastAsia" w:ascii="仿宋" w:hAnsi="仿宋" w:eastAsia="仿宋" w:cs="仿宋"/>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E558DAF4"/>
    <w:multiLevelType w:val="singleLevel"/>
    <w:tmpl w:val="E558DAF4"/>
    <w:lvl w:ilvl="0" w:tentative="0">
      <w:start w:val="2"/>
      <w:numFmt w:val="decimal"/>
      <w:suff w:val="nothing"/>
      <w:lvlText w:val="（%1）"/>
      <w:lvlJc w:val="left"/>
    </w:lvl>
  </w:abstractNum>
  <w:abstractNum w:abstractNumId="3">
    <w:nsid w:val="4295485C"/>
    <w:multiLevelType w:val="singleLevel"/>
    <w:tmpl w:val="4295485C"/>
    <w:lvl w:ilvl="0" w:tentative="0">
      <w:start w:val="4"/>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E24B52"/>
    <w:rsid w:val="04E54546"/>
    <w:rsid w:val="05992762"/>
    <w:rsid w:val="05DE2131"/>
    <w:rsid w:val="0691008A"/>
    <w:rsid w:val="07B0770E"/>
    <w:rsid w:val="0942143F"/>
    <w:rsid w:val="0D100297"/>
    <w:rsid w:val="0D202B45"/>
    <w:rsid w:val="0F8D4C87"/>
    <w:rsid w:val="10505FAA"/>
    <w:rsid w:val="105F7E7E"/>
    <w:rsid w:val="11E56B5B"/>
    <w:rsid w:val="125C77AB"/>
    <w:rsid w:val="14B7278A"/>
    <w:rsid w:val="14CB726E"/>
    <w:rsid w:val="16384C47"/>
    <w:rsid w:val="17E92249"/>
    <w:rsid w:val="18D304F1"/>
    <w:rsid w:val="19F32577"/>
    <w:rsid w:val="19F45B80"/>
    <w:rsid w:val="1B0C078D"/>
    <w:rsid w:val="1B2B31E2"/>
    <w:rsid w:val="1B4C295A"/>
    <w:rsid w:val="1B973C63"/>
    <w:rsid w:val="1BA1001E"/>
    <w:rsid w:val="1BAA20EB"/>
    <w:rsid w:val="1C393D1E"/>
    <w:rsid w:val="1CBE7192"/>
    <w:rsid w:val="1D317259"/>
    <w:rsid w:val="1E664F5B"/>
    <w:rsid w:val="1EB34BE1"/>
    <w:rsid w:val="1F680DB1"/>
    <w:rsid w:val="215E639F"/>
    <w:rsid w:val="21EC3183"/>
    <w:rsid w:val="225E72CD"/>
    <w:rsid w:val="231B2164"/>
    <w:rsid w:val="246E2F77"/>
    <w:rsid w:val="249F6523"/>
    <w:rsid w:val="254B4E2B"/>
    <w:rsid w:val="26814F8E"/>
    <w:rsid w:val="283D7C94"/>
    <w:rsid w:val="291B12D8"/>
    <w:rsid w:val="29480E03"/>
    <w:rsid w:val="2983634D"/>
    <w:rsid w:val="2BB02055"/>
    <w:rsid w:val="2C575A56"/>
    <w:rsid w:val="2CDC0FB6"/>
    <w:rsid w:val="2DA02DB6"/>
    <w:rsid w:val="2F257714"/>
    <w:rsid w:val="2F3275E5"/>
    <w:rsid w:val="30884679"/>
    <w:rsid w:val="30AA08EF"/>
    <w:rsid w:val="30D23D1C"/>
    <w:rsid w:val="31221CF5"/>
    <w:rsid w:val="31400178"/>
    <w:rsid w:val="321E3342"/>
    <w:rsid w:val="327759C8"/>
    <w:rsid w:val="32FF69F4"/>
    <w:rsid w:val="33185FE3"/>
    <w:rsid w:val="34EE2E36"/>
    <w:rsid w:val="36777241"/>
    <w:rsid w:val="38045CE5"/>
    <w:rsid w:val="38A951DB"/>
    <w:rsid w:val="38B31605"/>
    <w:rsid w:val="39003F4F"/>
    <w:rsid w:val="3C07002B"/>
    <w:rsid w:val="3C1C51AF"/>
    <w:rsid w:val="3D0D152A"/>
    <w:rsid w:val="3DF62756"/>
    <w:rsid w:val="3F1B7587"/>
    <w:rsid w:val="3F307DEC"/>
    <w:rsid w:val="3F8A45CE"/>
    <w:rsid w:val="41E57B4F"/>
    <w:rsid w:val="432F26F6"/>
    <w:rsid w:val="43880F63"/>
    <w:rsid w:val="441C5A6F"/>
    <w:rsid w:val="44C44FCC"/>
    <w:rsid w:val="44CC7369"/>
    <w:rsid w:val="457F5108"/>
    <w:rsid w:val="46951B6B"/>
    <w:rsid w:val="495956E8"/>
    <w:rsid w:val="49A34401"/>
    <w:rsid w:val="4A3E30AB"/>
    <w:rsid w:val="4AC14DAC"/>
    <w:rsid w:val="4D154C85"/>
    <w:rsid w:val="4EC8553A"/>
    <w:rsid w:val="508F4E24"/>
    <w:rsid w:val="5130722E"/>
    <w:rsid w:val="51461E90"/>
    <w:rsid w:val="51463753"/>
    <w:rsid w:val="51E1380A"/>
    <w:rsid w:val="52553A93"/>
    <w:rsid w:val="526418A9"/>
    <w:rsid w:val="527632EF"/>
    <w:rsid w:val="53521F8B"/>
    <w:rsid w:val="538516BE"/>
    <w:rsid w:val="53E22F47"/>
    <w:rsid w:val="54095614"/>
    <w:rsid w:val="54522FF8"/>
    <w:rsid w:val="55450629"/>
    <w:rsid w:val="56692963"/>
    <w:rsid w:val="56850CAE"/>
    <w:rsid w:val="568B0F48"/>
    <w:rsid w:val="56EA6256"/>
    <w:rsid w:val="5786217B"/>
    <w:rsid w:val="59337A15"/>
    <w:rsid w:val="59810274"/>
    <w:rsid w:val="5CA96A00"/>
    <w:rsid w:val="5CF730BC"/>
    <w:rsid w:val="5DA66024"/>
    <w:rsid w:val="5E5F0DCE"/>
    <w:rsid w:val="5FA40A7B"/>
    <w:rsid w:val="5FBE2259"/>
    <w:rsid w:val="5FD56D29"/>
    <w:rsid w:val="5FEC7F3F"/>
    <w:rsid w:val="60F74BC3"/>
    <w:rsid w:val="617D3BF8"/>
    <w:rsid w:val="61841F6A"/>
    <w:rsid w:val="623007A9"/>
    <w:rsid w:val="637D7558"/>
    <w:rsid w:val="644F19AC"/>
    <w:rsid w:val="65924E55"/>
    <w:rsid w:val="65AA4920"/>
    <w:rsid w:val="65E6758B"/>
    <w:rsid w:val="67694F1E"/>
    <w:rsid w:val="69597934"/>
    <w:rsid w:val="6AA71253"/>
    <w:rsid w:val="6B964DDC"/>
    <w:rsid w:val="6C783074"/>
    <w:rsid w:val="6CF24E97"/>
    <w:rsid w:val="6D9E65C6"/>
    <w:rsid w:val="6DA81947"/>
    <w:rsid w:val="6EB66DE2"/>
    <w:rsid w:val="6ED3075F"/>
    <w:rsid w:val="6EE23D4B"/>
    <w:rsid w:val="6F2A2D4B"/>
    <w:rsid w:val="6F8A0C1E"/>
    <w:rsid w:val="703F45D4"/>
    <w:rsid w:val="70FE5410"/>
    <w:rsid w:val="715D6546"/>
    <w:rsid w:val="71BE069E"/>
    <w:rsid w:val="73684B33"/>
    <w:rsid w:val="73953409"/>
    <w:rsid w:val="73E069A3"/>
    <w:rsid w:val="75113897"/>
    <w:rsid w:val="76417535"/>
    <w:rsid w:val="76A5311B"/>
    <w:rsid w:val="76EE4D7F"/>
    <w:rsid w:val="78104AA8"/>
    <w:rsid w:val="785A753E"/>
    <w:rsid w:val="78E257C5"/>
    <w:rsid w:val="794B35BE"/>
    <w:rsid w:val="7ACC4282"/>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 w:type="paragraph" w:customStyle="1" w:styleId="3">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Emphasis"/>
    <w:basedOn w:val="9"/>
    <w:qFormat/>
    <w:uiPriority w:val="0"/>
    <w:rPr>
      <w:i/>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3487;&#20025;\&#20915;&#31639;\2023&#24180;&#20915;&#31639;&#20844;&#24320;\&#22270;&#24418;&#34920;2023.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E:\&#33487;&#20025;\&#20915;&#31639;\2023&#24180;&#20915;&#31639;&#20844;&#24320;\&#22270;&#24418;&#34920;2023.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3487;&#20025;\&#20915;&#31639;\2023&#24180;&#20915;&#31639;&#20844;&#24320;\&#22270;&#24418;&#34920;202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3487;&#20025;\&#20915;&#31639;\2023&#24180;&#20915;&#31639;&#20844;&#24320;\&#22270;&#24418;&#34920;202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3487;&#20025;\&#20915;&#31639;\2023&#24180;&#20915;&#31639;&#20844;&#24320;\&#22270;&#24418;&#34920;202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3487;&#20025;\&#20915;&#31639;\2023&#24180;&#20915;&#31639;&#20844;&#24320;\&#22270;&#24418;&#34920;202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3487;&#20025;\&#20915;&#31639;\2023&#24180;&#20915;&#31639;&#20844;&#24320;\&#22270;&#24418;&#34920;202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33487;&#20025;\&#20915;&#31639;\2023&#24180;&#20915;&#31639;&#20844;&#24320;\&#22270;&#24418;&#34920;2023.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33487;&#20025;\&#20915;&#31639;\2023&#24180;&#20915;&#31639;&#20844;&#24320;\&#22270;&#24418;&#34920;2023.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33487;&#20025;\&#20915;&#31639;\2023&#24180;&#20915;&#31639;&#20844;&#24320;\&#22270;&#24418;&#349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multiLvlStrRef>
              <c:f>[图形表2023.xlsx]预算收入支出图表!$A$3:$B$4</c:f>
              <c:multiLvlStrCache>
                <c:ptCount val="2"/>
                <c:lvl>
                  <c:pt idx="0">
                    <c:v>一般公共预算财政拨款收入</c:v>
                  </c:pt>
                  <c:pt idx="1">
                    <c:v>其他收入</c:v>
                  </c:pt>
                </c:lvl>
                <c:lvl>
                  <c:pt idx="0">
                    <c:v>1</c:v>
                  </c:pt>
                  <c:pt idx="1">
                    <c:v>2</c:v>
                  </c:pt>
                </c:lvl>
              </c:multiLvlStrCache>
            </c:multiLvlStrRef>
          </c:cat>
          <c:val>
            <c:numRef>
              <c:f>[图形表2023.xlsx]预算收入支出图表!$C$3:$C$4</c:f>
              <c:numCache>
                <c:formatCode>General</c:formatCode>
                <c:ptCount val="2"/>
                <c:pt idx="0">
                  <c:v>1142.95</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[图形表2023.xlsx]对个人和家庭的补助支出!$A$1:$B$4</c:f>
              <c:multiLvlStrCache>
                <c:ptCount val="4"/>
                <c:lvl>
                  <c:pt idx="0">
                    <c:v>抚恤金</c:v>
                  </c:pt>
                  <c:pt idx="1">
                    <c:v>生活补助</c:v>
                  </c:pt>
                  <c:pt idx="2">
                    <c:v>医疗费补助</c:v>
                  </c:pt>
                  <c:pt idx="3">
                    <c:v>其他对个人和家庭的补助</c:v>
                  </c:pt>
                </c:lvl>
                <c:lvl>
                  <c:pt idx="0">
                    <c:v>30304</c:v>
                  </c:pt>
                  <c:pt idx="1">
                    <c:v>30305</c:v>
                  </c:pt>
                  <c:pt idx="2">
                    <c:v>30307</c:v>
                  </c:pt>
                  <c:pt idx="3">
                    <c:v>30399</c:v>
                  </c:pt>
                </c:lvl>
              </c:multiLvlStrCache>
            </c:multiLvlStrRef>
          </c:cat>
          <c:val>
            <c:numRef>
              <c:f>[图形表2023.xlsx]对个人和家庭的补助支出!$C$1:$C$4</c:f>
              <c:numCache>
                <c:formatCode>General</c:formatCode>
                <c:ptCount val="4"/>
                <c:pt idx="0">
                  <c:v>25.41</c:v>
                </c:pt>
                <c:pt idx="1">
                  <c:v>43.35</c:v>
                </c:pt>
                <c:pt idx="2">
                  <c:v>0.27</c:v>
                </c:pt>
                <c:pt idx="3">
                  <c:v>0.06</c:v>
                </c:pt>
              </c:numCache>
            </c:numRef>
          </c:val>
        </c:ser>
        <c:dLbls>
          <c:showLegendKey val="0"/>
          <c:showVal val="0"/>
          <c:showCatName val="0"/>
          <c:showSerName val="0"/>
          <c:showPercent val="0"/>
          <c:showBubbleSize val="0"/>
        </c:dLbls>
        <c:gapWidth val="219"/>
        <c:overlap val="-27"/>
        <c:axId val="329092049"/>
        <c:axId val="362188959"/>
      </c:barChart>
      <c:catAx>
        <c:axId val="3290920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188959"/>
        <c:crosses val="autoZero"/>
        <c:auto val="1"/>
        <c:lblAlgn val="ctr"/>
        <c:lblOffset val="100"/>
        <c:noMultiLvlLbl val="0"/>
      </c:catAx>
      <c:valAx>
        <c:axId val="362188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09204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manualLayout>
          <c:xMode val="edge"/>
          <c:yMode val="edge"/>
          <c:x val="0.386666666666667"/>
          <c:y val="0.0451388888888889"/>
        </c:manualLayout>
      </c:layout>
      <c:overlay val="0"/>
      <c:spPr>
        <a:noFill/>
        <a:ln>
          <a:noFill/>
        </a:ln>
        <a:effectLst/>
      </c:spPr>
    </c:title>
    <c:autoTitleDeleted val="0"/>
    <c:plotArea>
      <c:layout/>
      <c:barChart>
        <c:barDir val="col"/>
        <c:grouping val="clustered"/>
        <c:varyColors val="0"/>
        <c:ser>
          <c:idx val="0"/>
          <c:order val="0"/>
          <c:tx>
            <c:strRef>
              <c:f>[图形表2023.xlsx]支出决算图表!$B$1</c:f>
              <c:strCache>
                <c:ptCount val="1"/>
                <c:pt idx="0">
                  <c:v>2023年</c:v>
                </c:pt>
              </c:strCache>
            </c:strRef>
          </c:tx>
          <c:spPr>
            <a:solidFill>
              <a:schemeClr val="accent1"/>
            </a:solidFill>
            <a:ln>
              <a:noFill/>
            </a:ln>
            <a:effectLst/>
          </c:spPr>
          <c:invertIfNegative val="0"/>
          <c:dLbls>
            <c:delete val="1"/>
          </c:dLbls>
          <c:cat>
            <c:strRef>
              <c:f>[图形表2023.xlsx]支出决算图表!$A$2:$A$8</c:f>
              <c:strCache>
                <c:ptCount val="7"/>
                <c:pt idx="0">
                  <c:v>一般公共服务支出</c:v>
                </c:pt>
                <c:pt idx="1">
                  <c:v>公共安全支出</c:v>
                </c:pt>
                <c:pt idx="2">
                  <c:v>科学技术支出</c:v>
                </c:pt>
                <c:pt idx="3">
                  <c:v>社会保障和就业支出</c:v>
                </c:pt>
                <c:pt idx="4">
                  <c:v>城乡社区支出</c:v>
                </c:pt>
                <c:pt idx="5">
                  <c:v>住房保障支出</c:v>
                </c:pt>
                <c:pt idx="6">
                  <c:v>其他支出</c:v>
                </c:pt>
              </c:strCache>
            </c:strRef>
          </c:cat>
          <c:val>
            <c:numRef>
              <c:f>[图形表2023.xlsx]支出决算图表!$B$2:$B$8</c:f>
              <c:numCache>
                <c:formatCode>General</c:formatCode>
                <c:ptCount val="7"/>
                <c:pt idx="0">
                  <c:v>9.61</c:v>
                </c:pt>
                <c:pt idx="1">
                  <c:v>782.73</c:v>
                </c:pt>
                <c:pt idx="2">
                  <c:v>17</c:v>
                </c:pt>
                <c:pt idx="3">
                  <c:v>66.99</c:v>
                </c:pt>
                <c:pt idx="4">
                  <c:v>128</c:v>
                </c:pt>
                <c:pt idx="5">
                  <c:v>50.24</c:v>
                </c:pt>
                <c:pt idx="6">
                  <c:v>88.38</c:v>
                </c:pt>
              </c:numCache>
            </c:numRef>
          </c:val>
        </c:ser>
        <c:ser>
          <c:idx val="1"/>
          <c:order val="1"/>
          <c:tx>
            <c:strRef>
              <c:f>[图形表2023.xlsx]支出决算图表!$C$1</c:f>
              <c:strCache>
                <c:ptCount val="1"/>
                <c:pt idx="0">
                  <c:v>2022年</c:v>
                </c:pt>
              </c:strCache>
            </c:strRef>
          </c:tx>
          <c:spPr>
            <a:solidFill>
              <a:schemeClr val="accent2"/>
            </a:solidFill>
            <a:ln>
              <a:noFill/>
            </a:ln>
            <a:effectLst/>
          </c:spPr>
          <c:invertIfNegative val="0"/>
          <c:dLbls>
            <c:delete val="1"/>
          </c:dLbls>
          <c:cat>
            <c:strRef>
              <c:f>[图形表2023.xlsx]支出决算图表!$A$2:$A$8</c:f>
              <c:strCache>
                <c:ptCount val="7"/>
                <c:pt idx="0">
                  <c:v>一般公共服务支出</c:v>
                </c:pt>
                <c:pt idx="1">
                  <c:v>公共安全支出</c:v>
                </c:pt>
                <c:pt idx="2">
                  <c:v>科学技术支出</c:v>
                </c:pt>
                <c:pt idx="3">
                  <c:v>社会保障和就业支出</c:v>
                </c:pt>
                <c:pt idx="4">
                  <c:v>城乡社区支出</c:v>
                </c:pt>
                <c:pt idx="5">
                  <c:v>住房保障支出</c:v>
                </c:pt>
                <c:pt idx="6">
                  <c:v>其他支出</c:v>
                </c:pt>
              </c:strCache>
            </c:strRef>
          </c:cat>
          <c:val>
            <c:numRef>
              <c:f>[图形表2023.xlsx]支出决算图表!$C$2:$C$8</c:f>
              <c:numCache>
                <c:formatCode>General</c:formatCode>
                <c:ptCount val="7"/>
                <c:pt idx="0">
                  <c:v>10.44</c:v>
                </c:pt>
                <c:pt idx="1">
                  <c:v>1046.56</c:v>
                </c:pt>
                <c:pt idx="3">
                  <c:v>66.79</c:v>
                </c:pt>
                <c:pt idx="5">
                  <c:v>55.96</c:v>
                </c:pt>
                <c:pt idx="6">
                  <c:v>112.98</c:v>
                </c:pt>
              </c:numCache>
            </c:numRef>
          </c:val>
        </c:ser>
        <c:dLbls>
          <c:showLegendKey val="0"/>
          <c:showVal val="0"/>
          <c:showCatName val="0"/>
          <c:showSerName val="0"/>
          <c:showPercent val="0"/>
          <c:showBubbleSize val="0"/>
        </c:dLbls>
        <c:gapWidth val="219"/>
        <c:overlap val="-27"/>
        <c:axId val="581778009"/>
        <c:axId val="944942823"/>
      </c:barChart>
      <c:catAx>
        <c:axId val="5817780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942823"/>
        <c:crosses val="autoZero"/>
        <c:auto val="1"/>
        <c:lblAlgn val="ctr"/>
        <c:lblOffset val="100"/>
        <c:noMultiLvlLbl val="0"/>
      </c:catAx>
      <c:valAx>
        <c:axId val="944942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7780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tx>
            <c:strRef>
              <c:f>[图形表2023.xlsx]一般公共服务支出!$A$2:$B$2</c:f>
              <c:strCache>
                <c:ptCount val="1"/>
                <c:pt idx="0">
                  <c:v>2012999 一般公共服务支出</c:v>
                </c:pt>
              </c:strCache>
            </c:strRef>
          </c:tx>
          <c:spPr>
            <a:solidFill>
              <a:schemeClr val="accent1"/>
            </a:solidFill>
            <a:ln>
              <a:noFill/>
            </a:ln>
            <a:effectLst/>
          </c:spPr>
          <c:invertIfNegative val="0"/>
          <c:dLbls>
            <c:delete val="1"/>
          </c:dLbls>
          <c:cat>
            <c:numRef>
              <c:f>[图形表2023.xlsx]一般公共服务支出!$C$1</c:f>
              <c:numCache>
                <c:formatCode>General</c:formatCode>
                <c:ptCount val="1"/>
                <c:pt idx="0">
                  <c:v>2012999</c:v>
                </c:pt>
              </c:numCache>
            </c:numRef>
          </c:cat>
          <c:val>
            <c:numRef>
              <c:f>[图形表2023.xlsx]一般公共服务支出!$C$2</c:f>
              <c:numCache>
                <c:formatCode>General</c:formatCode>
                <c:ptCount val="1"/>
                <c:pt idx="0">
                  <c:v>9.61</c:v>
                </c:pt>
              </c:numCache>
            </c:numRef>
          </c:val>
        </c:ser>
        <c:dLbls>
          <c:showLegendKey val="0"/>
          <c:showVal val="0"/>
          <c:showCatName val="0"/>
          <c:showSerName val="0"/>
          <c:showPercent val="0"/>
          <c:showBubbleSize val="0"/>
        </c:dLbls>
        <c:gapWidth val="219"/>
        <c:overlap val="-27"/>
        <c:axId val="607574603"/>
        <c:axId val="982701077"/>
      </c:barChart>
      <c:catAx>
        <c:axId val="6075746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701077"/>
        <c:crosses val="autoZero"/>
        <c:auto val="1"/>
        <c:lblAlgn val="ctr"/>
        <c:lblOffset val="100"/>
        <c:noMultiLvlLbl val="0"/>
      </c:catAx>
      <c:valAx>
        <c:axId val="98270107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5746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公共安全支出</a:t>
            </a:r>
          </a:p>
        </c:rich>
      </c:tx>
      <c:layout>
        <c:manualLayout>
          <c:xMode val="edge"/>
          <c:yMode val="edge"/>
          <c:x val="0.408194444444444"/>
          <c:y val="0.0277777777777778"/>
        </c:manualLayout>
      </c:layout>
      <c:overlay val="0"/>
      <c:spPr>
        <a:noFill/>
        <a:ln>
          <a:noFill/>
        </a:ln>
        <a:effectLst/>
      </c:spPr>
    </c:title>
    <c:autoTitleDeleted val="0"/>
    <c:plotArea>
      <c:layout/>
      <c:barChart>
        <c:barDir val="col"/>
        <c:grouping val="clustered"/>
        <c:varyColors val="0"/>
        <c:ser>
          <c:idx val="0"/>
          <c:order val="0"/>
          <c:tx>
            <c:strRef>
              <c:f>[图形表2023.xlsx]公共安全支出!#REF!</c:f>
              <c:strCache>
                <c:ptCount val="1"/>
                <c:pt idx="0">
                  <c:v/>
                </c:pt>
              </c:strCache>
            </c:strRef>
          </c:tx>
          <c:spPr>
            <a:solidFill>
              <a:schemeClr val="accent1"/>
            </a:solidFill>
            <a:ln>
              <a:noFill/>
            </a:ln>
            <a:effectLst/>
          </c:spPr>
          <c:invertIfNegative val="0"/>
          <c:dLbls>
            <c:delete val="1"/>
          </c:dLbls>
          <c:cat>
            <c:numRef>
              <c:f>[图形表2023.xlsx]公共安全支出!$A$2:$A$6</c:f>
              <c:numCache>
                <c:formatCode>General</c:formatCode>
                <c:ptCount val="5"/>
                <c:pt idx="0">
                  <c:v>2040601</c:v>
                </c:pt>
                <c:pt idx="1">
                  <c:v>2040604</c:v>
                </c:pt>
                <c:pt idx="2">
                  <c:v>2040607</c:v>
                </c:pt>
                <c:pt idx="3">
                  <c:v>2040610</c:v>
                </c:pt>
                <c:pt idx="4">
                  <c:v>2040699</c:v>
                </c:pt>
              </c:numCache>
            </c:numRef>
          </c:cat>
          <c:val>
            <c:numRef>
              <c:f>[图形表2023.xlsx]公共安全支出!#REF!</c:f>
              <c:numCache>
                <c:formatCode>General</c:formatCode>
                <c:ptCount val="1"/>
                <c:pt idx="0">
                  <c:v>1</c:v>
                </c:pt>
              </c:numCache>
            </c:numRef>
          </c:val>
        </c:ser>
        <c:ser>
          <c:idx val="1"/>
          <c:order val="1"/>
          <c:tx>
            <c:strRef>
              <c:f>[图形表2023.xlsx]公共安全支出!$B$1</c:f>
              <c:strCache>
                <c:ptCount val="1"/>
                <c:pt idx="0">
                  <c:v>决算</c:v>
                </c:pt>
              </c:strCache>
            </c:strRef>
          </c:tx>
          <c:spPr>
            <a:solidFill>
              <a:schemeClr val="accent2"/>
            </a:solidFill>
            <a:ln>
              <a:noFill/>
            </a:ln>
            <a:effectLst/>
          </c:spPr>
          <c:invertIfNegative val="0"/>
          <c:dLbls>
            <c:delete val="1"/>
          </c:dLbls>
          <c:cat>
            <c:numRef>
              <c:f>[图形表2023.xlsx]公共安全支出!$A$2:$A$6</c:f>
              <c:numCache>
                <c:formatCode>General</c:formatCode>
                <c:ptCount val="5"/>
                <c:pt idx="0">
                  <c:v>2040601</c:v>
                </c:pt>
                <c:pt idx="1">
                  <c:v>2040604</c:v>
                </c:pt>
                <c:pt idx="2">
                  <c:v>2040607</c:v>
                </c:pt>
                <c:pt idx="3">
                  <c:v>2040610</c:v>
                </c:pt>
                <c:pt idx="4">
                  <c:v>2040699</c:v>
                </c:pt>
              </c:numCache>
            </c:numRef>
          </c:cat>
          <c:val>
            <c:numRef>
              <c:f>[图形表2023.xlsx]公共安全支出!$B$2:$B$6</c:f>
              <c:numCache>
                <c:formatCode>General</c:formatCode>
                <c:ptCount val="5"/>
                <c:pt idx="0">
                  <c:v>641.15</c:v>
                </c:pt>
                <c:pt idx="1">
                  <c:v>29.92</c:v>
                </c:pt>
                <c:pt idx="2">
                  <c:v>4.12</c:v>
                </c:pt>
                <c:pt idx="3">
                  <c:v>28</c:v>
                </c:pt>
                <c:pt idx="4">
                  <c:v>79.55</c:v>
                </c:pt>
              </c:numCache>
            </c:numRef>
          </c:val>
        </c:ser>
        <c:dLbls>
          <c:showLegendKey val="0"/>
          <c:showVal val="0"/>
          <c:showCatName val="0"/>
          <c:showSerName val="0"/>
          <c:showPercent val="0"/>
          <c:showBubbleSize val="0"/>
        </c:dLbls>
        <c:gapWidth val="219"/>
        <c:overlap val="-27"/>
        <c:axId val="780900338"/>
        <c:axId val="573620392"/>
      </c:barChart>
      <c:catAx>
        <c:axId val="7809003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620392"/>
        <c:crosses val="autoZero"/>
        <c:auto val="1"/>
        <c:lblAlgn val="ctr"/>
        <c:lblOffset val="100"/>
        <c:noMultiLvlLbl val="0"/>
      </c:catAx>
      <c:valAx>
        <c:axId val="573620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9003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其他科学技术支出</a:t>
            </a:r>
          </a:p>
        </c:rich>
      </c:tx>
      <c:layout/>
      <c:overlay val="0"/>
      <c:spPr>
        <a:noFill/>
        <a:ln>
          <a:noFill/>
        </a:ln>
        <a:effectLst/>
      </c:spPr>
    </c:title>
    <c:autoTitleDeleted val="0"/>
    <c:plotArea>
      <c:layout/>
      <c:barChart>
        <c:barDir val="col"/>
        <c:grouping val="clustered"/>
        <c:varyColors val="0"/>
        <c:ser>
          <c:idx val="0"/>
          <c:order val="0"/>
          <c:tx>
            <c:strRef>
              <c:f>[图形表2023.xlsx]其他科学技术支出!$A$2:$B$2</c:f>
              <c:strCache>
                <c:ptCount val="1"/>
                <c:pt idx="0">
                  <c:v>2069999 其他科学技术支出</c:v>
                </c:pt>
              </c:strCache>
            </c:strRef>
          </c:tx>
          <c:spPr>
            <a:solidFill>
              <a:schemeClr val="accent1"/>
            </a:solidFill>
            <a:ln>
              <a:noFill/>
            </a:ln>
            <a:effectLst/>
          </c:spPr>
          <c:invertIfNegative val="0"/>
          <c:dLbls>
            <c:delete val="1"/>
          </c:dLbls>
          <c:cat>
            <c:numRef>
              <c:f>[图形表2023.xlsx]其他科学技术支出!$C$1</c:f>
              <c:numCache>
                <c:formatCode>General</c:formatCode>
                <c:ptCount val="1"/>
                <c:pt idx="0">
                  <c:v>2069999</c:v>
                </c:pt>
              </c:numCache>
            </c:numRef>
          </c:cat>
          <c:val>
            <c:numRef>
              <c:f>[图形表2023.xlsx]其他科学技术支出!$C$2</c:f>
              <c:numCache>
                <c:formatCode>General</c:formatCode>
                <c:ptCount val="1"/>
                <c:pt idx="0">
                  <c:v>17</c:v>
                </c:pt>
              </c:numCache>
            </c:numRef>
          </c:val>
        </c:ser>
        <c:dLbls>
          <c:showLegendKey val="0"/>
          <c:showVal val="0"/>
          <c:showCatName val="0"/>
          <c:showSerName val="0"/>
          <c:showPercent val="0"/>
          <c:showBubbleSize val="0"/>
        </c:dLbls>
        <c:gapWidth val="219"/>
        <c:overlap val="-27"/>
        <c:axId val="332982289"/>
        <c:axId val="299110836"/>
      </c:barChart>
      <c:catAx>
        <c:axId val="3329822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110836"/>
        <c:crosses val="autoZero"/>
        <c:auto val="1"/>
        <c:lblAlgn val="ctr"/>
        <c:lblOffset val="100"/>
        <c:noMultiLvlLbl val="0"/>
      </c:catAx>
      <c:valAx>
        <c:axId val="2991108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9822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社会保障和就业支出</a:t>
            </a:r>
          </a:p>
        </c:rich>
      </c:tx>
      <c:layout/>
      <c:overlay val="0"/>
      <c:spPr>
        <a:noFill/>
        <a:ln>
          <a:noFill/>
        </a:ln>
        <a:effectLst/>
      </c:spPr>
    </c:title>
    <c:autoTitleDeleted val="0"/>
    <c:plotArea>
      <c:layout/>
      <c:barChart>
        <c:barDir val="col"/>
        <c:grouping val="clustered"/>
        <c:varyColors val="0"/>
        <c:ser>
          <c:idx val="0"/>
          <c:order val="0"/>
          <c:tx>
            <c:strRef>
              <c:f>[图形表2023.xlsx]社会保障和就业支出!$A$2:$B$2</c:f>
              <c:strCache>
                <c:ptCount val="1"/>
                <c:pt idx="0">
                  <c:v>2080505 机关事业单位基本养老保险缴费支出</c:v>
                </c:pt>
              </c:strCache>
            </c:strRef>
          </c:tx>
          <c:spPr>
            <a:solidFill>
              <a:schemeClr val="accent1"/>
            </a:solidFill>
            <a:ln>
              <a:noFill/>
            </a:ln>
            <a:effectLst/>
          </c:spPr>
          <c:invertIfNegative val="0"/>
          <c:dLbls>
            <c:delete val="1"/>
          </c:dLbls>
          <c:cat>
            <c:numRef>
              <c:f>[图形表2023.xlsx]社会保障和就业支出!$C$1</c:f>
              <c:numCache>
                <c:formatCode>General</c:formatCode>
                <c:ptCount val="1"/>
                <c:pt idx="0">
                  <c:v>2080505</c:v>
                </c:pt>
              </c:numCache>
            </c:numRef>
          </c:cat>
          <c:val>
            <c:numRef>
              <c:f>[图形表2023.xlsx]社会保障和就业支出!$C$2</c:f>
              <c:numCache>
                <c:formatCode>General</c:formatCode>
                <c:ptCount val="1"/>
                <c:pt idx="0">
                  <c:v>66.99</c:v>
                </c:pt>
              </c:numCache>
            </c:numRef>
          </c:val>
        </c:ser>
        <c:dLbls>
          <c:showLegendKey val="0"/>
          <c:showVal val="0"/>
          <c:showCatName val="0"/>
          <c:showSerName val="0"/>
          <c:showPercent val="0"/>
          <c:showBubbleSize val="0"/>
        </c:dLbls>
        <c:gapWidth val="219"/>
        <c:overlap val="-27"/>
        <c:axId val="575303769"/>
        <c:axId val="590163066"/>
      </c:barChart>
      <c:catAx>
        <c:axId val="5753037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163066"/>
        <c:crosses val="autoZero"/>
        <c:auto val="1"/>
        <c:lblAlgn val="ctr"/>
        <c:lblOffset val="100"/>
        <c:noMultiLvlLbl val="0"/>
      </c:catAx>
      <c:valAx>
        <c:axId val="5901630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30376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住房保障支出</a:t>
            </a:r>
          </a:p>
        </c:rich>
      </c:tx>
      <c:layout/>
      <c:overlay val="0"/>
      <c:spPr>
        <a:noFill/>
        <a:ln>
          <a:noFill/>
        </a:ln>
        <a:effectLst/>
      </c:spPr>
    </c:title>
    <c:autoTitleDeleted val="0"/>
    <c:plotArea>
      <c:layout/>
      <c:barChart>
        <c:barDir val="col"/>
        <c:grouping val="clustered"/>
        <c:varyColors val="0"/>
        <c:ser>
          <c:idx val="0"/>
          <c:order val="0"/>
          <c:tx>
            <c:strRef>
              <c:f>[图形表2023.xlsx]住房保障支出!$A$2:$B$2</c:f>
              <c:strCache>
                <c:ptCount val="1"/>
                <c:pt idx="0">
                  <c:v>2210201 住房公积金</c:v>
                </c:pt>
              </c:strCache>
            </c:strRef>
          </c:tx>
          <c:spPr>
            <a:solidFill>
              <a:schemeClr val="accent1"/>
            </a:solidFill>
            <a:ln>
              <a:noFill/>
            </a:ln>
            <a:effectLst/>
          </c:spPr>
          <c:invertIfNegative val="0"/>
          <c:dLbls>
            <c:delete val="1"/>
          </c:dLbls>
          <c:cat>
            <c:numRef>
              <c:f>[图形表2023.xlsx]住房保障支出!$C$1</c:f>
              <c:numCache>
                <c:formatCode>General</c:formatCode>
                <c:ptCount val="1"/>
                <c:pt idx="0">
                  <c:v>2210201</c:v>
                </c:pt>
              </c:numCache>
            </c:numRef>
          </c:cat>
          <c:val>
            <c:numRef>
              <c:f>[图形表2023.xlsx]住房保障支出!$C$2</c:f>
              <c:numCache>
                <c:formatCode>General</c:formatCode>
                <c:ptCount val="1"/>
                <c:pt idx="0">
                  <c:v>50.24</c:v>
                </c:pt>
              </c:numCache>
            </c:numRef>
          </c:val>
        </c:ser>
        <c:dLbls>
          <c:showLegendKey val="0"/>
          <c:showVal val="0"/>
          <c:showCatName val="0"/>
          <c:showSerName val="0"/>
          <c:showPercent val="0"/>
          <c:showBubbleSize val="0"/>
        </c:dLbls>
        <c:gapWidth val="219"/>
        <c:overlap val="-27"/>
        <c:axId val="955447494"/>
        <c:axId val="888163867"/>
      </c:barChart>
      <c:catAx>
        <c:axId val="9554474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163867"/>
        <c:crosses val="autoZero"/>
        <c:auto val="1"/>
        <c:lblAlgn val="ctr"/>
        <c:lblOffset val="100"/>
        <c:noMultiLvlLbl val="0"/>
      </c:catAx>
      <c:valAx>
        <c:axId val="8881638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4474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工资福利支出</a:t>
            </a:r>
          </a:p>
        </c:rich>
      </c:tx>
      <c:layout>
        <c:manualLayout>
          <c:xMode val="edge"/>
          <c:yMode val="edge"/>
          <c:x val="0.410277777777778"/>
          <c:y val="0.034722222222222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[图形表2023.xlsx]工资福利支出!$A$2:$B$10</c:f>
              <c:multiLvlStrCache>
                <c:ptCount val="9"/>
                <c:lvl>
                  <c:pt idx="0">
                    <c:v>基本工资</c:v>
                  </c:pt>
                  <c:pt idx="1">
                    <c:v>津贴补贴</c:v>
                  </c:pt>
                  <c:pt idx="2">
                    <c:v>奖金</c:v>
                  </c:pt>
                  <c:pt idx="3">
                    <c:v>绩效工资</c:v>
                  </c:pt>
                  <c:pt idx="4">
                    <c:v>机关事业单位基本养老保险缴费</c:v>
                  </c:pt>
                  <c:pt idx="5">
                    <c:v>职工基本医疗保险缴费</c:v>
                  </c:pt>
                  <c:pt idx="6">
                    <c:v>其他社会保障缴费</c:v>
                  </c:pt>
                  <c:pt idx="7">
                    <c:v>住房公积金</c:v>
                  </c:pt>
                  <c:pt idx="8">
                    <c:v>其他工资福利支出</c:v>
                  </c:pt>
                </c:lvl>
                <c:lvl>
                  <c:pt idx="0">
                    <c:v>30101</c:v>
                  </c:pt>
                  <c:pt idx="1">
                    <c:v>30102</c:v>
                  </c:pt>
                  <c:pt idx="2">
                    <c:v>30103</c:v>
                  </c:pt>
                  <c:pt idx="3">
                    <c:v>30107</c:v>
                  </c:pt>
                  <c:pt idx="4">
                    <c:v>30108</c:v>
                  </c:pt>
                  <c:pt idx="5">
                    <c:v>30110</c:v>
                  </c:pt>
                  <c:pt idx="6">
                    <c:v>30112</c:v>
                  </c:pt>
                  <c:pt idx="7">
                    <c:v>30113</c:v>
                  </c:pt>
                  <c:pt idx="8">
                    <c:v>30199</c:v>
                  </c:pt>
                </c:lvl>
              </c:multiLvlStrCache>
            </c:multiLvlStrRef>
          </c:cat>
          <c:val>
            <c:numRef>
              <c:f>[图形表2023.xlsx]工资福利支出!$C$2:$C$10</c:f>
              <c:numCache>
                <c:formatCode>General</c:formatCode>
                <c:ptCount val="9"/>
                <c:pt idx="0">
                  <c:v>176.39</c:v>
                </c:pt>
                <c:pt idx="1">
                  <c:v>150.34</c:v>
                </c:pt>
                <c:pt idx="2">
                  <c:v>219.75</c:v>
                </c:pt>
                <c:pt idx="3">
                  <c:v>7.96</c:v>
                </c:pt>
                <c:pt idx="4">
                  <c:v>66.99</c:v>
                </c:pt>
                <c:pt idx="5">
                  <c:v>26.9</c:v>
                </c:pt>
                <c:pt idx="6">
                  <c:v>1.42</c:v>
                </c:pt>
                <c:pt idx="7">
                  <c:v>50.24</c:v>
                </c:pt>
                <c:pt idx="8">
                  <c:v>1.15</c:v>
                </c:pt>
              </c:numCache>
            </c:numRef>
          </c:val>
        </c:ser>
        <c:dLbls>
          <c:showLegendKey val="0"/>
          <c:showVal val="0"/>
          <c:showCatName val="0"/>
          <c:showSerName val="0"/>
          <c:showPercent val="0"/>
          <c:showBubbleSize val="0"/>
        </c:dLbls>
        <c:gapWidth val="219"/>
        <c:overlap val="-27"/>
        <c:axId val="245551833"/>
        <c:axId val="972071731"/>
      </c:barChart>
      <c:catAx>
        <c:axId val="2455518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2071731"/>
        <c:crosses val="autoZero"/>
        <c:auto val="1"/>
        <c:lblAlgn val="ctr"/>
        <c:lblOffset val="100"/>
        <c:noMultiLvlLbl val="0"/>
      </c:catAx>
      <c:valAx>
        <c:axId val="9720717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5518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商品和服务支出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[图形表2023.xlsx]商品和服务支出!$A$2:$B$11</c:f>
              <c:multiLvlStrCache>
                <c:ptCount val="10"/>
                <c:lvl>
                  <c:pt idx="0">
                    <c:v>办公费</c:v>
                  </c:pt>
                  <c:pt idx="1">
                    <c:v>水费</c:v>
                  </c:pt>
                  <c:pt idx="2">
                    <c:v>电费</c:v>
                  </c:pt>
                  <c:pt idx="3">
                    <c:v>邮电费</c:v>
                  </c:pt>
                  <c:pt idx="4">
                    <c:v>会议费</c:v>
                  </c:pt>
                  <c:pt idx="5">
                    <c:v>培训费</c:v>
                  </c:pt>
                  <c:pt idx="6">
                    <c:v>招待费</c:v>
                  </c:pt>
                  <c:pt idx="7">
                    <c:v>工会经费</c:v>
                  </c:pt>
                  <c:pt idx="8">
                    <c:v>公务用车运行维护费</c:v>
                  </c:pt>
                  <c:pt idx="9">
                    <c:v>其他交通费用</c:v>
                  </c:pt>
                </c:lvl>
                <c:lvl>
                  <c:pt idx="0">
                    <c:v>30201</c:v>
                  </c:pt>
                  <c:pt idx="1">
                    <c:v>30205</c:v>
                  </c:pt>
                  <c:pt idx="2">
                    <c:v>30206</c:v>
                  </c:pt>
                  <c:pt idx="3">
                    <c:v>30207</c:v>
                  </c:pt>
                  <c:pt idx="4">
                    <c:v>30215</c:v>
                  </c:pt>
                  <c:pt idx="5">
                    <c:v>30216</c:v>
                  </c:pt>
                  <c:pt idx="6">
                    <c:v>30217</c:v>
                  </c:pt>
                  <c:pt idx="7">
                    <c:v>30228</c:v>
                  </c:pt>
                  <c:pt idx="8">
                    <c:v>30231</c:v>
                  </c:pt>
                  <c:pt idx="9">
                    <c:v>30239</c:v>
                  </c:pt>
                </c:lvl>
              </c:multiLvlStrCache>
            </c:multiLvlStrRef>
          </c:cat>
          <c:val>
            <c:numRef>
              <c:f>[图形表2023.xlsx]商品和服务支出!$C$2:$C$11</c:f>
              <c:numCache>
                <c:formatCode>General</c:formatCode>
                <c:ptCount val="10"/>
                <c:pt idx="0">
                  <c:v>0.46</c:v>
                </c:pt>
                <c:pt idx="1">
                  <c:v>0.21</c:v>
                </c:pt>
                <c:pt idx="2">
                  <c:v>5.99</c:v>
                </c:pt>
                <c:pt idx="3">
                  <c:v>5.4</c:v>
                </c:pt>
                <c:pt idx="4">
                  <c:v>2.2</c:v>
                </c:pt>
                <c:pt idx="5">
                  <c:v>2.12</c:v>
                </c:pt>
                <c:pt idx="6">
                  <c:v>1.27</c:v>
                </c:pt>
                <c:pt idx="7">
                  <c:v>9.61</c:v>
                </c:pt>
                <c:pt idx="8">
                  <c:v>9.12</c:v>
                </c:pt>
                <c:pt idx="9">
                  <c:v>32.14</c:v>
                </c:pt>
              </c:numCache>
            </c:numRef>
          </c:val>
        </c:ser>
        <c:dLbls>
          <c:showLegendKey val="0"/>
          <c:showVal val="0"/>
          <c:showCatName val="0"/>
          <c:showSerName val="0"/>
          <c:showPercent val="0"/>
          <c:showBubbleSize val="0"/>
        </c:dLbls>
        <c:gapWidth val="219"/>
        <c:overlap val="-27"/>
        <c:axId val="580646867"/>
        <c:axId val="427611010"/>
      </c:barChart>
      <c:catAx>
        <c:axId val="580646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611010"/>
        <c:crosses val="autoZero"/>
        <c:auto val="1"/>
        <c:lblAlgn val="ctr"/>
        <c:lblOffset val="100"/>
        <c:noMultiLvlLbl val="0"/>
      </c:catAx>
      <c:valAx>
        <c:axId val="4276110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468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149</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若羿冰枫</cp:lastModifiedBy>
  <cp:lastPrinted>2023-11-15T09:29:00Z</cp:lastPrinted>
  <dcterms:modified xsi:type="dcterms:W3CDTF">2024-12-24T09:15:32Z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