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环江毛南族自治县投资促进局</w:t>
      </w:r>
      <w:r>
        <w:rPr>
          <w:rFonts w:hint="eastAsia" w:ascii="黑体" w:hAnsi="黑体" w:eastAsia="黑体" w:cs="黑体"/>
          <w:b/>
          <w:bCs/>
          <w:sz w:val="52"/>
          <w:szCs w:val="52"/>
          <w:highlight w:val="none"/>
          <w:lang w:val="en-US" w:eastAsia="zh-CN"/>
        </w:rPr>
        <w:t xml:space="preserve">  2</w:t>
      </w:r>
      <w:r>
        <w:rPr>
          <w:rFonts w:hint="eastAsia" w:ascii="黑体" w:hAnsi="黑体" w:eastAsia="黑体" w:cs="黑体"/>
          <w:b/>
          <w:bCs/>
          <w:sz w:val="52"/>
          <w:szCs w:val="52"/>
          <w:highlight w:val="none"/>
        </w:rPr>
        <w:t>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环江毛南族自治县投资促进局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环江毛南族自治县投资促进局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环江毛南族自治县投资促进局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环江毛南族自治县投资促进局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贯彻执行党和国家以及地方政府有关对外开放和利用外资的方针、政策、法规；研究制订本县对外招商引资的具体办法和措施及有关规范文件草案，报自治县人民政府批准后组织实施。</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参与起草我县招商引资的中长期规划和发展战略，分析我县招商引资状况，提出合理化建议。</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贯彻执行国家和地方政府有关外来投资政策，负责组织全县利用外来资金、技术引进，人才引进、补偿贸易等“三来一补”项目的考案、论证、洽谈、签约。</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4.组织以县名义参加全国性或跨省（区）、跨市跨县的招商引资活动和项目对外合作与交流活动。</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5.负责归口联系、办理和协调全县组团赴区内外举行招商引资活动的工作。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6.负责策划、组织实施全县组团参加区内外重大的投资洽谈活动。</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7.负责管理、协调、指导全县招商引资工作，组织、牵头和协调全县重大招商引资活动。</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8.负责全县招商引资项目的收集、论证、整理和编订，建立与区内外政府招商部门的联系，传递信息和代表自治县人民政府发布我县招商项目公告。</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9.负责整合社会及民间投资项目资源，建立和管理全县招商引资项目数据库，组织开展有关项目前期工作，协调县内有关部门和各个乡（镇）有关项目立项和项目储备工作。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10.负责对外来投资企业的接洽，情况介绍，做好开办审查，登记备案以及项目的协议，合同、章程的履约跟踪督查工作，为外来投资企业协助办理各种证照；负责对外来环江投资企业和外地驻环江办事机构的协调、管理和服务工作，协调解决他们在筹建和生产经营中遇到的困难和问题，落实好自治区、河池市、自治县各种配套优惠政策。</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11.负责全县范围内招商引资的统计、上报工作。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12.积极配合宣传部门，编制对外宣传材料，搞好招商引资的宣传工作。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13.按照县人民政府的安排，做好来访经济代表团、经济能人、项目洽谈及接待工作。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14.承办县委、县府和上级业务主管部门交办的其他工作。</w:t>
      </w:r>
    </w:p>
    <w:p>
      <w:pPr>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15.按照干部管理权限，负责对本单位的干部进行管理、教育和培训，加强对本单位队伍的政治文明建设、精神文明建设和物质文明建设，提高干部队伍整体素质。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left="0" w:firstLine="646"/>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（一）机构设置情况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left="0" w:firstLine="646"/>
        <w:textAlignment w:val="auto"/>
        <w:rPr>
          <w:rFonts w:hint="default"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我部门没有下属单位，按照部门决算编报要求，单独编制本部门决算。环江毛南族</w:t>
      </w:r>
      <w:r>
        <w:rPr>
          <w:rFonts w:hint="default" w:ascii="仿宋" w:hAnsi="仿宋" w:eastAsia="仿宋" w:cs="仿宋"/>
          <w:color w:val="auto"/>
          <w:sz w:val="32"/>
          <w:szCs w:val="32"/>
        </w:rPr>
        <w:t>自治县投资促进局是自治县人民政府直属正科级财政全额拨款、公益一类事业单位，加挂环江毛南族自治县招商引资项目代办服务中心牌子。内设机构：（一）办公室；（二）综合业务股。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left="0" w:firstLine="646"/>
        <w:textAlignment w:val="auto"/>
        <w:rPr>
          <w:rFonts w:hint="default" w:ascii="仿宋" w:hAnsi="仿宋" w:eastAsia="仿宋" w:cs="仿宋"/>
          <w:b/>
          <w:bCs/>
          <w:color w:val="auto"/>
          <w:sz w:val="32"/>
          <w:szCs w:val="32"/>
        </w:rPr>
      </w:pPr>
      <w:r>
        <w:rPr>
          <w:rFonts w:hint="default" w:ascii="仿宋" w:hAnsi="仿宋" w:eastAsia="仿宋" w:cs="仿宋"/>
          <w:b/>
          <w:bCs/>
          <w:color w:val="auto"/>
          <w:sz w:val="32"/>
          <w:szCs w:val="32"/>
        </w:rPr>
        <w:t>（二）人员构成情况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60" w:lineRule="atLeast"/>
        <w:ind w:left="0" w:firstLine="64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人员编制总数为</w:t>
      </w:r>
      <w:r>
        <w:rPr>
          <w:rFonts w:hint="default" w:ascii="仿宋" w:hAnsi="仿宋" w:eastAsia="仿宋" w:cs="仿宋"/>
          <w:color w:val="auto"/>
          <w:sz w:val="32"/>
          <w:szCs w:val="32"/>
        </w:rPr>
        <w:t>6人，其中行政编制0人，事业编制6人，机关后勤服务中心聘用人员控制数0人。实有财政供养人数10人，其中行政在职0人，事业在职</w:t>
      </w:r>
      <w:r>
        <w:rPr>
          <w:rFonts w:hint="eastAsia" w:ascii="仿宋" w:hAnsi="仿宋" w:eastAsia="仿宋" w:cs="仿宋"/>
          <w:color w:val="auto"/>
          <w:sz w:val="32"/>
          <w:szCs w:val="32"/>
          <w:lang w:val="en-US" w:eastAsia="zh-CN"/>
        </w:rPr>
        <w:t>6</w:t>
      </w:r>
      <w:r>
        <w:rPr>
          <w:rFonts w:hint="default" w:ascii="仿宋" w:hAnsi="仿宋" w:eastAsia="仿宋" w:cs="仿宋"/>
          <w:color w:val="auto"/>
          <w:sz w:val="32"/>
          <w:szCs w:val="32"/>
        </w:rPr>
        <w:t>人，离退休人员5人（其中离休0人）。</w:t>
      </w:r>
      <w:r>
        <w:rPr>
          <w:rFonts w:hint="default" w:ascii="仿宋" w:hAnsi="仿宋" w:eastAsia="仿宋" w:cs="仿宋"/>
          <w:color w:val="auto"/>
          <w:sz w:val="32"/>
          <w:szCs w:val="32"/>
          <w:highlight w:val="none"/>
        </w:rPr>
        <w:t>编外在职实有人数</w:t>
      </w:r>
      <w:r>
        <w:rPr>
          <w:rFonts w:hint="eastAsia" w:ascii="仿宋" w:hAnsi="仿宋" w:eastAsia="仿宋" w:cs="仿宋"/>
          <w:color w:val="auto"/>
          <w:sz w:val="32"/>
          <w:szCs w:val="32"/>
          <w:highlight w:val="none"/>
          <w:lang w:val="en-US" w:eastAsia="zh-CN"/>
        </w:rPr>
        <w:t>3</w:t>
      </w:r>
      <w:r>
        <w:rPr>
          <w:rFonts w:hint="default" w:ascii="仿宋" w:hAnsi="仿宋" w:eastAsia="仿宋" w:cs="仿宋"/>
          <w:color w:val="auto"/>
          <w:sz w:val="32"/>
          <w:szCs w:val="32"/>
          <w:highlight w:val="none"/>
        </w:rPr>
        <w:t>人。具体情况如下：正科级领导1人，二级主任科员1人，三级主任科员</w:t>
      </w:r>
      <w:r>
        <w:rPr>
          <w:rFonts w:hint="eastAsia" w:ascii="仿宋" w:hAnsi="仿宋" w:eastAsia="仿宋" w:cs="仿宋"/>
          <w:color w:val="auto"/>
          <w:sz w:val="32"/>
          <w:szCs w:val="32"/>
          <w:highlight w:val="none"/>
          <w:lang w:val="en-US" w:eastAsia="zh-CN"/>
        </w:rPr>
        <w:t>2</w:t>
      </w:r>
      <w:r>
        <w:rPr>
          <w:rFonts w:hint="default" w:ascii="仿宋" w:hAnsi="仿宋" w:eastAsia="仿宋" w:cs="仿宋"/>
          <w:color w:val="auto"/>
          <w:sz w:val="32"/>
          <w:szCs w:val="32"/>
          <w:highlight w:val="none"/>
        </w:rPr>
        <w:t>名，</w:t>
      </w:r>
      <w:r>
        <w:rPr>
          <w:rFonts w:hint="eastAsia" w:ascii="仿宋" w:hAnsi="仿宋" w:eastAsia="仿宋" w:cs="仿宋"/>
          <w:color w:val="auto"/>
          <w:sz w:val="32"/>
          <w:szCs w:val="32"/>
          <w:highlight w:val="none"/>
          <w:lang w:val="en-US" w:eastAsia="zh-CN"/>
        </w:rPr>
        <w:t>新录用公务员2</w:t>
      </w:r>
      <w:r>
        <w:rPr>
          <w:rFonts w:hint="default" w:ascii="仿宋" w:hAnsi="仿宋" w:eastAsia="仿宋" w:cs="仿宋"/>
          <w:color w:val="auto"/>
          <w:sz w:val="32"/>
          <w:szCs w:val="32"/>
          <w:highlight w:val="none"/>
        </w:rPr>
        <w:t>人。</w:t>
      </w:r>
    </w:p>
    <w:p>
      <w:pPr>
        <w:pStyle w:val="5"/>
        <w:keepNext w:val="0"/>
        <w:keepLines w:val="0"/>
        <w:widowControl/>
        <w:suppressLineNumbers w:val="0"/>
        <w:ind w:left="0" w:firstLine="645"/>
        <w:rPr>
          <w:color w:val="666666"/>
        </w:rPr>
      </w:pPr>
    </w:p>
    <w:p>
      <w:pPr>
        <w:ind w:firstLine="640" w:firstLineChars="200"/>
        <w:jc w:val="left"/>
        <w:rPr>
          <w:rFonts w:hint="eastAsia" w:ascii="仿宋" w:hAnsi="仿宋" w:eastAsia="仿宋" w:cs="仿宋"/>
          <w:color w:val="FF0000"/>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环江毛南族自治县投资促进局</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2"/>
          <w:szCs w:val="32"/>
          <w:highlight w:val="none"/>
          <w:lang w:bidi="ar"/>
        </w:rPr>
      </w:pPr>
      <w:r>
        <w:rPr>
          <w:rFonts w:hint="eastAsia" w:ascii="宋体" w:hAnsi="宋体" w:eastAsia="宋体" w:cs="宋体"/>
          <w:color w:val="000000"/>
          <w:kern w:val="0"/>
          <w:sz w:val="32"/>
          <w:szCs w:val="32"/>
          <w:highlight w:val="none"/>
          <w:lang w:val="en-US" w:eastAsia="zh-CN" w:bidi="ar"/>
        </w:rPr>
        <w:t>收入支出决算总表</w:t>
      </w:r>
    </w:p>
    <w:tbl>
      <w:tblPr>
        <w:tblStyle w:val="6"/>
        <w:tblW w:w="13960" w:type="dxa"/>
        <w:tblInd w:w="93" w:type="dxa"/>
        <w:tblLayout w:type="fixed"/>
        <w:tblCellMar>
          <w:top w:w="0" w:type="dxa"/>
          <w:left w:w="108" w:type="dxa"/>
          <w:bottom w:w="0" w:type="dxa"/>
          <w:right w:w="108" w:type="dxa"/>
        </w:tblCellMar>
      </w:tblPr>
      <w:tblGrid>
        <w:gridCol w:w="3"/>
        <w:gridCol w:w="2962"/>
        <w:gridCol w:w="236"/>
        <w:gridCol w:w="236"/>
        <w:gridCol w:w="524"/>
        <w:gridCol w:w="1028"/>
        <w:gridCol w:w="492"/>
        <w:gridCol w:w="384"/>
        <w:gridCol w:w="1069"/>
        <w:gridCol w:w="101"/>
        <w:gridCol w:w="1272"/>
        <w:gridCol w:w="1467"/>
        <w:gridCol w:w="1480"/>
        <w:gridCol w:w="681"/>
        <w:gridCol w:w="914"/>
        <w:gridCol w:w="1114"/>
        <w:gridCol w:w="107"/>
      </w:tblGrid>
      <w:tr>
        <w:tblPrEx>
          <w:tblCellMar>
            <w:top w:w="0" w:type="dxa"/>
            <w:left w:w="108" w:type="dxa"/>
            <w:bottom w:w="0" w:type="dxa"/>
            <w:right w:w="108" w:type="dxa"/>
          </w:tblCellMar>
        </w:tblPrEx>
        <w:trPr>
          <w:gridBefore w:val="1"/>
          <w:gridAfter w:val="1"/>
          <w:trHeight w:val="317" w:hRule="atLeast"/>
        </w:trPr>
        <w:tc>
          <w:tcPr>
            <w:tcW w:w="296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Before w:val="1"/>
          <w:gridAfter w:val="1"/>
          <w:trHeight w:val="317" w:hRule="atLeast"/>
        </w:trPr>
        <w:tc>
          <w:tcPr>
            <w:tcW w:w="6931"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环江毛南族自治县投资促进局</w:t>
            </w:r>
          </w:p>
        </w:tc>
        <w:tc>
          <w:tcPr>
            <w:tcW w:w="137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3"/>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10"/>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109.76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109.76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109.76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7"/>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注：1.本表依据《收入支出决算总表》（财决01表）进行批复。</w:t>
            </w:r>
          </w:p>
        </w:tc>
      </w:tr>
    </w:tbl>
    <w:p>
      <w:pPr>
        <w:rPr>
          <w:rFonts w:hint="eastAsia" w:ascii="宋体" w:hAnsi="宋体" w:eastAsia="宋体" w:cs="宋体"/>
          <w:color w:val="000000"/>
          <w:kern w:val="0"/>
          <w:sz w:val="30"/>
          <w:szCs w:val="30"/>
          <w:highlight w:val="none"/>
          <w:lang w:bidi="ar"/>
        </w:rPr>
      </w:pPr>
    </w:p>
    <w:p>
      <w:pPr>
        <w:rPr>
          <w:rFonts w:hint="eastAsia"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3" w:type="dxa"/>
        <w:tblLayout w:type="fixed"/>
        <w:tblCellMar>
          <w:top w:w="0" w:type="dxa"/>
          <w:left w:w="108" w:type="dxa"/>
          <w:bottom w:w="0" w:type="dxa"/>
          <w:right w:w="108" w:type="dxa"/>
        </w:tblCellMar>
      </w:tblPr>
      <w:tblGrid>
        <w:gridCol w:w="3"/>
        <w:gridCol w:w="987"/>
        <w:gridCol w:w="1975"/>
        <w:gridCol w:w="236"/>
        <w:gridCol w:w="236"/>
        <w:gridCol w:w="524"/>
        <w:gridCol w:w="959"/>
        <w:gridCol w:w="561"/>
        <w:gridCol w:w="1239"/>
        <w:gridCol w:w="214"/>
        <w:gridCol w:w="1373"/>
        <w:gridCol w:w="213"/>
        <w:gridCol w:w="900"/>
        <w:gridCol w:w="354"/>
        <w:gridCol w:w="634"/>
        <w:gridCol w:w="846"/>
        <w:gridCol w:w="189"/>
        <w:gridCol w:w="1155"/>
        <w:gridCol w:w="1230"/>
        <w:gridCol w:w="135"/>
      </w:tblGrid>
      <w:tr>
        <w:tblPrEx>
          <w:tblCellMar>
            <w:top w:w="0" w:type="dxa"/>
            <w:left w:w="108" w:type="dxa"/>
            <w:bottom w:w="0" w:type="dxa"/>
            <w:right w:w="108" w:type="dxa"/>
          </w:tblCellMar>
        </w:tblPrEx>
        <w:trPr>
          <w:gridBefore w:val="1"/>
          <w:trHeight w:val="951" w:hRule="atLeast"/>
        </w:trPr>
        <w:tc>
          <w:tcPr>
            <w:tcW w:w="13960" w:type="dxa"/>
            <w:gridSpan w:val="19"/>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gridBefore w:val="1"/>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gridBefore w:val="1"/>
          <w:trHeight w:val="317" w:hRule="atLeast"/>
        </w:trPr>
        <w:tc>
          <w:tcPr>
            <w:tcW w:w="6931" w:type="dxa"/>
            <w:gridSpan w:val="9"/>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环江毛南族自治县投资促进局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4"/>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88"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3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8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3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8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3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8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405"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405"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1,09.76</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1,09.76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2011308</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84.17</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272"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0.67</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4.19</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7.53</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5.56</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7.64</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13828" w:type="dxa"/>
            <w:gridSpan w:val="1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hint="eastAsia" w:ascii="宋体" w:hAnsi="宋体" w:eastAsia="宋体" w:cs="宋体"/>
          <w:color w:val="000000"/>
          <w:kern w:val="0"/>
          <w:sz w:val="30"/>
          <w:szCs w:val="30"/>
          <w:highlight w:val="none"/>
          <w:lang w:bidi="ar"/>
        </w:rPr>
      </w:pPr>
    </w:p>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3" w:type="dxa"/>
        <w:tblInd w:w="93" w:type="dxa"/>
        <w:tblLayout w:type="fixed"/>
        <w:tblCellMar>
          <w:top w:w="0" w:type="dxa"/>
          <w:left w:w="108" w:type="dxa"/>
          <w:bottom w:w="0" w:type="dxa"/>
          <w:right w:w="108" w:type="dxa"/>
        </w:tblCellMar>
      </w:tblPr>
      <w:tblGrid>
        <w:gridCol w:w="3"/>
        <w:gridCol w:w="987"/>
        <w:gridCol w:w="155"/>
        <w:gridCol w:w="237"/>
        <w:gridCol w:w="303"/>
        <w:gridCol w:w="2222"/>
        <w:gridCol w:w="1013"/>
        <w:gridCol w:w="614"/>
        <w:gridCol w:w="1186"/>
        <w:gridCol w:w="494"/>
        <w:gridCol w:w="1306"/>
        <w:gridCol w:w="454"/>
        <w:gridCol w:w="926"/>
        <w:gridCol w:w="727"/>
        <w:gridCol w:w="293"/>
        <w:gridCol w:w="1361"/>
        <w:gridCol w:w="32"/>
        <w:gridCol w:w="1670"/>
        <w:gridCol w:w="10"/>
      </w:tblGrid>
      <w:tr>
        <w:tblPrEx>
          <w:tblCellMar>
            <w:top w:w="0" w:type="dxa"/>
            <w:left w:w="108" w:type="dxa"/>
            <w:bottom w:w="0" w:type="dxa"/>
            <w:right w:w="108" w:type="dxa"/>
          </w:tblCellMar>
        </w:tblPrEx>
        <w:trPr>
          <w:gridBefore w:val="1"/>
          <w:gridAfter w:val="1"/>
          <w:trHeight w:val="623" w:hRule="atLeast"/>
        </w:trPr>
        <w:tc>
          <w:tcPr>
            <w:tcW w:w="13980" w:type="dxa"/>
            <w:gridSpan w:val="1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gridBefore w:val="1"/>
          <w:gridAfter w:val="1"/>
          <w:trHeight w:val="312" w:hRule="atLeast"/>
        </w:trPr>
        <w:tc>
          <w:tcPr>
            <w:tcW w:w="1142"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gridBefore w:val="1"/>
          <w:gridAfter w:val="1"/>
          <w:trHeight w:val="312" w:hRule="atLeast"/>
        </w:trPr>
        <w:tc>
          <w:tcPr>
            <w:tcW w:w="8971" w:type="dxa"/>
            <w:gridSpan w:val="11"/>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环江毛南族自治县投资促进局</w:t>
            </w:r>
          </w:p>
        </w:tc>
        <w:tc>
          <w:tcPr>
            <w:tcW w:w="1653" w:type="dxa"/>
            <w:gridSpan w:val="2"/>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gridSpan w:val="2"/>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8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9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8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3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3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109.76</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86.07</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23.70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2011308</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84.17</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64.67</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19.51</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0.67</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4.19</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7.53</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5.56</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7.64</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993" w:type="dxa"/>
            <w:gridSpan w:val="1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121"/>
        <w:gridCol w:w="2759"/>
        <w:gridCol w:w="965"/>
        <w:gridCol w:w="56"/>
        <w:gridCol w:w="842"/>
        <w:gridCol w:w="858"/>
        <w:gridCol w:w="605"/>
        <w:gridCol w:w="2465"/>
        <w:gridCol w:w="872"/>
        <w:gridCol w:w="238"/>
        <w:gridCol w:w="757"/>
        <w:gridCol w:w="658"/>
        <w:gridCol w:w="532"/>
        <w:gridCol w:w="1774"/>
        <w:gridCol w:w="313"/>
        <w:gridCol w:w="2032"/>
        <w:gridCol w:w="368"/>
        <w:gridCol w:w="2096"/>
        <w:gridCol w:w="70"/>
      </w:tblGrid>
      <w:tr>
        <w:tblPrEx>
          <w:tblCellMar>
            <w:top w:w="0" w:type="dxa"/>
            <w:left w:w="108" w:type="dxa"/>
            <w:bottom w:w="0" w:type="dxa"/>
            <w:right w:w="108" w:type="dxa"/>
          </w:tblCellMar>
        </w:tblPrEx>
        <w:trPr>
          <w:gridAfter w:val="1"/>
          <w:trHeight w:val="520" w:hRule="atLeast"/>
        </w:trPr>
        <w:tc>
          <w:tcPr>
            <w:tcW w:w="5000" w:type="pct"/>
            <w:gridSpan w:val="1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gridAfter w:val="1"/>
          <w:trHeight w:val="260" w:hRule="atLeast"/>
        </w:trPr>
        <w:tc>
          <w:tcPr>
            <w:tcW w:w="78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gridAfter w:val="1"/>
          <w:trHeight w:val="260" w:hRule="atLeast"/>
        </w:trPr>
        <w:tc>
          <w:tcPr>
            <w:tcW w:w="3057" w:type="pct"/>
            <w:gridSpan w:val="1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环江毛南族自治县投资促进局</w:t>
            </w:r>
          </w:p>
        </w:tc>
        <w:tc>
          <w:tcPr>
            <w:tcW w:w="629"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4678"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360" w:type="dxa"/>
            <w:gridSpan w:val="1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555" w:hRule="atLeast"/>
        </w:trPr>
        <w:tc>
          <w:tcPr>
            <w:tcW w:w="286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56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6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1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0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84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66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555" w:hRule="atLeast"/>
        </w:trPr>
        <w:tc>
          <w:tcPr>
            <w:tcW w:w="286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56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6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0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4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109.76</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84.84</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84.84</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4.19</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4.19</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7.53</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7.53</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trHeight w:val="497"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5.56</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5.56</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7.64</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7.64</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109.76</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109.76</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109.76</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109.76</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109.76</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109.76</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00" w:hRule="atLeast"/>
        </w:trPr>
        <w:tc>
          <w:tcPr>
            <w:tcW w:w="12373" w:type="dxa"/>
            <w:gridSpan w:val="16"/>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665" w:type="dxa"/>
            <w:gridSpan w:val="2"/>
            <w:tcBorders>
              <w:top w:val="single" w:color="000000" w:sz="4" w:space="0"/>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jc w:val="center"/>
        <w:rPr>
          <w:rFonts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4760" w:type="dxa"/>
        <w:tblInd w:w="93" w:type="dxa"/>
        <w:tblLayout w:type="fixed"/>
        <w:tblCellMar>
          <w:top w:w="0" w:type="dxa"/>
          <w:left w:w="108" w:type="dxa"/>
          <w:bottom w:w="0" w:type="dxa"/>
          <w:right w:w="108" w:type="dxa"/>
        </w:tblCellMar>
      </w:tblPr>
      <w:tblGrid>
        <w:gridCol w:w="3"/>
        <w:gridCol w:w="987"/>
        <w:gridCol w:w="1296"/>
        <w:gridCol w:w="238"/>
        <w:gridCol w:w="238"/>
        <w:gridCol w:w="2052"/>
        <w:gridCol w:w="106"/>
        <w:gridCol w:w="3000"/>
        <w:gridCol w:w="67"/>
        <w:gridCol w:w="2813"/>
        <w:gridCol w:w="294"/>
        <w:gridCol w:w="2884"/>
        <w:gridCol w:w="5"/>
      </w:tblGrid>
      <w:tr>
        <w:tblPrEx>
          <w:tblCellMar>
            <w:top w:w="0" w:type="dxa"/>
            <w:left w:w="108" w:type="dxa"/>
            <w:bottom w:w="0" w:type="dxa"/>
            <w:right w:w="108" w:type="dxa"/>
          </w:tblCellMar>
        </w:tblPrEx>
        <w:trPr>
          <w:gridBefore w:val="1"/>
          <w:trHeight w:val="693" w:hRule="atLeast"/>
        </w:trPr>
        <w:tc>
          <w:tcPr>
            <w:tcW w:w="13980"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gridBefore w:val="1"/>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gridBefore w:val="1"/>
          <w:trHeight w:val="346" w:hRule="atLeast"/>
        </w:trPr>
        <w:tc>
          <w:tcPr>
            <w:tcW w:w="7984"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环江毛南族自治县投资促进局</w:t>
            </w:r>
          </w:p>
        </w:tc>
        <w:tc>
          <w:tcPr>
            <w:tcW w:w="3107"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92"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058" w:type="dxa"/>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8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178"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27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3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17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3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17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42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405"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109.76</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86.07</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2011308</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84.17</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64.67</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272"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0.67</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0.67</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4.19</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7.63</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5.56</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7.64</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13978" w:type="dxa"/>
            <w:gridSpan w:val="12"/>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970" w:type="dxa"/>
        <w:tblInd w:w="93" w:type="dxa"/>
        <w:tblLayout w:type="fixed"/>
        <w:tblCellMar>
          <w:top w:w="0" w:type="dxa"/>
          <w:left w:w="108" w:type="dxa"/>
          <w:bottom w:w="0" w:type="dxa"/>
          <w:right w:w="108" w:type="dxa"/>
        </w:tblCellMar>
      </w:tblPr>
      <w:tblGrid>
        <w:gridCol w:w="3"/>
        <w:gridCol w:w="732"/>
        <w:gridCol w:w="375"/>
        <w:gridCol w:w="1918"/>
        <w:gridCol w:w="453"/>
        <w:gridCol w:w="927"/>
        <w:gridCol w:w="179"/>
        <w:gridCol w:w="976"/>
        <w:gridCol w:w="304"/>
        <w:gridCol w:w="1916"/>
        <w:gridCol w:w="431"/>
        <w:gridCol w:w="1009"/>
        <w:gridCol w:w="151"/>
        <w:gridCol w:w="1124"/>
        <w:gridCol w:w="49"/>
        <w:gridCol w:w="2147"/>
        <w:gridCol w:w="24"/>
        <w:gridCol w:w="1275"/>
        <w:gridCol w:w="10"/>
      </w:tblGrid>
      <w:tr>
        <w:tblPrEx>
          <w:tblCellMar>
            <w:top w:w="0" w:type="dxa"/>
            <w:left w:w="108" w:type="dxa"/>
            <w:bottom w:w="0" w:type="dxa"/>
            <w:right w:w="108" w:type="dxa"/>
          </w:tblCellMar>
        </w:tblPrEx>
        <w:trPr>
          <w:gridBefore w:val="1"/>
          <w:trHeight w:val="614" w:hRule="atLeast"/>
        </w:trPr>
        <w:tc>
          <w:tcPr>
            <w:tcW w:w="14000" w:type="dxa"/>
            <w:gridSpan w:val="1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gridBefore w:val="1"/>
          <w:trHeight w:val="307" w:hRule="atLeast"/>
        </w:trPr>
        <w:tc>
          <w:tcPr>
            <w:tcW w:w="1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gridBefore w:val="1"/>
          <w:trHeight w:val="569" w:hRule="atLeast"/>
        </w:trPr>
        <w:tc>
          <w:tcPr>
            <w:tcW w:w="8211" w:type="dxa"/>
            <w:gridSpan w:val="10"/>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环江毛南族自治县投资促进局</w:t>
            </w:r>
          </w:p>
        </w:tc>
        <w:tc>
          <w:tcPr>
            <w:tcW w:w="116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4"/>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4408"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585" w:type="dxa"/>
            <w:gridSpan w:val="1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29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22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9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2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73.74</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6.23</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23.95</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0.06</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76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7.53</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0.63</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0.59</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3.02</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0.07</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5.56</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0.78</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6.10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6.10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64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0.67</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4.29</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0.01</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3028"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79.83</w:t>
            </w:r>
          </w:p>
        </w:tc>
        <w:tc>
          <w:tcPr>
            <w:tcW w:w="8310" w:type="dxa"/>
            <w:gridSpan w:val="11"/>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00" w:hRule="atLeast"/>
        </w:trPr>
        <w:tc>
          <w:tcPr>
            <w:tcW w:w="13993" w:type="dxa"/>
            <w:gridSpan w:val="1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环江毛南族自治县投资促进局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tbl>
            <w:tblPr>
              <w:tblStyle w:val="6"/>
              <w:tblW w:w="1500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907"/>
              <w:gridCol w:w="3558"/>
              <w:gridCol w:w="1533"/>
              <w:gridCol w:w="1533"/>
              <w:gridCol w:w="1533"/>
              <w:gridCol w:w="1533"/>
              <w:gridCol w:w="1534"/>
              <w:gridCol w:w="1535"/>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4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4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4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5000" w:type="dxa"/>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keepNext w:val="0"/>
              <w:keepLines w:val="0"/>
              <w:widowControl w:val="0"/>
              <w:suppressLineNumbers w:val="0"/>
              <w:spacing w:before="0" w:beforeAutospacing="0" w:after="0" w:afterAutospacing="0"/>
              <w:ind w:left="0" w:right="0" w:firstLine="210" w:firstLineChars="10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3" w:type="dxa"/>
        <w:tblInd w:w="93" w:type="dxa"/>
        <w:tblLayout w:type="fixed"/>
        <w:tblCellMar>
          <w:top w:w="0" w:type="dxa"/>
          <w:left w:w="108" w:type="dxa"/>
          <w:bottom w:w="0" w:type="dxa"/>
          <w:right w:w="108" w:type="dxa"/>
        </w:tblCellMar>
      </w:tblPr>
      <w:tblGrid>
        <w:gridCol w:w="3"/>
        <w:gridCol w:w="987"/>
        <w:gridCol w:w="1152"/>
        <w:gridCol w:w="285"/>
        <w:gridCol w:w="363"/>
        <w:gridCol w:w="1960"/>
        <w:gridCol w:w="170"/>
        <w:gridCol w:w="2823"/>
        <w:gridCol w:w="25"/>
        <w:gridCol w:w="3110"/>
        <w:gridCol w:w="70"/>
        <w:gridCol w:w="2995"/>
        <w:gridCol w:w="35"/>
      </w:tblGrid>
      <w:tr>
        <w:tblPrEx>
          <w:tblCellMar>
            <w:top w:w="0" w:type="dxa"/>
            <w:left w:w="108" w:type="dxa"/>
            <w:bottom w:w="0" w:type="dxa"/>
            <w:right w:w="108" w:type="dxa"/>
          </w:tblCellMar>
        </w:tblPrEx>
        <w:trPr>
          <w:gridBefore w:val="1"/>
          <w:gridAfter w:val="1"/>
          <w:trHeight w:val="384" w:hRule="atLeast"/>
        </w:trPr>
        <w:tc>
          <w:tcPr>
            <w:tcW w:w="1394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gridBefore w:val="1"/>
          <w:gridAfter w:val="1"/>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Before w:val="1"/>
          <w:gridAfter w:val="1"/>
          <w:trHeight w:val="264" w:hRule="atLeast"/>
        </w:trPr>
        <w:tc>
          <w:tcPr>
            <w:tcW w:w="7740"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环江毛南族自治县投资促进局</w:t>
            </w:r>
          </w:p>
        </w:tc>
        <w:tc>
          <w:tcPr>
            <w:tcW w:w="313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058"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848"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18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3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3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84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1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03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3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84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1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03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8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8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8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978" w:type="dxa"/>
            <w:gridSpan w:val="13"/>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环江毛南族自治县投资促进局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tbl>
            <w:tblPr>
              <w:tblStyle w:val="6"/>
              <w:tblW w:w="1692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1137"/>
              <w:gridCol w:w="1142"/>
              <w:gridCol w:w="1142"/>
              <w:gridCol w:w="1142"/>
              <w:gridCol w:w="1142"/>
              <w:gridCol w:w="1142"/>
              <w:gridCol w:w="1143"/>
              <w:gridCol w:w="1143"/>
              <w:gridCol w:w="1143"/>
              <w:gridCol w:w="1143"/>
              <w:gridCol w:w="1143"/>
              <w:gridCol w:w="1143"/>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8460" w:type="dxa"/>
                  <w:gridSpan w:val="7"/>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846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00" w:hRule="atLeast"/>
              </w:trPr>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00" w:hRule="atLeast"/>
              </w:trPr>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7,994.00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55" w:hRule="atLeast"/>
              </w:trPr>
              <w:tc>
                <w:tcPr>
                  <w:tcW w:w="16920" w:type="dxa"/>
                  <w:gridSpan w:val="13"/>
                  <w:vMerge w:val="restart"/>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55" w:hRule="atLeast"/>
              </w:trPr>
              <w:tc>
                <w:tcPr>
                  <w:tcW w:w="16920" w:type="dxa"/>
                  <w:gridSpan w:val="13"/>
                  <w:vMerge w:val="continue"/>
                  <w:tcBorders>
                    <w:top w:val="single" w:color="000000" w:sz="4" w:space="0"/>
                    <w:left w:val="nil"/>
                    <w:bottom w:val="nil"/>
                    <w:right w:val="nil"/>
                  </w:tcBorders>
                  <w:shd w:val="clear" w:color="auto" w:fill="FFFFFF"/>
                  <w:vAlign w:val="center"/>
                </w:tcPr>
                <w:p>
                  <w:pPr>
                    <w:jc w:val="left"/>
                    <w:rPr>
                      <w:rFonts w:hint="eastAsia" w:ascii="宋体" w:hAnsi="宋体" w:eastAsia="宋体" w:cs="宋体"/>
                      <w:i w:val="0"/>
                      <w:iCs w:val="0"/>
                      <w:color w:val="000000"/>
                      <w:sz w:val="22"/>
                      <w:szCs w:val="22"/>
                      <w:u w:val="none"/>
                    </w:rPr>
                  </w:pP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环江毛南族自治县投资促进局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szCs w:val="32"/>
          <w:highlight w:val="none"/>
          <w:lang w:val="en-US" w:eastAsia="zh-CN"/>
        </w:rPr>
        <w:t>109.76</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highlight w:val="none"/>
          <w:u w:color="auto"/>
          <w:lang w:val="en-US" w:eastAsia="zh-CN"/>
        </w:rPr>
        <w:t>减少66.20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w:t>
      </w:r>
      <w:r>
        <w:rPr>
          <w:rFonts w:hint="eastAsia" w:ascii="仿宋" w:hAnsi="仿宋" w:eastAsia="仿宋" w:cs="仿宋"/>
          <w:sz w:val="32"/>
          <w:highlight w:val="none"/>
          <w:u w:color="auto"/>
          <w:lang w:val="en-US" w:eastAsia="zh-CN"/>
        </w:rPr>
        <w:t>37.62</w:t>
      </w:r>
      <w:r>
        <w:rPr>
          <w:rFonts w:ascii="仿宋" w:hAnsi="仿宋" w:eastAsia="仿宋" w:cs="仿宋"/>
          <w:sz w:val="32"/>
          <w:highlight w:val="none"/>
          <w:u w:color="auto"/>
        </w:rPr>
        <w:t>%</w:t>
      </w:r>
      <w:r>
        <w:rPr>
          <w:rFonts w:hint="eastAsia" w:ascii="仿宋" w:hAnsi="仿宋" w:eastAsia="仿宋" w:cs="仿宋"/>
          <w:sz w:val="32"/>
          <w:szCs w:val="32"/>
          <w:highlight w:val="none"/>
        </w:rPr>
        <w:t>，其中本年收入</w:t>
      </w:r>
      <w:r>
        <w:rPr>
          <w:rFonts w:hint="eastAsia" w:ascii="仿宋" w:hAnsi="仿宋" w:eastAsia="仿宋" w:cs="仿宋"/>
          <w:sz w:val="32"/>
          <w:highlight w:val="none"/>
          <w:u w:color="auto"/>
          <w:lang w:val="en-US" w:eastAsia="zh-CN"/>
        </w:rPr>
        <w:t>109.76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highlight w:val="none"/>
          <w:u w:color="auto"/>
          <w:lang w:val="en-US" w:eastAsia="zh-CN"/>
        </w:rPr>
        <w:t>109.76</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highlight w:val="none"/>
          <w:u w:color="auto"/>
          <w:lang w:val="en-US" w:eastAsia="zh-CN"/>
        </w:rPr>
        <w:t>减少66.20</w:t>
      </w:r>
      <w:r>
        <w:rPr>
          <w:rFonts w:hint="eastAsia" w:ascii="仿宋" w:hAnsi="仿宋" w:eastAsia="仿宋" w:cs="仿宋"/>
          <w:kern w:val="2"/>
          <w:sz w:val="32"/>
          <w:szCs w:val="32"/>
          <w:highlight w:val="none"/>
          <w:lang w:val="en-US" w:eastAsia="zh-CN" w:bidi="ar"/>
        </w:rPr>
        <w:t>万元，下降</w:t>
      </w:r>
      <w:r>
        <w:rPr>
          <w:rFonts w:hint="eastAsia" w:ascii="仿宋" w:hAnsi="仿宋" w:eastAsia="仿宋" w:cs="仿宋"/>
          <w:sz w:val="32"/>
          <w:highlight w:val="none"/>
          <w:u w:color="auto"/>
          <w:lang w:val="en-US" w:eastAsia="zh-CN"/>
        </w:rPr>
        <w:t>37.62</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主要原因：2022年度对</w:t>
      </w:r>
      <w:r>
        <w:rPr>
          <w:rFonts w:hint="eastAsia" w:ascii="仿宋" w:hAnsi="仿宋" w:eastAsia="仿宋" w:cs="仿宋"/>
          <w:color w:val="auto"/>
          <w:kern w:val="2"/>
          <w:sz w:val="32"/>
          <w:szCs w:val="32"/>
          <w:highlight w:val="none"/>
          <w:lang w:val="en-US" w:eastAsia="zh-CN" w:bidi="ar"/>
        </w:rPr>
        <w:t>企业补助50万元，2023年无此项支出，项目支出减少。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w:t>
      </w:r>
      <w:r>
        <w:rPr>
          <w:rFonts w:hint="eastAsia" w:ascii="仿宋" w:hAnsi="仿宋" w:eastAsia="仿宋" w:cs="仿宋"/>
          <w:kern w:val="2"/>
          <w:sz w:val="32"/>
          <w:szCs w:val="32"/>
          <w:highlight w:val="none"/>
          <w:lang w:val="en-US" w:eastAsia="zh-CN" w:bidi="ar"/>
        </w:rPr>
        <w:t>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主要原因：本单位无</w:t>
      </w:r>
      <w:r>
        <w:rPr>
          <w:rFonts w:hint="eastAsia" w:ascii="仿宋" w:hAnsi="仿宋" w:eastAsia="仿宋" w:cs="仿宋"/>
          <w:color w:val="auto"/>
          <w:kern w:val="2"/>
          <w:sz w:val="32"/>
          <w:szCs w:val="32"/>
          <w:highlight w:val="none"/>
          <w:lang w:val="en-US" w:eastAsia="zh-CN" w:bidi="ar"/>
        </w:rPr>
        <w:t>项目结转、结余。</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109.76</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109.76</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66.20</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下降37.62</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84.84，</w:t>
      </w:r>
      <w:r>
        <w:rPr>
          <w:rFonts w:hint="eastAsia" w:ascii="仿宋" w:hAnsi="仿宋" w:eastAsia="仿宋" w:cs="仿宋"/>
          <w:sz w:val="32"/>
          <w:szCs w:val="32"/>
          <w:highlight w:val="none"/>
          <w:lang w:bidi="ar"/>
        </w:rPr>
        <w:t>153.07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部门所属单位人员工资、日常运转方面的支出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减少68.23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下降44.57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主要原因是：2023年度无</w:t>
      </w:r>
      <w:r>
        <w:rPr>
          <w:rFonts w:hint="eastAsia" w:ascii="仿宋" w:hAnsi="仿宋" w:eastAsia="仿宋" w:cs="仿宋"/>
          <w:color w:val="auto"/>
          <w:kern w:val="2"/>
          <w:sz w:val="32"/>
          <w:szCs w:val="32"/>
          <w:highlight w:val="none"/>
          <w:lang w:val="en-US" w:eastAsia="zh-CN" w:bidi="ar"/>
        </w:rPr>
        <w:t>企业申请补助，日常招商工作经费开支减少。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7.53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机关事业单位基本养老保险缴费支出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增加1.85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增长32.57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5.56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国家政策规定向职工发放的住房公积金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增加1.3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增加30.52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7.64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kern w:val="0"/>
          <w:sz w:val="32"/>
          <w:szCs w:val="32"/>
        </w:rPr>
        <w:t>自治县规定评定的</w:t>
      </w:r>
      <w:r>
        <w:rPr>
          <w:rFonts w:hint="eastAsia" w:ascii="仿宋" w:hAnsi="仿宋" w:eastAsia="仿宋" w:cs="仿宋"/>
          <w:color w:val="333333"/>
          <w:sz w:val="31"/>
          <w:szCs w:val="31"/>
          <w:shd w:val="clear" w:color="auto" w:fill="FFFFFF"/>
        </w:rPr>
        <w:t>绩效考评奖、</w:t>
      </w:r>
      <w:r>
        <w:rPr>
          <w:rFonts w:hint="eastAsia" w:ascii="仿宋" w:hAnsi="仿宋" w:eastAsia="仿宋" w:cs="仿宋"/>
          <w:color w:val="333333"/>
          <w:sz w:val="31"/>
          <w:szCs w:val="31"/>
          <w:shd w:val="clear" w:color="auto" w:fill="FFFFFF"/>
          <w:lang w:val="en-US" w:eastAsia="zh-CN"/>
        </w:rPr>
        <w:t>奖金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5.3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40.96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人员减少。</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b w:val="0"/>
          <w:bCs w:val="0"/>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：本单位无此分配。</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环江毛南族自治县投资促进局2023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109.76</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highlight w:val="none"/>
          <w:u w:color="auto"/>
          <w:lang w:val="en-US" w:eastAsia="zh-CN"/>
        </w:rPr>
        <w:t>减少66.20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w:t>
      </w:r>
      <w:r>
        <w:rPr>
          <w:rFonts w:hint="eastAsia" w:ascii="仿宋" w:hAnsi="仿宋" w:eastAsia="仿宋" w:cs="仿宋"/>
          <w:sz w:val="32"/>
          <w:highlight w:val="none"/>
          <w:u w:color="auto"/>
          <w:lang w:val="en-US" w:eastAsia="zh-CN"/>
        </w:rPr>
        <w:t>37.62</w:t>
      </w:r>
      <w:r>
        <w:rPr>
          <w:rFonts w:ascii="仿宋" w:hAnsi="仿宋" w:eastAsia="仿宋" w:cs="仿宋"/>
          <w:sz w:val="32"/>
          <w:highlight w:val="none"/>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86.07</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23.70</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环江毛南族自治县投资促进局2023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highlight w:val="none"/>
          <w:u w:color="auto"/>
          <w:lang w:val="en-US" w:eastAsia="zh-CN"/>
        </w:rPr>
        <w:t>104.42</w:t>
      </w:r>
      <w:r>
        <w:rPr>
          <w:rFonts w:hint="eastAsia" w:ascii="仿宋" w:hAnsi="仿宋" w:eastAsia="仿宋" w:cs="仿宋"/>
          <w:sz w:val="32"/>
          <w:szCs w:val="32"/>
          <w:highlight w:val="none"/>
        </w:rPr>
        <w:t>万元，支出决算为</w:t>
      </w:r>
      <w:r>
        <w:rPr>
          <w:rFonts w:hint="eastAsia" w:ascii="仿宋" w:hAnsi="仿宋" w:eastAsia="仿宋" w:cs="仿宋"/>
          <w:sz w:val="32"/>
          <w:highlight w:val="none"/>
          <w:u w:color="auto"/>
          <w:lang w:val="en-US" w:eastAsia="zh-CN"/>
        </w:rPr>
        <w:t>109.76</w:t>
      </w:r>
      <w:r>
        <w:rPr>
          <w:rFonts w:hint="eastAsia" w:ascii="仿宋" w:hAnsi="仿宋" w:eastAsia="仿宋" w:cs="仿宋"/>
          <w:sz w:val="32"/>
          <w:szCs w:val="32"/>
          <w:highlight w:val="none"/>
        </w:rPr>
        <w:t>万元，完成年初预算的</w:t>
      </w:r>
      <w:r>
        <w:rPr>
          <w:rFonts w:hint="eastAsia" w:ascii="仿宋" w:hAnsi="仿宋" w:eastAsia="仿宋" w:cs="仿宋"/>
          <w:sz w:val="32"/>
          <w:highlight w:val="none"/>
          <w:u w:color="auto"/>
          <w:lang w:val="en-US" w:eastAsia="zh-CN"/>
        </w:rPr>
        <w:t>105.11</w:t>
      </w:r>
      <w:r>
        <w:rPr>
          <w:rFonts w:ascii="仿宋" w:hAnsi="仿宋" w:eastAsia="仿宋" w:cs="仿宋"/>
          <w:sz w:val="32"/>
          <w:highlight w:val="none"/>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95.06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84.84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89.25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原因是：日常招商工作经费需求减少。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2011308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招商引资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95.06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84.84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89.25%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支付在职人员工资、日常招商工作经费等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招商工作经费需求增加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95.06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84.84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5.35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7.53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140.75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140.75%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支付在职人员延保保险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4.01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5.56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138.65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138.64%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支付在职人员住房公积金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12.94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年初无预算。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自治县规定评定的绩效考评奖、奖金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环江毛南族自治县投资促进局2023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86.07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79.84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6.23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工资福利</w:t>
      </w:r>
      <w:r>
        <w:rPr>
          <w:rFonts w:hint="eastAsia" w:ascii="仿宋" w:hAnsi="仿宋" w:eastAsia="仿宋" w:cs="仿宋"/>
          <w:sz w:val="32"/>
          <w:szCs w:val="32"/>
          <w:highlight w:val="none"/>
        </w:rPr>
        <w:t>支出</w:t>
      </w:r>
      <w:r>
        <w:rPr>
          <w:rFonts w:hint="eastAsia" w:ascii="仿宋" w:hAnsi="仿宋" w:eastAsia="仿宋" w:cs="仿宋"/>
          <w:sz w:val="32"/>
          <w:u w:color="auto"/>
          <w:lang w:val="en-US" w:eastAsia="zh-CN"/>
        </w:rPr>
        <w:t>73.74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134.64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主要原因是：人员增加，</w:t>
      </w:r>
      <w:r>
        <w:rPr>
          <w:rFonts w:hint="eastAsia" w:ascii="仿宋" w:hAnsi="仿宋" w:eastAsia="仿宋" w:cs="仿宋"/>
          <w:color w:val="auto"/>
          <w:kern w:val="2"/>
          <w:sz w:val="32"/>
          <w:szCs w:val="32"/>
          <w:highlight w:val="none"/>
          <w:lang w:val="en-US" w:eastAsia="zh-CN" w:bidi="ar"/>
        </w:rPr>
        <w:t>发放的职工绩效考评奖没有列入年初预算。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20.22万元，30102津贴补贴12.61万元，30103奖金23.95万元，30108机关事业单位基本养老保险缴费7.53万元，30110职工基本医疗保险缴费3.02万元，30112其他社会保障缴费0.08万元，30113住房公积金5.56万元，30199其他工资福利支出7.64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6.23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133.98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人员增加，日常工作经费需求增加。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30205水费0.06万元，30206电费0.63万元，30207邮电费0.59万元，30228工会经费0.67万元，30239其他交通费用4.29万元。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6.10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预决算无差异。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30305生活补助6.10万元，30399其他对个人和家庭的补助0.01万元。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预决算无差异。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预决算无差异。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5369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预决算无差异。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环江毛南族自治县投资促进局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环江毛南族自治县投资促进局2023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环江毛南族自治县投资促进局2023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2" w:name="PO_part3A5B1C1DiffReason1"/>
      <w:r>
        <w:rPr>
          <w:rFonts w:hint="eastAsia" w:ascii="仿宋_GB2312" w:hAnsi="Times New Roman" w:eastAsia="仿宋_GB2312" w:cs="Times New Roman"/>
          <w:color w:val="auto"/>
          <w:sz w:val="32"/>
          <w:szCs w:val="32"/>
          <w:lang w:eastAsia="zh-CN"/>
        </w:rPr>
        <w:t>环江毛南族自治县投资促进局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2"/>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年预算财政拨款安排的“三公”经费支出</w:t>
      </w:r>
      <w:r>
        <w:rPr>
          <w:rFonts w:hint="eastAsia" w:ascii="仿宋" w:hAnsi="仿宋" w:eastAsia="仿宋" w:cs="仿宋"/>
          <w:sz w:val="32"/>
          <w:szCs w:val="32"/>
          <w:highlight w:val="none"/>
          <w:lang w:val="en-US" w:eastAsia="zh-CN"/>
        </w:rPr>
        <w:t>0.8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7.27</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2.37</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认真贯彻落实中央“八项规定”精神和厉行节约要求，严控和压缩“三公”经费相关支出。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0.8</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r>
        <w:rPr>
          <w:rFonts w:hint="eastAsia" w:ascii="仿宋_GB2312" w:hAnsi="Times New Roman" w:eastAsia="仿宋_GB2312" w:cs="Times New Roman"/>
          <w:color w:val="auto"/>
          <w:sz w:val="32"/>
          <w:szCs w:val="32"/>
        </w:rPr>
        <w:t>开支内容包括：</w:t>
      </w:r>
      <w:r>
        <w:rPr>
          <w:rFonts w:hint="eastAsia" w:ascii="仿宋_GB2312" w:hAnsi="Times New Roman" w:eastAsia="仿宋_GB2312" w:cs="Times New Roman"/>
          <w:color w:val="auto"/>
          <w:sz w:val="32"/>
          <w:szCs w:val="32"/>
          <w:lang w:val="en-US" w:eastAsia="zh-CN"/>
        </w:rPr>
        <w:t>无</w:t>
      </w:r>
      <w:r>
        <w:rPr>
          <w:rFonts w:hint="eastAsia" w:ascii="仿宋_GB2312" w:hAnsi="Times New Roman" w:eastAsia="仿宋_GB2312" w:cs="Times New Roman"/>
          <w:color w:val="auto"/>
          <w:sz w:val="32"/>
          <w:szCs w:val="32"/>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bCs/>
          <w:color w:val="000000"/>
          <w:sz w:val="32"/>
          <w:szCs w:val="32"/>
        </w:rPr>
        <w:t>公车改革后本单位不再保留有公务车</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w:t>
      </w:r>
      <w:r>
        <w:rPr>
          <w:rFonts w:hint="eastAsia" w:ascii="仿宋" w:hAnsi="仿宋" w:eastAsia="仿宋" w:cs="仿宋"/>
          <w:sz w:val="32"/>
          <w:u w:color="auto"/>
          <w:lang w:eastAsia="zh-CN"/>
        </w:rPr>
        <w:t>环江毛南族自治县投资促进局</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7.27</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3.27</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主要原因是：接待客商减少，</w:t>
      </w:r>
      <w:r>
        <w:rPr>
          <w:rFonts w:hint="eastAsia" w:ascii="仿宋" w:hAnsi="仿宋" w:eastAsia="仿宋" w:cs="仿宋_GB2312"/>
          <w:kern w:val="0"/>
          <w:sz w:val="32"/>
          <w:szCs w:val="32"/>
        </w:rPr>
        <w:t>认真贯彻落实中央“八项规定”精神和厉行节约要求，严控</w:t>
      </w:r>
      <w:r>
        <w:rPr>
          <w:rFonts w:hint="eastAsia" w:ascii="仿宋" w:hAnsi="仿宋" w:eastAsia="仿宋" w:cs="仿宋_GB2312"/>
          <w:kern w:val="0"/>
          <w:sz w:val="32"/>
          <w:szCs w:val="32"/>
          <w:lang w:val="en-US" w:eastAsia="zh-CN"/>
        </w:rPr>
        <w:t>接待标准，不铺张浪费，部分商家还未前来结账</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69</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bidi w:val="0"/>
        <w:snapToGrid/>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rPr>
        <w:t>机关运行经费</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val="en-US" w:eastAsia="zh-CN"/>
        </w:rPr>
        <w:t>6.23</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增加1.58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增长33.98</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val="en-US" w:eastAsia="zh-CN"/>
        </w:rPr>
        <w:t>增加1.50</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32.26</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人员增加，机关运行经费需求增加。</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kern w:val="0"/>
          <w:sz w:val="32"/>
          <w:szCs w:val="32"/>
          <w:lang w:val="en-US" w:eastAsia="zh-CN"/>
        </w:rPr>
        <w:t>148.28</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w:t>
      </w:r>
      <w:r>
        <w:rPr>
          <w:rFonts w:hint="eastAsia" w:ascii="仿宋_GB2312" w:eastAsia="仿宋_GB2312" w:cs="仿宋_GB2312"/>
          <w:kern w:val="0"/>
          <w:sz w:val="32"/>
          <w:szCs w:val="32"/>
          <w:lang w:val="en-US" w:eastAsia="zh-CN"/>
        </w:rPr>
        <w:t>118.80</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kern w:val="0"/>
          <w:sz w:val="32"/>
          <w:szCs w:val="32"/>
          <w:lang w:val="en-US"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等。从自评情况来看，较好的完成本年度的招商工作，推动工作的正常开展。 </w:t>
      </w:r>
    </w:p>
    <w:p>
      <w:pPr>
        <w:ind w:firstLine="640" w:firstLineChars="200"/>
        <w:jc w:val="left"/>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10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32.70</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10</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32.70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7</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32.33</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70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98.87</w:t>
      </w:r>
      <w:r>
        <w:rPr>
          <w:rFonts w:hint="eastAsia" w:ascii="仿宋_GB2312" w:hAnsi="Times New Roman" w:eastAsia="仿宋_GB2312" w:cs="仿宋_GB2312"/>
          <w:b w:val="0"/>
          <w:bCs w:val="0"/>
          <w:caps w:val="0"/>
          <w:color w:val="auto"/>
          <w:kern w:val="0"/>
          <w:sz w:val="32"/>
          <w:szCs w:val="32"/>
          <w:vertAlign w:val="baseline"/>
          <w:lang w:val="en-US" w:eastAsia="zh-CN" w:bidi="ar"/>
        </w:rPr>
        <w:t>%；3个项目评为四等，涉及资金</w:t>
      </w:r>
      <w:r>
        <w:rPr>
          <w:rFonts w:hint="eastAsia" w:ascii="仿宋_GB2312" w:eastAsia="仿宋_GB2312" w:cs="仿宋_GB2312"/>
          <w:kern w:val="0"/>
          <w:sz w:val="32"/>
          <w:szCs w:val="32"/>
          <w:lang w:val="en-US" w:eastAsia="zh-CN"/>
        </w:rPr>
        <w:t>0.37</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万元，占项目总数比例30%，占项目支出总额比例</w:t>
      </w:r>
      <w:r>
        <w:rPr>
          <w:rFonts w:hint="eastAsia" w:ascii="仿宋_GB2312" w:eastAsia="仿宋_GB2312" w:cs="仿宋_GB2312"/>
          <w:kern w:val="0"/>
          <w:sz w:val="32"/>
          <w:szCs w:val="32"/>
          <w:lang w:val="en-US" w:eastAsia="zh-CN"/>
        </w:rPr>
        <w:t>1.13</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%。自评发现的主要问题及原因：资金支出不及时。下一步改进措施：及时支出资金。</w:t>
      </w:r>
    </w:p>
    <w:p>
      <w:pPr>
        <w:numPr>
          <w:ilvl w:val="0"/>
          <w:numId w:val="3"/>
        </w:numPr>
        <w:ind w:firstLine="640" w:firstLineChars="200"/>
        <w:jc w:val="left"/>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部分重点项目绩效自评情况：根据年初设定的绩效目标，东盟博览会参会经费项目自评得分为97.45分，一等，项目全年预算数为</w:t>
      </w:r>
      <w:r>
        <w:rPr>
          <w:rFonts w:hint="eastAsia" w:ascii="仿宋_GB2312" w:eastAsia="仿宋_GB2312" w:cs="仿宋_GB2312"/>
          <w:kern w:val="0"/>
          <w:sz w:val="32"/>
          <w:szCs w:val="32"/>
          <w:lang w:val="en-US" w:eastAsia="zh-CN"/>
        </w:rPr>
        <w:t>6</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4.19</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74.53</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%。项目绩效目标完成情况：参加东盟博览会，提高环江知名度。自评发现的主要问题及原因：无。</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default"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组织对“东盟博览会参会经费”重点项目进行了部门评价，评价结果为一等，涉及资金4.19万元。从评价情况来看，东盟博览会参会人员按时到位，项目签约成功，扩大环江知名度，已完成绩效目标。</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tabs>
          <w:tab w:val="left" w:pos="7130"/>
        </w:tabs>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object>
          <v:shape id="_x0000_i1025" o:spt="75" type="#_x0000_t75" style="height:40.25pt;width:103.75pt;" o:ole="t" filled="f" o:preferrelative="t" stroked="f" coordsize="21600,21600">
            <v:fill on="f" focussize="0,0"/>
            <v:stroke on="f"/>
            <v:imagedata r:id="rId19" o:title=""/>
            <o:lock v:ext="edit" aspectratio="t"/>
            <w10:wrap type="none"/>
            <w10:anchorlock/>
          </v:shape>
          <o:OLEObject Type="Embed" ProgID="Package" ShapeID="_x0000_i1025" DrawAspect="Content" ObjectID="_1468075725" r:id="rId18">
            <o:LockedField>false</o:LockedField>
          </o:OLEObject>
        </w:object>
      </w:r>
      <w:r>
        <w:rPr>
          <w:rFonts w:hint="eastAsia" w:ascii="仿宋" w:hAnsi="仿宋" w:eastAsia="仿宋" w:cs="仿宋"/>
          <w:sz w:val="32"/>
          <w:szCs w:val="32"/>
          <w:highlight w:val="none"/>
          <w:lang w:eastAsia="zh-CN"/>
        </w:rPr>
        <w:tab/>
      </w:r>
      <w:bookmarkStart w:id="4" w:name="_GoBack"/>
      <w:bookmarkEnd w:id="4"/>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3840" w:firstLineChars="1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环江毛南族自治县投资促进局</w:t>
      </w:r>
    </w:p>
    <w:p>
      <w:pPr>
        <w:ind w:firstLine="5120" w:firstLineChars="16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2024年12月2日</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63783"/>
    <w:multiLevelType w:val="singleLevel"/>
    <w:tmpl w:val="96E63783"/>
    <w:lvl w:ilvl="0" w:tentative="0">
      <w:start w:val="2"/>
      <w:numFmt w:val="decimal"/>
      <w:suff w:val="nothing"/>
      <w:lvlText w:val="（%1）"/>
      <w:lvlJc w:val="left"/>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81E4EA9"/>
    <w:rsid w:val="0942143F"/>
    <w:rsid w:val="0D100297"/>
    <w:rsid w:val="0D202B45"/>
    <w:rsid w:val="0F8D4C87"/>
    <w:rsid w:val="10505FAA"/>
    <w:rsid w:val="105F7E7E"/>
    <w:rsid w:val="11E56B5B"/>
    <w:rsid w:val="125C77AB"/>
    <w:rsid w:val="13022F5F"/>
    <w:rsid w:val="14CB726E"/>
    <w:rsid w:val="17E92249"/>
    <w:rsid w:val="18002BBD"/>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83D7C94"/>
    <w:rsid w:val="29480E03"/>
    <w:rsid w:val="2983634D"/>
    <w:rsid w:val="2A0A3DC8"/>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C07002B"/>
    <w:rsid w:val="3D0D152A"/>
    <w:rsid w:val="3DF62756"/>
    <w:rsid w:val="3EC34805"/>
    <w:rsid w:val="3F1B7587"/>
    <w:rsid w:val="41E57B4F"/>
    <w:rsid w:val="432F26F6"/>
    <w:rsid w:val="43880F63"/>
    <w:rsid w:val="441C5A6F"/>
    <w:rsid w:val="44C44FCC"/>
    <w:rsid w:val="44CC7369"/>
    <w:rsid w:val="457F5108"/>
    <w:rsid w:val="46951B6B"/>
    <w:rsid w:val="49A34401"/>
    <w:rsid w:val="4A3E30AB"/>
    <w:rsid w:val="4A8D0ADE"/>
    <w:rsid w:val="4AC14DAC"/>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534062"/>
    <w:rsid w:val="60F74BC3"/>
    <w:rsid w:val="617D3BF8"/>
    <w:rsid w:val="61841F6A"/>
    <w:rsid w:val="623007A9"/>
    <w:rsid w:val="637D7558"/>
    <w:rsid w:val="6440419C"/>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333333"/>
      <w:u w:val="none"/>
    </w:rPr>
  </w:style>
  <w:style w:type="character" w:styleId="9">
    <w:name w:val="Emphasis"/>
    <w:basedOn w:val="7"/>
    <w:qFormat/>
    <w:uiPriority w:val="0"/>
    <w:rPr>
      <w:i/>
    </w:rPr>
  </w:style>
  <w:style w:type="character" w:styleId="10">
    <w:name w:val="Hyperlink"/>
    <w:basedOn w:val="7"/>
    <w:qFormat/>
    <w:uiPriority w:val="0"/>
    <w:rPr>
      <w:color w:val="333333"/>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 w:type="character" w:customStyle="1" w:styleId="14">
    <w:name w:val="pages"/>
    <w:basedOn w:val="7"/>
    <w:qFormat/>
    <w:uiPriority w:val="0"/>
    <w:rPr>
      <w:color w:val="222222"/>
      <w:bdr w:val="single" w:color="DFDFDF" w:sz="6" w:space="0"/>
      <w:shd w:val="clear" w:fill="F9F9F9"/>
    </w:rPr>
  </w:style>
  <w:style w:type="character" w:customStyle="1" w:styleId="15">
    <w:name w:val="current"/>
    <w:basedOn w:val="7"/>
    <w:qFormat/>
    <w:uiPriority w:val="0"/>
    <w:rPr>
      <w:bdr w:val="single" w:color="BBBBBB" w:sz="6" w:space="0"/>
      <w:shd w:val="clear" w:fill="EEEEEE"/>
    </w:rPr>
  </w:style>
  <w:style w:type="character" w:customStyle="1" w:styleId="16">
    <w:name w:val="current1"/>
    <w:basedOn w:val="7"/>
    <w:qFormat/>
    <w:uiPriority w:val="0"/>
    <w:rPr>
      <w:color w:val="FFFFFF"/>
      <w:shd w:val="clear" w:fill="00B2EE"/>
    </w:rPr>
  </w:style>
  <w:style w:type="character" w:customStyle="1" w:styleId="17">
    <w:name w:val="extend"/>
    <w:basedOn w:val="7"/>
    <w:qFormat/>
    <w:uiPriority w:val="0"/>
    <w:rPr>
      <w:b/>
      <w:bCs/>
    </w:rPr>
  </w:style>
  <w:style w:type="character" w:customStyle="1" w:styleId="18">
    <w:name w:val="current2"/>
    <w:basedOn w:val="7"/>
    <w:qFormat/>
    <w:uiPriority w:val="0"/>
    <w:rPr>
      <w:bdr w:val="single" w:color="BBBBBB" w:sz="6" w:space="0"/>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oleObject" Target="embeddings/oleObject1.bin"/><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109.76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153.07</c:v>
                </c:pt>
                <c:pt idx="1">
                  <c:v>5.68</c:v>
                </c:pt>
                <c:pt idx="2">
                  <c:v>4.26</c:v>
                </c:pt>
                <c:pt idx="3">
                  <c:v>12.94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84.84</c:v>
                </c:pt>
                <c:pt idx="1">
                  <c:v>7.53</c:v>
                </c:pt>
                <c:pt idx="2">
                  <c:v>5.56</c:v>
                </c:pt>
                <c:pt idx="3">
                  <c:v>7.64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2011308</c:v>
                </c:pt>
              </c:numCache>
            </c:numRef>
          </c:cat>
          <c:val>
            <c:numRef>
              <c:f>Sheet1!$B$2</c:f>
              <c:numCache>
                <c:formatCode>General</c:formatCode>
                <c:ptCount val="1"/>
                <c:pt idx="0">
                  <c:v>84.84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2080505</c:v>
                </c:pt>
              </c:numCache>
            </c:numRef>
          </c:cat>
          <c:val>
            <c:numRef>
              <c:f>Sheet1!$B$2</c:f>
              <c:numCache>
                <c:formatCode>General</c:formatCode>
                <c:ptCount val="1"/>
                <c:pt idx="0">
                  <c:v>7.53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2210201</c:v>
                </c:pt>
              </c:numCache>
            </c:numRef>
          </c:cat>
          <c:val>
            <c:numRef>
              <c:f>Sheet1!$B$2</c:f>
              <c:numCache>
                <c:formatCode>General</c:formatCode>
                <c:ptCount val="1"/>
                <c:pt idx="0">
                  <c:v>5.56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2299999</c:v>
                </c:pt>
              </c:numCache>
            </c:numRef>
          </c:cat>
          <c:val>
            <c:numRef>
              <c:f>Sheet1!$B$2</c:f>
              <c:numCache>
                <c:formatCode>General</c:formatCode>
                <c:ptCount val="1"/>
                <c:pt idx="0">
                  <c:v>7.64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Sheet1!$A$2:$A$12</c:f>
              <c:numCache>
                <c:formatCode>General</c:formatCode>
                <c:ptCount val="11"/>
                <c:pt idx="0">
                  <c:v>30101</c:v>
                </c:pt>
                <c:pt idx="1">
                  <c:v>30102</c:v>
                </c:pt>
                <c:pt idx="2">
                  <c:v>30103</c:v>
                </c:pt>
                <c:pt idx="3">
                  <c:v>30108</c:v>
                </c:pt>
                <c:pt idx="4">
                  <c:v>30109</c:v>
                </c:pt>
                <c:pt idx="5">
                  <c:v>30110</c:v>
                </c:pt>
                <c:pt idx="6">
                  <c:v>30111</c:v>
                </c:pt>
                <c:pt idx="7">
                  <c:v>30112</c:v>
                </c:pt>
                <c:pt idx="8">
                  <c:v>30113</c:v>
                </c:pt>
                <c:pt idx="9">
                  <c:v>30114</c:v>
                </c:pt>
                <c:pt idx="10">
                  <c:v>30199</c:v>
                </c:pt>
              </c:numCache>
            </c:numRef>
          </c:cat>
          <c:val>
            <c:numRef>
              <c:f>Sheet1!$B$2:$B$12</c:f>
              <c:numCache>
                <c:formatCode>General</c:formatCode>
                <c:ptCount val="11"/>
                <c:pt idx="0">
                  <c:v>20.22</c:v>
                </c:pt>
                <c:pt idx="1">
                  <c:v>12.61</c:v>
                </c:pt>
                <c:pt idx="2">
                  <c:v>23.95</c:v>
                </c:pt>
                <c:pt idx="3">
                  <c:v>7.53</c:v>
                </c:pt>
                <c:pt idx="4">
                  <c:v>0</c:v>
                </c:pt>
                <c:pt idx="5">
                  <c:v>3.02</c:v>
                </c:pt>
                <c:pt idx="6">
                  <c:v>0</c:v>
                </c:pt>
                <c:pt idx="7">
                  <c:v>0.08</c:v>
                </c:pt>
                <c:pt idx="8">
                  <c:v>5.56</c:v>
                </c:pt>
                <c:pt idx="9">
                  <c:v>0</c:v>
                </c:pt>
                <c:pt idx="10">
                  <c:v>7.64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0.06</c:v>
                </c:pt>
                <c:pt idx="5">
                  <c:v>0.63</c:v>
                </c:pt>
                <c:pt idx="6">
                  <c:v>0.59</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0.67</c:v>
                </c:pt>
                <c:pt idx="22">
                  <c:v>0</c:v>
                </c:pt>
                <c:pt idx="23">
                  <c:v>0</c:v>
                </c:pt>
                <c:pt idx="24">
                  <c:v>4.29</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6.1</c:v>
                </c:pt>
                <c:pt idx="5">
                  <c:v>0</c:v>
                </c:pt>
                <c:pt idx="6">
                  <c:v>0</c:v>
                </c:pt>
                <c:pt idx="7">
                  <c:v>0</c:v>
                </c:pt>
                <c:pt idx="8">
                  <c:v>0</c:v>
                </c:pt>
                <c:pt idx="9">
                  <c:v>0</c:v>
                </c:pt>
                <c:pt idx="10">
                  <c:v>0</c:v>
                </c:pt>
                <c:pt idx="11">
                  <c:v>0.01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7</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dcterms:modified xsi:type="dcterms:W3CDTF">2024-12-31T00:54:50Z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77A008F2425E426D87EF670C6917DAF2</vt:lpwstr>
  </property>
</Properties>
</file>