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1044" w:firstLineChars="200"/>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中国共产党环江毛南族自治县委员会党史研究室202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keepNext w:val="0"/>
        <w:keepLines w:val="0"/>
        <w:pageBreakBefore w:val="0"/>
        <w:kinsoku/>
        <w:wordWrap/>
        <w:overflowPunct/>
        <w:topLinePunct w:val="0"/>
        <w:bidi w:val="0"/>
        <w:snapToGrid/>
        <w:ind w:firstLine="640" w:firstLineChars="200"/>
        <w:jc w:val="center"/>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p>
    <w:p>
      <w:pPr>
        <w:keepNext w:val="0"/>
        <w:keepLines w:val="0"/>
        <w:pageBreakBefore w:val="0"/>
        <w:kinsoku/>
        <w:wordWrap/>
        <w:overflowPunct/>
        <w:topLinePunct w:val="0"/>
        <w:bidi w:val="0"/>
        <w:snapToGrid/>
        <w:ind w:firstLine="723" w:firstLineChars="200"/>
        <w:jc w:val="both"/>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p>
    <w:p>
      <w:pPr>
        <w:keepNext w:val="0"/>
        <w:keepLines w:val="0"/>
        <w:pageBreakBefore w:val="0"/>
        <w:kinsoku/>
        <w:wordWrap/>
        <w:overflowPunct/>
        <w:topLinePunct w:val="0"/>
        <w:bidi w:val="0"/>
        <w:snapToGrid/>
        <w:ind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keepNext w:val="0"/>
        <w:keepLines w:val="0"/>
        <w:pageBreakBefore w:val="0"/>
        <w:kinsoku/>
        <w:wordWrap/>
        <w:overflowPunct/>
        <w:topLinePunct w:val="0"/>
        <w:bidi w:val="0"/>
        <w:snapToGrid/>
        <w:ind w:firstLine="723" w:firstLineChars="200"/>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keepNext w:val="0"/>
        <w:keepLines w:val="0"/>
        <w:pageBreakBefore w:val="0"/>
        <w:kinsoku/>
        <w:wordWrap/>
        <w:overflowPunct/>
        <w:topLinePunct w:val="0"/>
        <w:bidi w:val="0"/>
        <w:snapToGrid/>
        <w:ind w:firstLine="723" w:firstLineChars="200"/>
        <w:jc w:val="left"/>
        <w:rPr>
          <w:rFonts w:ascii="黑体" w:hAnsi="黑体" w:eastAsia="黑体" w:cs="黑体"/>
          <w:b/>
          <w:bCs/>
          <w:color w:val="auto"/>
          <w:sz w:val="36"/>
          <w:szCs w:val="36"/>
          <w:highlight w:val="none"/>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概况</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度部门决算报表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keepNext w:val="0"/>
        <w:keepLines w:val="0"/>
        <w:pageBreakBefore w:val="0"/>
        <w:kinsoku/>
        <w:wordWrap/>
        <w:overflowPunct/>
        <w:topLinePunct w:val="0"/>
        <w:bidi w:val="0"/>
        <w:snapToGrid/>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度部门决算情况说明</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lang w:eastAsia="zh-CN"/>
        </w:rPr>
        <w:t>2023年</w:t>
      </w:r>
      <w:r>
        <w:rPr>
          <w:rFonts w:hint="eastAsia" w:ascii="仿宋_GB2312" w:eastAsia="仿宋_GB2312" w:cs="仿宋_GB2312"/>
          <w:color w:val="auto"/>
          <w:kern w:val="0"/>
          <w:sz w:val="32"/>
          <w:szCs w:val="32"/>
          <w:highlight w:val="none"/>
        </w:rPr>
        <w:t>度收入支出决算总体情况。</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lang w:eastAsia="zh-CN"/>
        </w:rPr>
        <w:t>2023年</w:t>
      </w:r>
      <w:r>
        <w:rPr>
          <w:rFonts w:hint="eastAsia" w:ascii="仿宋_GB2312" w:eastAsia="仿宋_GB2312" w:cs="仿宋_GB2312"/>
          <w:color w:val="auto"/>
          <w:kern w:val="0"/>
          <w:sz w:val="32"/>
          <w:szCs w:val="32"/>
          <w:highlight w:val="none"/>
        </w:rPr>
        <w:t>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ascii="仿宋_GB2312" w:eastAsia="仿宋_GB2312" w:cs="仿宋_GB2312"/>
          <w:color w:val="auto"/>
          <w:kern w:val="0"/>
          <w:sz w:val="32"/>
          <w:szCs w:val="32"/>
          <w:highlight w:val="none"/>
          <w:lang w:eastAsia="zh-CN"/>
        </w:rPr>
        <w:t>2023年</w:t>
      </w:r>
      <w:r>
        <w:rPr>
          <w:rFonts w:hint="eastAsia" w:ascii="仿宋_GB2312" w:eastAsia="仿宋_GB2312" w:cs="仿宋_GB2312"/>
          <w:color w:val="auto"/>
          <w:kern w:val="0"/>
          <w:sz w:val="32"/>
          <w:szCs w:val="32"/>
          <w:highlight w:val="none"/>
        </w:rPr>
        <w:t>度一般公共预算财政拨款基本支出决算情况说明。</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lang w:eastAsia="zh-CN"/>
        </w:rPr>
        <w:t>2023年</w:t>
      </w:r>
      <w:r>
        <w:rPr>
          <w:rFonts w:hint="eastAsia" w:ascii="仿宋_GB2312" w:eastAsia="仿宋_GB2312" w:cs="仿宋_GB2312"/>
          <w:color w:val="auto"/>
          <w:kern w:val="0"/>
          <w:sz w:val="32"/>
          <w:szCs w:val="32"/>
          <w:highlight w:val="none"/>
        </w:rPr>
        <w:t>度政府性基金支出决算情况。</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w:t>
      </w:r>
      <w:r>
        <w:rPr>
          <w:rFonts w:hint="eastAsia" w:ascii="仿宋_GB2312" w:eastAsia="仿宋_GB2312" w:cs="仿宋_GB2312"/>
          <w:color w:val="auto"/>
          <w:kern w:val="0"/>
          <w:sz w:val="32"/>
          <w:szCs w:val="32"/>
          <w:highlight w:val="none"/>
          <w:lang w:eastAsia="zh-CN"/>
        </w:rPr>
        <w:t>2023年</w:t>
      </w:r>
      <w:r>
        <w:rPr>
          <w:rFonts w:hint="eastAsia" w:ascii="仿宋_GB2312" w:eastAsia="仿宋_GB2312" w:cs="仿宋_GB2312"/>
          <w:color w:val="auto"/>
          <w:kern w:val="0"/>
          <w:sz w:val="32"/>
          <w:szCs w:val="32"/>
          <w:highlight w:val="none"/>
        </w:rPr>
        <w:t>度国有资本经营预算支出决算情况</w:t>
      </w:r>
      <w:r>
        <w:rPr>
          <w:rFonts w:hint="eastAsia" w:asci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keepNext w:val="0"/>
        <w:keepLines w:val="0"/>
        <w:pageBreakBefore w:val="0"/>
        <w:kinsoku/>
        <w:wordWrap/>
        <w:overflowPunct/>
        <w:topLinePunct w:val="0"/>
        <w:autoSpaceDE w:val="0"/>
        <w:autoSpaceDN w:val="0"/>
        <w:bidi w:val="0"/>
        <w:adjustRightInd w:val="0"/>
        <w:snapToGrid/>
        <w:ind w:firstLine="640" w:firstLineChars="20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keepNext w:val="0"/>
        <w:keepLines w:val="0"/>
        <w:pageBreakBefore w:val="0"/>
        <w:kinsoku/>
        <w:wordWrap/>
        <w:overflowPunct/>
        <w:topLinePunct w:val="0"/>
        <w:bidi w:val="0"/>
        <w:snapToGrid/>
        <w:ind w:firstLine="643" w:firstLineChars="200"/>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ascii="黑体" w:hAnsi="黑体" w:eastAsia="黑体" w:cs="黑体"/>
          <w:b/>
          <w:color w:val="auto"/>
          <w:sz w:val="32"/>
          <w:u w:color="auto"/>
        </w:rPr>
        <w:t>中国共产党环江毛南族自治县委员会党史研究室</w:t>
      </w:r>
      <w:r>
        <w:rPr>
          <w:rFonts w:hint="eastAsia" w:ascii="黑体" w:hAnsi="黑体" w:eastAsia="黑体" w:cs="黑体"/>
          <w:b/>
          <w:bCs/>
          <w:color w:val="auto"/>
          <w:sz w:val="32"/>
          <w:szCs w:val="32"/>
          <w:highlight w:val="none"/>
        </w:rPr>
        <w:t>概况</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1.为地方党委决策提供历史咨询；</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2.负责向自治县党委提出开展党史宣传、教育和举办纪念活动的意见或建议。</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3.参与发起和组织有关党史研究工作会议。</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4.代县委对下级党委的有关党史工作予以指导。</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5.负责组织力量开展地方党史的征集、整理、鉴别、核实、研究和编写工作。</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6.负责开展多种形式的党史宣传教育工作。</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党史办为参公事业单位，属于一级财政预算单位，未设二级预算单位。事业编制人数6人，实有在职人员6人，离退休人员7人，其他财政供养人员0人。</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before="0" w:beforeAutospacing="0" w:after="0" w:afterAutospacing="0" w:line="520" w:lineRule="exact"/>
              <w:ind w:left="0" w:right="0" w:firstLine="643" w:firstLineChars="200"/>
              <w:jc w:val="left"/>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napToGrid/>
              <w:spacing w:before="0" w:beforeAutospacing="0" w:after="0" w:afterAutospacing="0" w:line="520" w:lineRule="exact"/>
              <w:ind w:left="0" w:right="0"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r>
              <w:rPr>
                <w:rFonts w:hint="eastAsia" w:ascii="黑体" w:hAnsi="黑体" w:eastAsia="黑体" w:cs="黑体"/>
                <w:color w:val="auto"/>
                <w:sz w:val="32"/>
                <w:u w:color="auto"/>
                <w:lang w:eastAsia="zh-CN"/>
              </w:rPr>
              <w:t>中国共产党环江毛南族自治县委员会党史研究室</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highlight w:val="none"/>
              </w:rPr>
              <w:t>参公事业单位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rPr>
            </w:pPr>
          </w:p>
        </w:tc>
      </w:tr>
      <w:bookmarkEnd w:id="0"/>
    </w:tbl>
    <w:p>
      <w:pPr>
        <w:keepNext w:val="0"/>
        <w:keepLines w:val="0"/>
        <w:pageBreakBefore w:val="0"/>
        <w:kinsoku/>
        <w:wordWrap/>
        <w:overflowPunct/>
        <w:topLinePunct w:val="0"/>
        <w:bidi w:val="0"/>
        <w:snapToGrid/>
        <w:ind w:firstLine="640" w:firstLineChars="200"/>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bidi w:val="0"/>
        <w:snapToGrid/>
        <w:ind w:firstLine="640" w:firstLineChars="200"/>
        <w:jc w:val="center"/>
        <w:rPr>
          <w:rFonts w:hint="eastAsia" w:ascii="黑体" w:hAnsi="黑体" w:eastAsia="黑体" w:cs="黑体"/>
          <w:color w:val="auto"/>
          <w:sz w:val="32"/>
          <w:szCs w:val="32"/>
          <w:highlight w:val="none"/>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bidi w:val="0"/>
        <w:snapToGrid/>
        <w:ind w:firstLine="640" w:firstLineChars="200"/>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bidi w:val="0"/>
        <w:snapToGrid/>
        <w:ind w:firstLine="640" w:firstLineChars="200"/>
        <w:jc w:val="both"/>
        <w:rPr>
          <w:rFonts w:hint="default" w:ascii="黑体" w:hAnsi="黑体" w:eastAsia="黑体" w:cs="黑体"/>
          <w:color w:val="auto"/>
          <w:sz w:val="32"/>
          <w:szCs w:val="32"/>
          <w:highlight w:val="none"/>
          <w:lang w:val="en-US" w:eastAsia="zh-CN"/>
        </w:rPr>
      </w:pPr>
    </w:p>
    <w:p>
      <w:pPr>
        <w:keepNext w:val="0"/>
        <w:keepLines w:val="0"/>
        <w:pageBreakBefore w:val="0"/>
        <w:kinsoku/>
        <w:wordWrap/>
        <w:overflowPunct/>
        <w:topLinePunct w:val="0"/>
        <w:bidi w:val="0"/>
        <w:snapToGrid/>
        <w:ind w:firstLine="640" w:firstLineChars="20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度部门决算报表</w:t>
      </w:r>
    </w:p>
    <w:tbl>
      <w:tblPr>
        <w:tblStyle w:val="6"/>
        <w:tblW w:w="0" w:type="auto"/>
        <w:tblInd w:w="93" w:type="dxa"/>
        <w:tblLayout w:type="autofit"/>
        <w:tblCellMar>
          <w:top w:w="0" w:type="dxa"/>
          <w:left w:w="108" w:type="dxa"/>
          <w:bottom w:w="0" w:type="dxa"/>
          <w:right w:w="108" w:type="dxa"/>
        </w:tblCellMar>
      </w:tblPr>
      <w:tblGrid>
        <w:gridCol w:w="4215"/>
        <w:gridCol w:w="1134"/>
        <w:gridCol w:w="1367"/>
        <w:gridCol w:w="4107"/>
        <w:gridCol w:w="1123"/>
        <w:gridCol w:w="2124"/>
      </w:tblGrid>
      <w:tr>
        <w:tblPrEx>
          <w:tblCellMar>
            <w:top w:w="0" w:type="dxa"/>
            <w:left w:w="108" w:type="dxa"/>
            <w:bottom w:w="0" w:type="dxa"/>
            <w:right w:w="108" w:type="dxa"/>
          </w:tblCellMar>
        </w:tblPrEx>
        <w:trPr>
          <w:trHeight w:val="902" w:hRule="atLeast"/>
        </w:trPr>
        <w:tc>
          <w:tcPr>
            <w:tcW w:w="0" w:type="auto"/>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pageBreakBefore w:val="0"/>
              <w:suppressLineNumbers w:val="0"/>
              <w:kinsoku/>
              <w:wordWrap/>
              <w:overflowPunct/>
              <w:topLinePunct w:val="0"/>
              <w:bidi w:val="0"/>
              <w:snapToGrid/>
              <w:spacing w:before="0" w:beforeAutospacing="0" w:after="0" w:afterAutospacing="0"/>
              <w:ind w:left="0" w:right="0" w:firstLine="480" w:firstLineChars="200"/>
              <w:jc w:val="left"/>
              <w:rPr>
                <w:rFonts w:hint="default" w:ascii="仿宋" w:hAnsi="仿宋" w:eastAsia="仿宋" w:cs="仿宋"/>
                <w:color w:val="auto"/>
                <w:sz w:val="24"/>
                <w:highlight w:val="none"/>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0" w:type="auto"/>
            <w:gridSpan w:val="3"/>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0" w:type="auto"/>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83.33</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3.59</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9.79</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7.35</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10.79</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114.86</w:t>
            </w: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使用非财政拨款结余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20" w:firstLineChars="200"/>
              <w:jc w:val="left"/>
              <w:textAlignment w:val="center"/>
              <w:rPr>
                <w:rFonts w:hint="default"/>
                <w:color w:val="auto"/>
                <w:highlight w:val="none"/>
              </w:rPr>
            </w:pPr>
            <w:r>
              <w:rPr>
                <w:rFonts w:hint="eastAsia"/>
                <w:color w:val="auto"/>
                <w:highlight w:val="none"/>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6"/>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bl>
    <w:p>
      <w:pPr>
        <w:keepNext w:val="0"/>
        <w:keepLines w:val="0"/>
        <w:pageBreakBefore w:val="0"/>
        <w:kinsoku/>
        <w:wordWrap/>
        <w:overflowPunct/>
        <w:topLinePunct w:val="0"/>
        <w:bidi w:val="0"/>
        <w:snapToGrid/>
        <w:ind w:firstLine="600" w:firstLineChars="200"/>
        <w:rPr>
          <w:rFonts w:ascii="宋体" w:hAnsi="宋体" w:eastAsia="宋体" w:cs="宋体"/>
          <w:color w:val="auto"/>
          <w:kern w:val="0"/>
          <w:sz w:val="30"/>
          <w:szCs w:val="30"/>
          <w:highlight w:val="none"/>
          <w:lang w:bidi="ar"/>
        </w:rPr>
      </w:pPr>
    </w:p>
    <w:tbl>
      <w:tblPr>
        <w:tblStyle w:val="6"/>
        <w:tblW w:w="13960" w:type="dxa"/>
        <w:tblInd w:w="93" w:type="dxa"/>
        <w:tblLayout w:type="fixed"/>
        <w:tblCellMar>
          <w:top w:w="0" w:type="dxa"/>
          <w:left w:w="108" w:type="dxa"/>
          <w:bottom w:w="0" w:type="dxa"/>
          <w:right w:w="108" w:type="dxa"/>
        </w:tblCellMar>
      </w:tblPr>
      <w:tblGrid>
        <w:gridCol w:w="3"/>
        <w:gridCol w:w="1069"/>
        <w:gridCol w:w="1893"/>
        <w:gridCol w:w="236"/>
        <w:gridCol w:w="236"/>
        <w:gridCol w:w="524"/>
        <w:gridCol w:w="1507"/>
        <w:gridCol w:w="13"/>
        <w:gridCol w:w="1453"/>
        <w:gridCol w:w="143"/>
        <w:gridCol w:w="1230"/>
        <w:gridCol w:w="165"/>
        <w:gridCol w:w="1092"/>
        <w:gridCol w:w="210"/>
        <w:gridCol w:w="843"/>
        <w:gridCol w:w="637"/>
        <w:gridCol w:w="473"/>
        <w:gridCol w:w="1398"/>
        <w:gridCol w:w="838"/>
        <w:gridCol w:w="118"/>
      </w:tblGrid>
      <w:tr>
        <w:tblPrEx>
          <w:tblCellMar>
            <w:top w:w="0" w:type="dxa"/>
            <w:left w:w="108" w:type="dxa"/>
            <w:bottom w:w="0" w:type="dxa"/>
            <w:right w:w="108" w:type="dxa"/>
          </w:tblCellMar>
        </w:tblPrEx>
        <w:trPr>
          <w:gridBefore w:val="1"/>
          <w:gridAfter w:val="1"/>
          <w:wBefore w:w="3" w:type="dxa"/>
          <w:wAfter w:w="118" w:type="dxa"/>
          <w:trHeight w:val="708" w:hRule="atLeast"/>
        </w:trPr>
        <w:tc>
          <w:tcPr>
            <w:tcW w:w="13960" w:type="dxa"/>
            <w:gridSpan w:val="18"/>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pageBreakBefore w:val="0"/>
              <w:suppressLineNumbers w:val="0"/>
              <w:kinsoku/>
              <w:wordWrap/>
              <w:overflowPunct/>
              <w:topLinePunct w:val="0"/>
              <w:bidi w:val="0"/>
              <w:snapToGrid/>
              <w:spacing w:before="0" w:beforeAutospacing="0" w:after="0" w:afterAutospacing="0"/>
              <w:ind w:left="0" w:right="0" w:firstLine="480" w:firstLineChars="200"/>
              <w:jc w:val="left"/>
              <w:rPr>
                <w:rFonts w:hint="default" w:ascii="仿宋" w:hAnsi="仿宋" w:eastAsia="仿宋" w:cs="仿宋"/>
                <w:color w:val="auto"/>
                <w:sz w:val="24"/>
                <w:highlight w:val="none"/>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gridBefore w:val="1"/>
          <w:gridAfter w:val="1"/>
          <w:wBefore w:w="3" w:type="dxa"/>
          <w:wAfter w:w="118" w:type="dxa"/>
          <w:trHeight w:val="317" w:hRule="atLeast"/>
        </w:trPr>
        <w:tc>
          <w:tcPr>
            <w:tcW w:w="2962"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373"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67" w:type="dxa"/>
            <w:gridSpan w:val="3"/>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709" w:type="dxa"/>
            <w:gridSpan w:val="3"/>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rPr>
          <w:gridBefore w:val="1"/>
          <w:gridAfter w:val="1"/>
          <w:wBefore w:w="3" w:type="dxa"/>
          <w:wAfter w:w="118" w:type="dxa"/>
          <w:trHeight w:val="317" w:hRule="atLeast"/>
        </w:trPr>
        <w:tc>
          <w:tcPr>
            <w:tcW w:w="6931" w:type="dxa"/>
            <w:gridSpan w:val="8"/>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373"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67" w:type="dxa"/>
            <w:gridSpan w:val="3"/>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709" w:type="dxa"/>
            <w:gridSpan w:val="3"/>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6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5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6"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9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4396"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6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9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4396"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6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95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46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468"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114.86</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114.86</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79.88</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79.88</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81" w:type="dxa"/>
            <w:gridSpan w:val="20"/>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center"/>
        <w:rPr>
          <w:rFonts w:ascii="仿宋" w:hAnsi="仿宋" w:eastAsia="仿宋" w:cs="仿宋"/>
          <w:color w:val="auto"/>
          <w:sz w:val="24"/>
          <w:highlight w:val="none"/>
        </w:rPr>
      </w:pP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15720" w:type="dxa"/>
        <w:tblInd w:w="93" w:type="dxa"/>
        <w:tblLayout w:type="fixed"/>
        <w:tblCellMar>
          <w:top w:w="0" w:type="dxa"/>
          <w:left w:w="108" w:type="dxa"/>
          <w:bottom w:w="0" w:type="dxa"/>
          <w:right w:w="108" w:type="dxa"/>
        </w:tblCellMar>
      </w:tblPr>
      <w:tblGrid>
        <w:gridCol w:w="3"/>
        <w:gridCol w:w="1093"/>
        <w:gridCol w:w="49"/>
        <w:gridCol w:w="237"/>
        <w:gridCol w:w="303"/>
        <w:gridCol w:w="2222"/>
        <w:gridCol w:w="1585"/>
        <w:gridCol w:w="42"/>
        <w:gridCol w:w="1494"/>
        <w:gridCol w:w="186"/>
        <w:gridCol w:w="910"/>
        <w:gridCol w:w="850"/>
        <w:gridCol w:w="246"/>
        <w:gridCol w:w="1407"/>
        <w:gridCol w:w="129"/>
        <w:gridCol w:w="1096"/>
        <w:gridCol w:w="429"/>
        <w:gridCol w:w="1702"/>
        <w:gridCol w:w="65"/>
        <w:gridCol w:w="1672"/>
      </w:tblGrid>
      <w:tr>
        <w:tblPrEx>
          <w:tblCellMar>
            <w:top w:w="0" w:type="dxa"/>
            <w:left w:w="108" w:type="dxa"/>
            <w:bottom w:w="0" w:type="dxa"/>
            <w:right w:w="108" w:type="dxa"/>
          </w:tblCellMar>
        </w:tblPrEx>
        <w:trPr>
          <w:gridBefore w:val="1"/>
          <w:gridAfter w:val="2"/>
          <w:wBefore w:w="3" w:type="dxa"/>
          <w:wAfter w:w="65" w:type="dxa"/>
          <w:trHeight w:val="623" w:hRule="atLeast"/>
        </w:trPr>
        <w:tc>
          <w:tcPr>
            <w:tcW w:w="13980" w:type="dxa"/>
            <w:gridSpan w:val="1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gridBefore w:val="1"/>
          <w:gridAfter w:val="2"/>
          <w:wBefore w:w="3" w:type="dxa"/>
          <w:wAfter w:w="65" w:type="dxa"/>
          <w:trHeight w:val="312" w:hRule="atLeast"/>
        </w:trPr>
        <w:tc>
          <w:tcPr>
            <w:tcW w:w="1142"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27"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80"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760"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53"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54" w:type="dxa"/>
            <w:gridSpan w:val="3"/>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gridBefore w:val="1"/>
          <w:gridAfter w:val="2"/>
          <w:wBefore w:w="3" w:type="dxa"/>
          <w:wAfter w:w="65" w:type="dxa"/>
          <w:trHeight w:val="312" w:hRule="atLeast"/>
        </w:trPr>
        <w:tc>
          <w:tcPr>
            <w:tcW w:w="8971" w:type="dxa"/>
            <w:gridSpan w:val="11"/>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653" w:type="dxa"/>
            <w:gridSpan w:val="2"/>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54" w:type="dxa"/>
            <w:gridSpan w:val="3"/>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72" w:type="dxa"/>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0"/>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center"/>
        <w:rPr>
          <w:rFonts w:ascii="仿宋" w:hAnsi="仿宋" w:eastAsia="仿宋" w:cs="仿宋"/>
          <w:color w:val="auto"/>
          <w:sz w:val="24"/>
          <w:highlight w:val="none"/>
        </w:rPr>
      </w:pP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0" w:type="auto"/>
        <w:tblInd w:w="198" w:type="dxa"/>
        <w:tblLayout w:type="autofit"/>
        <w:tblCellMar>
          <w:top w:w="0" w:type="dxa"/>
          <w:left w:w="108" w:type="dxa"/>
          <w:bottom w:w="0" w:type="dxa"/>
          <w:right w:w="108" w:type="dxa"/>
        </w:tblCellMar>
      </w:tblPr>
      <w:tblGrid>
        <w:gridCol w:w="1228"/>
        <w:gridCol w:w="1556"/>
        <w:gridCol w:w="1235"/>
        <w:gridCol w:w="1628"/>
        <w:gridCol w:w="1286"/>
        <w:gridCol w:w="1286"/>
        <w:gridCol w:w="897"/>
        <w:gridCol w:w="438"/>
        <w:gridCol w:w="438"/>
        <w:gridCol w:w="1452"/>
        <w:gridCol w:w="1267"/>
        <w:gridCol w:w="1265"/>
      </w:tblGrid>
      <w:tr>
        <w:tblPrEx>
          <w:tblCellMar>
            <w:top w:w="0" w:type="dxa"/>
            <w:left w:w="108" w:type="dxa"/>
            <w:bottom w:w="0" w:type="dxa"/>
            <w:right w:w="108" w:type="dxa"/>
          </w:tblCellMar>
        </w:tblPrEx>
        <w:trPr>
          <w:trHeight w:val="520" w:hRule="atLeast"/>
        </w:trPr>
        <w:tc>
          <w:tcPr>
            <w:tcW w:w="13976" w:type="dxa"/>
            <w:gridSpan w:val="1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96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9567" w:type="dxa"/>
            <w:gridSpan w:val="6"/>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0" w:type="auto"/>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0" w:type="auto"/>
            <w:gridSpan w:val="2"/>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87"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8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8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2" w:firstLineChars="20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84" w:type="dxa"/>
            <w:gridSpan w:val="11"/>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jc w:val="left"/>
              <w:rPr>
                <w:rFonts w:hint="eastAsia" w:ascii="宋体" w:hAnsi="宋体" w:eastAsia="宋体" w:cs="宋体"/>
                <w:i w:val="0"/>
                <w:iCs w:val="0"/>
                <w:color w:val="000000"/>
                <w:sz w:val="20"/>
                <w:szCs w:val="20"/>
                <w:u w:val="none"/>
              </w:rPr>
            </w:pP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left"/>
        <w:rPr>
          <w:rFonts w:ascii="仿宋" w:hAnsi="仿宋" w:eastAsia="仿宋" w:cs="仿宋"/>
          <w:color w:val="auto"/>
          <w:sz w:val="24"/>
          <w:highlight w:val="none"/>
        </w:rPr>
      </w:pP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14760" w:type="dxa"/>
        <w:tblInd w:w="93" w:type="dxa"/>
        <w:tblLayout w:type="fixed"/>
        <w:tblCellMar>
          <w:top w:w="0" w:type="dxa"/>
          <w:left w:w="108" w:type="dxa"/>
          <w:bottom w:w="0" w:type="dxa"/>
          <w:right w:w="108" w:type="dxa"/>
        </w:tblCellMar>
      </w:tblPr>
      <w:tblGrid>
        <w:gridCol w:w="3"/>
        <w:gridCol w:w="987"/>
        <w:gridCol w:w="1296"/>
        <w:gridCol w:w="238"/>
        <w:gridCol w:w="238"/>
        <w:gridCol w:w="2052"/>
        <w:gridCol w:w="106"/>
        <w:gridCol w:w="3000"/>
        <w:gridCol w:w="67"/>
        <w:gridCol w:w="2813"/>
        <w:gridCol w:w="294"/>
        <w:gridCol w:w="2889"/>
        <w:gridCol w:w="9"/>
      </w:tblGrid>
      <w:tr>
        <w:tblPrEx>
          <w:tblCellMar>
            <w:top w:w="0" w:type="dxa"/>
            <w:left w:w="108" w:type="dxa"/>
            <w:bottom w:w="0" w:type="dxa"/>
            <w:right w:w="108" w:type="dxa"/>
          </w:tblCellMar>
        </w:tblPrEx>
        <w:trPr>
          <w:gridBefore w:val="1"/>
          <w:gridAfter w:val="1"/>
          <w:wBefore w:w="3" w:type="dxa"/>
          <w:wAfter w:w="9" w:type="dxa"/>
          <w:trHeight w:val="693" w:hRule="atLeast"/>
        </w:trPr>
        <w:tc>
          <w:tcPr>
            <w:tcW w:w="13980" w:type="dxa"/>
            <w:gridSpan w:val="11"/>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gridBefore w:val="1"/>
          <w:gridAfter w:val="1"/>
          <w:wBefore w:w="3" w:type="dxa"/>
          <w:wAfter w:w="9" w:type="dxa"/>
          <w:trHeight w:val="346" w:hRule="atLeast"/>
        </w:trPr>
        <w:tc>
          <w:tcPr>
            <w:tcW w:w="2283"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173" w:type="dxa"/>
            <w:gridSpan w:val="3"/>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gridBefore w:val="1"/>
          <w:gridAfter w:val="1"/>
          <w:wBefore w:w="3" w:type="dxa"/>
          <w:wAfter w:w="9" w:type="dxa"/>
          <w:trHeight w:val="346" w:hRule="atLeast"/>
        </w:trPr>
        <w:tc>
          <w:tcPr>
            <w:tcW w:w="7984" w:type="dxa"/>
            <w:gridSpan w:val="8"/>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3107"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72"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9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19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930"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8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19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20"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114.86</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108.06</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2" w:firstLineChars="20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79.88</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78.70</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3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31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92" w:type="dxa"/>
            <w:gridSpan w:val="13"/>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14484" w:type="dxa"/>
        <w:tblInd w:w="-330" w:type="dxa"/>
        <w:tblLayout w:type="fixed"/>
        <w:tblCellMar>
          <w:top w:w="0" w:type="dxa"/>
          <w:left w:w="108" w:type="dxa"/>
          <w:bottom w:w="0" w:type="dxa"/>
          <w:right w:w="108" w:type="dxa"/>
        </w:tblCellMar>
      </w:tblPr>
      <w:tblGrid>
        <w:gridCol w:w="426"/>
        <w:gridCol w:w="369"/>
        <w:gridCol w:w="738"/>
        <w:gridCol w:w="1902"/>
        <w:gridCol w:w="469"/>
        <w:gridCol w:w="836"/>
        <w:gridCol w:w="270"/>
        <w:gridCol w:w="510"/>
        <w:gridCol w:w="770"/>
        <w:gridCol w:w="1675"/>
        <w:gridCol w:w="672"/>
        <w:gridCol w:w="385"/>
        <w:gridCol w:w="775"/>
        <w:gridCol w:w="343"/>
        <w:gridCol w:w="830"/>
        <w:gridCol w:w="2147"/>
        <w:gridCol w:w="894"/>
        <w:gridCol w:w="899"/>
      </w:tblGrid>
      <w:tr>
        <w:tblPrEx>
          <w:tblCellMar>
            <w:top w:w="0" w:type="dxa"/>
            <w:left w:w="108" w:type="dxa"/>
            <w:bottom w:w="0" w:type="dxa"/>
            <w:right w:w="108" w:type="dxa"/>
          </w:tblCellMar>
        </w:tblPrEx>
        <w:trPr>
          <w:gridBefore w:val="1"/>
          <w:wBefore w:w="426" w:type="dxa"/>
          <w:trHeight w:val="614" w:hRule="atLeast"/>
        </w:trPr>
        <w:tc>
          <w:tcPr>
            <w:tcW w:w="14484" w:type="dxa"/>
            <w:gridSpan w:val="17"/>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426"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71"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793"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gridBefore w:val="1"/>
          <w:wBefore w:w="426" w:type="dxa"/>
          <w:trHeight w:val="569" w:hRule="atLeast"/>
        </w:trPr>
        <w:tc>
          <w:tcPr>
            <w:tcW w:w="8211" w:type="dxa"/>
            <w:gridSpan w:val="10"/>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160"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940" w:type="dxa"/>
            <w:gridSpan w:val="3"/>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4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170" w:type="dxa"/>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6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4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1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71"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6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44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05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871"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97.77</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28.41</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26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3871"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35"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104.98</w:t>
            </w:r>
          </w:p>
        </w:tc>
        <w:tc>
          <w:tcPr>
            <w:tcW w:w="9271" w:type="dxa"/>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910" w:type="dxa"/>
            <w:gridSpan w:val="18"/>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13419" w:type="dxa"/>
        <w:tblInd w:w="96" w:type="dxa"/>
        <w:tblLayout w:type="fixed"/>
        <w:tblCellMar>
          <w:top w:w="0" w:type="dxa"/>
          <w:left w:w="108" w:type="dxa"/>
          <w:bottom w:w="0" w:type="dxa"/>
          <w:right w:w="108" w:type="dxa"/>
        </w:tblCellMar>
      </w:tblPr>
      <w:tblGrid>
        <w:gridCol w:w="683"/>
        <w:gridCol w:w="614"/>
        <w:gridCol w:w="240"/>
        <w:gridCol w:w="236"/>
        <w:gridCol w:w="876"/>
        <w:gridCol w:w="2055"/>
        <w:gridCol w:w="1575"/>
        <w:gridCol w:w="1665"/>
        <w:gridCol w:w="680"/>
        <w:gridCol w:w="1045"/>
        <w:gridCol w:w="635"/>
        <w:gridCol w:w="1092"/>
        <w:gridCol w:w="2023"/>
      </w:tblGrid>
      <w:tr>
        <w:tblPrEx>
          <w:tblCellMar>
            <w:top w:w="0" w:type="dxa"/>
            <w:left w:w="108" w:type="dxa"/>
            <w:bottom w:w="0" w:type="dxa"/>
            <w:right w:w="108" w:type="dxa"/>
          </w:tblCellMar>
        </w:tblPrEx>
        <w:trPr>
          <w:trHeight w:val="536" w:hRule="atLeast"/>
        </w:trPr>
        <w:tc>
          <w:tcPr>
            <w:tcW w:w="13419" w:type="dxa"/>
            <w:gridSpan w:val="13"/>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87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05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57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345"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68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09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02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8" w:hRule="atLeast"/>
        </w:trPr>
        <w:tc>
          <w:tcPr>
            <w:tcW w:w="8624" w:type="dxa"/>
            <w:gridSpan w:val="9"/>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680" w:type="dxa"/>
            <w:gridSpan w:val="2"/>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092"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023"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77" w:hRule="atLeast"/>
        </w:trPr>
        <w:tc>
          <w:tcPr>
            <w:tcW w:w="26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本年收入</w:t>
            </w:r>
          </w:p>
        </w:tc>
        <w:tc>
          <w:tcPr>
            <w:tcW w:w="51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312" w:hRule="atLeast"/>
        </w:trPr>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966"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6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72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72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96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7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966"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5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72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72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77" w:hRule="atLeast"/>
        </w:trPr>
        <w:tc>
          <w:tcPr>
            <w:tcW w:w="26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7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2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7" w:hRule="atLeast"/>
        </w:trPr>
        <w:tc>
          <w:tcPr>
            <w:tcW w:w="264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c>
          <w:tcPr>
            <w:tcW w:w="17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c>
          <w:tcPr>
            <w:tcW w:w="2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277" w:hRule="atLeast"/>
        </w:trPr>
        <w:tc>
          <w:tcPr>
            <w:tcW w:w="6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default" w:ascii="宋体" w:hAnsi="宋体" w:eastAsia="宋体" w:cs="宋体"/>
                <w:color w:val="auto"/>
                <w:sz w:val="22"/>
                <w:szCs w:val="22"/>
                <w:highlight w:val="none"/>
              </w:rPr>
            </w:pPr>
          </w:p>
        </w:tc>
        <w:tc>
          <w:tcPr>
            <w:tcW w:w="196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default" w:ascii="宋体" w:hAnsi="宋体" w:eastAsia="宋体" w:cs="宋体"/>
                <w:color w:val="auto"/>
                <w:sz w:val="22"/>
                <w:szCs w:val="22"/>
                <w:highlight w:val="none"/>
              </w:rPr>
            </w:pP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7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7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2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77" w:hRule="atLeast"/>
        </w:trPr>
        <w:tc>
          <w:tcPr>
            <w:tcW w:w="13419" w:type="dxa"/>
            <w:gridSpan w:val="1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pageBreakBefore w:val="0"/>
        <w:kinsoku/>
        <w:wordWrap/>
        <w:overflowPunct/>
        <w:topLinePunct w:val="0"/>
        <w:bidi w:val="0"/>
        <w:snapToGrid/>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br w:type="page"/>
      </w:r>
    </w:p>
    <w:p>
      <w:pPr>
        <w:keepNext w:val="0"/>
        <w:keepLines w:val="0"/>
        <w:pageBreakBefore w:val="0"/>
        <w:kinsoku/>
        <w:wordWrap/>
        <w:overflowPunct/>
        <w:topLinePunct w:val="0"/>
        <w:bidi w:val="0"/>
        <w:snapToGrid/>
        <w:ind w:firstLine="480" w:firstLineChars="200"/>
        <w:jc w:val="left"/>
        <w:rPr>
          <w:rFonts w:ascii="仿宋" w:hAnsi="仿宋" w:eastAsia="仿宋" w:cs="仿宋"/>
          <w:color w:val="auto"/>
          <w:sz w:val="24"/>
          <w:highlight w:val="none"/>
        </w:rPr>
      </w:pP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keepNext w:val="0"/>
        <w:keepLines w:val="0"/>
        <w:pageBreakBefore w:val="0"/>
        <w:kinsoku/>
        <w:wordWrap/>
        <w:overflowPunct/>
        <w:topLinePunct w:val="0"/>
        <w:bidi w:val="0"/>
        <w:snapToGrid/>
        <w:ind w:firstLine="480" w:firstLineChars="200"/>
        <w:jc w:val="left"/>
        <w:rPr>
          <w:rFonts w:hint="eastAsia" w:ascii="仿宋" w:hAnsi="仿宋" w:eastAsia="仿宋" w:cs="仿宋"/>
          <w:color w:val="auto"/>
          <w:sz w:val="24"/>
          <w:highlight w:val="none"/>
        </w:rPr>
      </w:pPr>
    </w:p>
    <w:tbl>
      <w:tblPr>
        <w:tblStyle w:val="6"/>
        <w:tblW w:w="0" w:type="auto"/>
        <w:tblInd w:w="0" w:type="dxa"/>
        <w:tblLayout w:type="fixed"/>
        <w:tblCellMar>
          <w:top w:w="0" w:type="dxa"/>
          <w:left w:w="108" w:type="dxa"/>
          <w:bottom w:w="0" w:type="dxa"/>
          <w:right w:w="108" w:type="dxa"/>
        </w:tblCellMar>
      </w:tblPr>
      <w:tblGrid>
        <w:gridCol w:w="675"/>
        <w:gridCol w:w="1215"/>
        <w:gridCol w:w="1050"/>
        <w:gridCol w:w="792"/>
        <w:gridCol w:w="222"/>
        <w:gridCol w:w="366"/>
        <w:gridCol w:w="1425"/>
        <w:gridCol w:w="1035"/>
        <w:gridCol w:w="990"/>
        <w:gridCol w:w="1020"/>
        <w:gridCol w:w="1035"/>
        <w:gridCol w:w="1260"/>
        <w:gridCol w:w="989"/>
        <w:gridCol w:w="346"/>
        <w:gridCol w:w="1175"/>
      </w:tblGrid>
      <w:tr>
        <w:tblPrEx>
          <w:tblCellMar>
            <w:top w:w="0" w:type="dxa"/>
            <w:left w:w="108" w:type="dxa"/>
            <w:bottom w:w="0" w:type="dxa"/>
            <w:right w:w="108" w:type="dxa"/>
          </w:tblCellMar>
        </w:tblPrEx>
        <w:trPr>
          <w:trHeight w:val="384" w:hRule="atLeast"/>
        </w:trPr>
        <w:tc>
          <w:tcPr>
            <w:tcW w:w="13595" w:type="dxa"/>
            <w:gridSpan w:val="1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67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21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842"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588"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450" w:type="dxa"/>
            <w:gridSpan w:val="3"/>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4304" w:type="dxa"/>
            <w:gridSpan w:val="4"/>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521"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70" w:type="dxa"/>
            <w:gridSpan w:val="9"/>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4304" w:type="dxa"/>
            <w:gridSpan w:val="4"/>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521"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13595" w:type="dxa"/>
            <w:gridSpan w:val="15"/>
            <w:tcBorders>
              <w:top w:val="nil"/>
              <w:left w:val="nil"/>
              <w:bottom w:val="nil"/>
              <w:right w:val="nil"/>
            </w:tcBorders>
            <w:shd w:val="clear" w:color="auto" w:fill="auto"/>
            <w:noWrap/>
            <w:vAlign w:val="center"/>
          </w:tcPr>
          <w:tbl>
            <w:tblPr>
              <w:tblStyle w:val="6"/>
              <w:tblW w:w="13329"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222"/>
              <w:gridCol w:w="222"/>
              <w:gridCol w:w="885"/>
              <w:gridCol w:w="5"/>
              <w:gridCol w:w="3925"/>
              <w:gridCol w:w="5"/>
              <w:gridCol w:w="2275"/>
              <w:gridCol w:w="5"/>
              <w:gridCol w:w="2795"/>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64"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65" w:type="dxa"/>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4"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0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4"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4"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393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80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64"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64"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2" w:firstLineChars="20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left"/>
                    <w:rPr>
                      <w:rFonts w:hint="eastAsia" w:ascii="宋体" w:hAnsi="宋体" w:eastAsia="宋体" w:cs="宋体"/>
                      <w:i w:val="0"/>
                      <w:iCs w:val="0"/>
                      <w:color w:val="000000"/>
                      <w:sz w:val="22"/>
                      <w:szCs w:val="22"/>
                      <w:u w:val="none"/>
                    </w:rPr>
                  </w:pP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28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324" w:type="dxa"/>
                  <w:gridSpan w:val="10"/>
                  <w:tcBorders>
                    <w:top w:val="single" w:color="000000" w:sz="4" w:space="0"/>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270" w:hRule="atLeast"/>
              </w:trPr>
              <w:tc>
                <w:tcPr>
                  <w:tcW w:w="22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890"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3930"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2280"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2795"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c>
                <w:tcPr>
                  <w:tcW w:w="2985"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rPr>
                      <w:rFonts w:hint="eastAsia" w:ascii="宋体" w:hAnsi="宋体" w:eastAsia="宋体" w:cs="宋体"/>
                      <w:i w:val="0"/>
                      <w:iCs w:val="0"/>
                      <w:color w:val="000000"/>
                      <w:sz w:val="22"/>
                      <w:szCs w:val="22"/>
                      <w:u w:val="none"/>
                    </w:rPr>
                  </w:pPr>
                </w:p>
              </w:tc>
            </w:tr>
          </w:tbl>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trHeight w:val="632" w:hRule="atLeast"/>
        </w:trPr>
        <w:tc>
          <w:tcPr>
            <w:tcW w:w="13595" w:type="dxa"/>
            <w:gridSpan w:val="1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eastAsia" w:ascii="宋体" w:hAnsi="宋体" w:eastAsia="宋体" w:cs="宋体"/>
                <w:color w:val="auto"/>
                <w:kern w:val="0"/>
                <w:sz w:val="32"/>
                <w:szCs w:val="32"/>
                <w:highlight w:val="none"/>
                <w:lang w:bidi="ar"/>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eastAsia" w:ascii="宋体" w:hAnsi="宋体" w:eastAsia="宋体" w:cs="宋体"/>
                <w:color w:val="auto"/>
                <w:kern w:val="0"/>
                <w:sz w:val="32"/>
                <w:szCs w:val="32"/>
                <w:highlight w:val="none"/>
                <w:lang w:bidi="ar"/>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eastAsia" w:ascii="宋体" w:hAnsi="宋体" w:eastAsia="宋体" w:cs="宋体"/>
                <w:color w:val="auto"/>
                <w:kern w:val="0"/>
                <w:sz w:val="32"/>
                <w:szCs w:val="32"/>
                <w:highlight w:val="none"/>
                <w:lang w:bidi="ar"/>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eastAsia" w:ascii="宋体" w:hAnsi="宋体" w:eastAsia="宋体" w:cs="宋体"/>
                <w:color w:val="auto"/>
                <w:kern w:val="0"/>
                <w:sz w:val="32"/>
                <w:szCs w:val="32"/>
                <w:highlight w:val="none"/>
                <w:lang w:bidi="ar"/>
              </w:rPr>
            </w:pPr>
          </w:p>
        </w:tc>
      </w:tr>
      <w:tr>
        <w:tblPrEx>
          <w:tblCellMar>
            <w:top w:w="0" w:type="dxa"/>
            <w:left w:w="108" w:type="dxa"/>
            <w:bottom w:w="0" w:type="dxa"/>
            <w:right w:w="108" w:type="dxa"/>
          </w:tblCellMar>
        </w:tblPrEx>
        <w:trPr>
          <w:trHeight w:val="632" w:hRule="atLeast"/>
        </w:trPr>
        <w:tc>
          <w:tcPr>
            <w:tcW w:w="13595" w:type="dxa"/>
            <w:gridSpan w:val="15"/>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80" w:firstLineChars="20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00" w:firstLineChars="200"/>
              <w:jc w:val="center"/>
              <w:textAlignment w:val="bottom"/>
              <w:rPr>
                <w:rFonts w:hint="eastAsia" w:ascii="宋体" w:hAnsi="宋体" w:eastAsia="宋体" w:cs="宋体"/>
                <w:color w:val="auto"/>
                <w:kern w:val="0"/>
                <w:sz w:val="30"/>
                <w:szCs w:val="30"/>
                <w:highlight w:val="none"/>
                <w:lang w:bidi="ar"/>
              </w:rPr>
            </w:pPr>
          </w:p>
          <w:p>
            <w:pPr>
              <w:keepNext w:val="0"/>
              <w:keepLines w:val="0"/>
              <w:pageBreakBefore w:val="0"/>
              <w:widowControl/>
              <w:suppressLineNumbers w:val="0"/>
              <w:kinsoku/>
              <w:wordWrap/>
              <w:overflowPunct/>
              <w:topLinePunct w:val="0"/>
              <w:bidi w:val="0"/>
              <w:snapToGrid/>
              <w:spacing w:before="0" w:beforeAutospacing="0" w:after="0" w:afterAutospacing="0"/>
              <w:ind w:left="0" w:right="0" w:firstLine="640" w:firstLineChars="20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67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057" w:type="dxa"/>
            <w:gridSpan w:val="3"/>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2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36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03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99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02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295"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510" w:type="dxa"/>
            <w:gridSpan w:val="3"/>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6780" w:type="dxa"/>
            <w:gridSpan w:val="8"/>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99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102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295"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bidi w:val="0"/>
              <w:snapToGrid/>
              <w:spacing w:before="0" w:beforeAutospacing="0" w:after="0" w:afterAutospacing="0"/>
              <w:ind w:left="0" w:right="0" w:firstLine="400" w:firstLineChars="200"/>
              <w:rPr>
                <w:rFonts w:hint="default" w:ascii="Arial" w:hAnsi="Arial" w:cs="Arial"/>
                <w:color w:val="auto"/>
                <w:sz w:val="20"/>
                <w:szCs w:val="20"/>
                <w:highlight w:val="none"/>
              </w:rPr>
            </w:pPr>
          </w:p>
        </w:tc>
        <w:tc>
          <w:tcPr>
            <w:tcW w:w="2510" w:type="dxa"/>
            <w:gridSpan w:val="3"/>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00" w:firstLineChars="20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67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681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26" w:hRule="atLeast"/>
        </w:trPr>
        <w:tc>
          <w:tcPr>
            <w:tcW w:w="6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55"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9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30" w:type="dxa"/>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42" w:hRule="atLeast"/>
        </w:trPr>
        <w:tc>
          <w:tcPr>
            <w:tcW w:w="675"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2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3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9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0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959" w:hRule="atLeast"/>
        </w:trPr>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8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0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26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335"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1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center"/>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42" w:hRule="atLeast"/>
        </w:trPr>
        <w:tc>
          <w:tcPr>
            <w:tcW w:w="6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121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380" w:type="dxa"/>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kern w:val="0"/>
                <w:sz w:val="22"/>
                <w:szCs w:val="22"/>
                <w:highlight w:val="none"/>
                <w:lang w:bidi="ar"/>
              </w:rPr>
            </w:pP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0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40" w:firstLineChars="200"/>
              <w:jc w:val="right"/>
              <w:rPr>
                <w:rFonts w:hint="default" w:ascii="宋体" w:hAnsi="宋体" w:eastAsia="宋体" w:cs="宋体"/>
                <w:color w:val="auto"/>
                <w:sz w:val="22"/>
                <w:szCs w:val="22"/>
                <w:highlight w:val="none"/>
              </w:rPr>
            </w:pPr>
          </w:p>
        </w:tc>
        <w:tc>
          <w:tcPr>
            <w:tcW w:w="1335" w:type="dxa"/>
            <w:gridSpan w:val="2"/>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20" w:firstLineChars="200"/>
              <w:jc w:val="right"/>
              <w:rPr>
                <w:rFonts w:hint="default"/>
                <w:color w:val="auto"/>
                <w:highlight w:val="none"/>
              </w:rPr>
            </w:pPr>
          </w:p>
        </w:tc>
        <w:tc>
          <w:tcPr>
            <w:tcW w:w="11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ind w:left="0" w:right="0" w:firstLine="420" w:firstLineChars="200"/>
              <w:jc w:val="right"/>
              <w:rPr>
                <w:rFonts w:hint="default"/>
                <w:color w:val="auto"/>
                <w:highlight w:val="none"/>
              </w:rPr>
            </w:pPr>
          </w:p>
        </w:tc>
      </w:tr>
      <w:tr>
        <w:tblPrEx>
          <w:tblCellMar>
            <w:top w:w="0" w:type="dxa"/>
            <w:left w:w="108" w:type="dxa"/>
            <w:bottom w:w="0" w:type="dxa"/>
            <w:right w:w="108" w:type="dxa"/>
          </w:tblCellMar>
        </w:tblPrEx>
        <w:trPr>
          <w:trHeight w:val="642" w:hRule="atLeast"/>
        </w:trPr>
        <w:tc>
          <w:tcPr>
            <w:tcW w:w="13595" w:type="dxa"/>
            <w:gridSpan w:val="1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napToGrid/>
              <w:spacing w:before="0" w:beforeAutospacing="0" w:after="0" w:afterAutospacing="0"/>
              <w:ind w:left="0" w:right="0" w:firstLine="440" w:firstLineChars="20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pageBreakBefore w:val="0"/>
        <w:kinsoku/>
        <w:wordWrap/>
        <w:overflowPunct/>
        <w:topLinePunct w:val="0"/>
        <w:bidi w:val="0"/>
        <w:snapToGrid/>
        <w:ind w:firstLine="480" w:firstLineChars="20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kinsoku/>
        <w:wordWrap/>
        <w:overflowPunct/>
        <w:topLinePunct w:val="0"/>
        <w:bidi w:val="0"/>
        <w:snapToGrid/>
        <w:ind w:firstLine="480" w:firstLineChars="200"/>
        <w:jc w:val="left"/>
        <w:rPr>
          <w:rFonts w:ascii="仿宋" w:hAnsi="仿宋" w:eastAsia="仿宋" w:cs="仿宋"/>
          <w:color w:val="auto"/>
          <w:sz w:val="24"/>
          <w:highlight w:val="none"/>
        </w:rPr>
      </w:pPr>
    </w:p>
    <w:p>
      <w:pPr>
        <w:keepNext w:val="0"/>
        <w:keepLines w:val="0"/>
        <w:pageBreakBefore w:val="0"/>
        <w:kinsoku/>
        <w:wordWrap/>
        <w:overflowPunct/>
        <w:topLinePunct w:val="0"/>
        <w:bidi w:val="0"/>
        <w:snapToGrid/>
        <w:ind w:firstLine="640" w:firstLineChars="200"/>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度部门决算情况说明</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度收入支出决算总体情况</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度总收入</w:t>
      </w:r>
      <w:r>
        <w:rPr>
          <w:rFonts w:hint="eastAsia" w:ascii="仿宋" w:hAnsi="仿宋" w:eastAsia="仿宋" w:cs="仿宋"/>
          <w:color w:val="auto"/>
          <w:sz w:val="32"/>
          <w:u w:color="auto"/>
        </w:rPr>
        <w:t>114.86</w:t>
      </w:r>
      <w:r>
        <w:rPr>
          <w:rFonts w:hint="eastAsia" w:ascii="仿宋" w:hAnsi="仿宋" w:eastAsia="仿宋" w:cs="仿宋"/>
          <w:color w:val="auto"/>
          <w:sz w:val="32"/>
          <w:szCs w:val="32"/>
          <w:highlight w:val="none"/>
        </w:rPr>
        <w:t>万元，较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17.42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13.17</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，其中本年收入</w:t>
      </w:r>
      <w:r>
        <w:rPr>
          <w:rFonts w:hint="eastAsia" w:ascii="仿宋" w:hAnsi="仿宋" w:eastAsia="仿宋" w:cs="仿宋"/>
          <w:color w:val="auto"/>
          <w:sz w:val="32"/>
          <w:u w:color="auto"/>
        </w:rPr>
        <w:t>114.86</w:t>
      </w:r>
      <w:r>
        <w:rPr>
          <w:rFonts w:hint="eastAsia" w:ascii="仿宋" w:hAnsi="仿宋" w:eastAsia="仿宋" w:cs="仿宋"/>
          <w:color w:val="auto"/>
          <w:sz w:val="32"/>
          <w:szCs w:val="32"/>
          <w:highlight w:val="none"/>
        </w:rPr>
        <w:t>万元。收入具体情况如下。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u w:color="auto"/>
        </w:rPr>
        <w:t>114.86</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17.42</w:t>
      </w:r>
      <w:r>
        <w:rPr>
          <w:rFonts w:hint="eastAsia" w:ascii="仿宋" w:hAnsi="仿宋" w:eastAsia="仿宋" w:cs="仿宋"/>
          <w:color w:val="auto"/>
          <w:kern w:val="2"/>
          <w:sz w:val="32"/>
          <w:szCs w:val="32"/>
          <w:highlight w:val="none"/>
          <w:lang w:val="en-US" w:eastAsia="zh-CN" w:bidi="ar"/>
        </w:rPr>
        <w:t>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13.17</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，主要原因：减少项目经费。</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5.经营收入0.00万,为事业单位在业务活动之外开展非独立核算经营活动取得的收入。较2022年度决算数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万元，为以前年度支出预算因客观条件变化未执行完毕、结转到本年度按有关规定继续使用的资金。较2022年度决算数持平。</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度总支出</w:t>
      </w:r>
      <w:r>
        <w:rPr>
          <w:rFonts w:hint="eastAsia" w:ascii="仿宋" w:hAnsi="仿宋" w:eastAsia="仿宋" w:cs="仿宋"/>
          <w:color w:val="auto"/>
          <w:sz w:val="32"/>
          <w:u w:color="auto"/>
        </w:rPr>
        <w:t>114.86</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u w:color="auto"/>
        </w:rPr>
        <w:t>114.86</w:t>
      </w:r>
      <w:r>
        <w:rPr>
          <w:rFonts w:hint="eastAsia" w:ascii="仿宋" w:hAnsi="仿宋" w:eastAsia="仿宋" w:cs="仿宋"/>
          <w:color w:val="auto"/>
          <w:sz w:val="32"/>
          <w:szCs w:val="32"/>
          <w:highlight w:val="none"/>
        </w:rPr>
        <w:t>万元，较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ascii="仿宋" w:hAnsi="仿宋" w:eastAsia="仿宋" w:cs="仿宋"/>
          <w:color w:val="auto"/>
          <w:sz w:val="32"/>
          <w:u w:color="auto"/>
        </w:rPr>
        <w:t>减少1</w:t>
      </w:r>
      <w:r>
        <w:rPr>
          <w:rFonts w:hint="eastAsia" w:ascii="仿宋" w:hAnsi="仿宋" w:eastAsia="仿宋" w:cs="仿宋"/>
          <w:color w:val="auto"/>
          <w:sz w:val="32"/>
          <w:u w:color="auto"/>
          <w:lang w:val="en-US" w:eastAsia="zh-CN"/>
        </w:rPr>
        <w:t>7</w:t>
      </w:r>
      <w:r>
        <w:rPr>
          <w:rFonts w:ascii="仿宋" w:hAnsi="仿宋" w:eastAsia="仿宋" w:cs="仿宋"/>
          <w:color w:val="auto"/>
          <w:sz w:val="32"/>
          <w:u w:color="auto"/>
        </w:rPr>
        <w:t>.42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13.17</w:t>
      </w:r>
      <w:r>
        <w:rPr>
          <w:rFonts w:ascii="仿宋" w:hAnsi="仿宋" w:eastAsia="仿宋" w:cs="仿宋"/>
          <w:color w:val="auto"/>
          <w:sz w:val="32"/>
          <w:u w:color="auto"/>
        </w:rPr>
        <w:t>%</w:t>
      </w:r>
      <w:r>
        <w:rPr>
          <w:rFonts w:hint="eastAsia" w:ascii="仿宋" w:hAnsi="仿宋" w:eastAsia="仿宋" w:cs="仿宋"/>
          <w:color w:val="auto"/>
          <w:sz w:val="32"/>
          <w:szCs w:val="32"/>
          <w:highlight w:val="none"/>
        </w:rPr>
        <w:t>。支出具体情况如下：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83.33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本部门为保证日常运转发生的基本支出，如根据国家及自治区规定的基本工资和津补贴标准等安排的人员经费支出和日常公用经费支出以及项目经费支出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20.87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20.03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主要原因是：项目工作经费支出减少。</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default" w:ascii="仿宋" w:hAnsi="仿宋" w:eastAsia="仿宋" w:cs="仿宋"/>
          <w:color w:val="auto"/>
          <w:kern w:val="2"/>
          <w:sz w:val="32"/>
          <w:szCs w:val="32"/>
          <w:highlight w:val="yellow"/>
          <w:lang w:val="en-US" w:eastAsia="zh-CN" w:bidi="ar"/>
        </w:rPr>
      </w:pPr>
      <w:r>
        <w:rPr>
          <w:rFonts w:hint="eastAsia" w:ascii="仿宋" w:hAnsi="仿宋" w:eastAsia="仿宋" w:cs="仿宋"/>
          <w:color w:val="auto"/>
          <w:kern w:val="2"/>
          <w:sz w:val="32"/>
          <w:szCs w:val="32"/>
          <w:highlight w:val="none"/>
          <w:lang w:val="en-US" w:eastAsia="zh-CN" w:bidi="ar"/>
        </w:rPr>
        <w:t>2.科学技术支出3.59万元，</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非实名实聘人员经费补助支出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val="en-US" w:eastAsia="zh-CN" w:bidi="ar"/>
        </w:rPr>
        <w:t>增加3.59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增长100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主要原因是：本年度用于调整支出功能分类科目。</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9.79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val="en-US" w:eastAsia="zh-CN" w:bidi="ar"/>
        </w:rPr>
        <w:t>增加1.92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增长24.4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主要原因是：养老保险缴费基数提高。</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7.35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单位按规定的比例计缴的在职在编人员住房公积金</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bidi="ar"/>
        </w:rPr>
        <w:t>增加0.</w:t>
      </w:r>
      <w:r>
        <w:rPr>
          <w:rFonts w:hint="eastAsia" w:ascii="仿宋" w:hAnsi="仿宋" w:eastAsia="仿宋" w:cs="仿宋"/>
          <w:color w:val="auto"/>
          <w:sz w:val="32"/>
          <w:szCs w:val="32"/>
          <w:highlight w:val="none"/>
          <w:lang w:val="en-US" w:eastAsia="zh-CN" w:bidi="ar"/>
        </w:rPr>
        <w:t>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14.31</w:t>
      </w:r>
      <w:r>
        <w:rPr>
          <w:rFonts w:hint="eastAsia" w:ascii="仿宋" w:hAnsi="仿宋" w:eastAsia="仿宋" w:cs="仿宋"/>
          <w:color w:val="auto"/>
          <w:sz w:val="32"/>
          <w:szCs w:val="32"/>
          <w:highlight w:val="none"/>
          <w:lang w:bidi="ar"/>
        </w:rPr>
        <w:t>%</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10</w:t>
      </w:r>
      <w:r>
        <w:rPr>
          <w:rFonts w:hint="eastAsia" w:ascii="仿宋" w:hAnsi="仿宋" w:eastAsia="仿宋" w:cs="仿宋"/>
          <w:color w:val="auto"/>
          <w:sz w:val="32"/>
          <w:szCs w:val="32"/>
          <w:highlight w:val="none"/>
          <w:lang w:bidi="ar"/>
        </w:rPr>
        <w:t>.79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在职在编人员奖励性绩效补贴支出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hint="eastAsia" w:ascii="仿宋" w:hAnsi="仿宋" w:eastAsia="仿宋" w:cs="仿宋"/>
          <w:color w:val="auto"/>
          <w:sz w:val="32"/>
          <w:szCs w:val="32"/>
          <w:highlight w:val="none"/>
          <w:lang w:bidi="ar"/>
        </w:rPr>
        <w:t>减少3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21.75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主要原因是：奖励性绩效补贴总额减少。</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2022年</w:t>
      </w:r>
      <w:r>
        <w:rPr>
          <w:rFonts w:hint="default" w:ascii="仿宋_GB2312" w:hAnsi="微软雅黑" w:eastAsia="仿宋_GB2312" w:cs="仿宋_GB2312"/>
          <w:i w:val="0"/>
          <w:iCs w:val="0"/>
          <w:caps w:val="0"/>
          <w:color w:val="auto"/>
          <w:spacing w:val="0"/>
          <w:sz w:val="31"/>
          <w:szCs w:val="31"/>
          <w:highlight w:val="none"/>
          <w:shd w:val="clear" w:color="auto" w:fill="FFFFFF"/>
        </w:rPr>
        <w:t>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r>
        <w:drawing>
          <wp:inline distT="0" distB="0" distL="114300" distR="114300">
            <wp:extent cx="5730875" cy="2647315"/>
            <wp:effectExtent l="4445" t="4445" r="17780" b="1524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1" w:name="OLE_LINK1"/>
      <w:r>
        <w:rPr>
          <w:rFonts w:hint="eastAsia" w:ascii="黑体" w:hAnsi="黑体" w:eastAsia="黑体" w:cs="黑体"/>
          <w:color w:val="auto"/>
          <w:sz w:val="32"/>
          <w:szCs w:val="32"/>
          <w:highlight w:val="none"/>
        </w:rPr>
        <w:t>一般公共预算财政拨款支出决算情况</w:t>
      </w:r>
      <w:bookmarkEnd w:id="1"/>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度一般公共预算财政拨款支出</w:t>
      </w:r>
      <w:r>
        <w:rPr>
          <w:rFonts w:hint="eastAsia" w:ascii="仿宋" w:hAnsi="仿宋" w:eastAsia="仿宋" w:cs="仿宋"/>
          <w:color w:val="auto"/>
          <w:sz w:val="32"/>
          <w:u w:color="auto"/>
        </w:rPr>
        <w:t>114.86</w:t>
      </w:r>
      <w:r>
        <w:rPr>
          <w:rFonts w:hint="eastAsia" w:ascii="仿宋" w:hAnsi="仿宋" w:eastAsia="仿宋" w:cs="仿宋"/>
          <w:color w:val="auto"/>
          <w:sz w:val="32"/>
          <w:szCs w:val="32"/>
          <w:highlight w:val="none"/>
        </w:rPr>
        <w:t>万元，较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ascii="仿宋" w:hAnsi="仿宋" w:eastAsia="仿宋" w:cs="仿宋"/>
          <w:color w:val="auto"/>
          <w:sz w:val="32"/>
          <w:u w:color="auto"/>
        </w:rPr>
        <w:t>减少1</w:t>
      </w:r>
      <w:r>
        <w:rPr>
          <w:rFonts w:hint="eastAsia" w:ascii="仿宋" w:hAnsi="仿宋" w:eastAsia="仿宋" w:cs="仿宋"/>
          <w:color w:val="auto"/>
          <w:sz w:val="32"/>
          <w:u w:color="auto"/>
          <w:lang w:val="en-US" w:eastAsia="zh-CN"/>
        </w:rPr>
        <w:t>7</w:t>
      </w:r>
      <w:r>
        <w:rPr>
          <w:rFonts w:ascii="仿宋" w:hAnsi="仿宋" w:eastAsia="仿宋" w:cs="仿宋"/>
          <w:color w:val="auto"/>
          <w:sz w:val="32"/>
          <w:u w:color="auto"/>
        </w:rPr>
        <w:t>.42</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13.17</w:t>
      </w:r>
      <w:r>
        <w:rPr>
          <w:rFonts w:ascii="仿宋" w:hAnsi="仿宋" w:eastAsia="仿宋" w:cs="仿宋"/>
          <w:color w:val="auto"/>
          <w:sz w:val="32"/>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u w:color="auto"/>
        </w:rPr>
        <w:t>108.06</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u w:color="auto"/>
          <w:lang w:val="en-US" w:eastAsia="zh-CN"/>
        </w:rPr>
        <w:t>6.8</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bidi w:val="0"/>
        <w:snapToGrid/>
        <w:ind w:firstLine="640" w:firstLineChars="200"/>
        <w:jc w:val="left"/>
        <w:rPr>
          <w:rFonts w:ascii="仿宋" w:hAnsi="仿宋" w:eastAsia="仿宋"/>
          <w:color w:val="auto"/>
          <w:sz w:val="32"/>
          <w:szCs w:val="32"/>
          <w:highlight w:val="yellow"/>
        </w:rPr>
      </w:pPr>
      <w:r>
        <w:rPr>
          <w:rFonts w:hint="eastAsia" w:ascii="仿宋" w:hAnsi="仿宋" w:eastAsia="仿宋" w:cs="仿宋"/>
          <w:color w:val="auto"/>
          <w:sz w:val="32"/>
          <w:szCs w:val="32"/>
          <w:highlight w:val="none"/>
        </w:rPr>
        <w:t>中国共产党环江毛南族自治县委员会党史研究室202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ascii="仿宋" w:hAnsi="仿宋" w:eastAsia="仿宋" w:cs="仿宋"/>
          <w:color w:val="auto"/>
          <w:sz w:val="32"/>
          <w:highlight w:val="none"/>
          <w:u w:color="auto"/>
        </w:rPr>
        <w:t>8</w:t>
      </w:r>
      <w:r>
        <w:rPr>
          <w:rFonts w:hint="eastAsia" w:ascii="仿宋" w:hAnsi="仿宋" w:eastAsia="仿宋" w:cs="仿宋"/>
          <w:color w:val="auto"/>
          <w:sz w:val="32"/>
          <w:highlight w:val="none"/>
          <w:u w:color="auto"/>
          <w:lang w:val="en-US" w:eastAsia="zh-CN"/>
        </w:rPr>
        <w:t>5</w:t>
      </w:r>
      <w:r>
        <w:rPr>
          <w:rFonts w:ascii="仿宋" w:hAnsi="仿宋" w:eastAsia="仿宋" w:cs="仿宋"/>
          <w:color w:val="auto"/>
          <w:sz w:val="32"/>
          <w:highlight w:val="none"/>
          <w:u w:color="auto"/>
        </w:rPr>
        <w:t>.</w:t>
      </w:r>
      <w:r>
        <w:rPr>
          <w:rFonts w:hint="eastAsia" w:ascii="仿宋" w:hAnsi="仿宋" w:eastAsia="仿宋" w:cs="仿宋"/>
          <w:color w:val="auto"/>
          <w:sz w:val="32"/>
          <w:highlight w:val="none"/>
          <w:u w:color="auto"/>
          <w:lang w:val="en-US" w:eastAsia="zh-CN"/>
        </w:rPr>
        <w:t>58</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highlight w:val="none"/>
          <w:u w:color="auto"/>
        </w:rPr>
        <w:t>114.86</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highlight w:val="none"/>
          <w:u w:color="auto"/>
          <w:lang w:val="en-US" w:eastAsia="zh-CN"/>
        </w:rPr>
        <w:t>134.21</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w:t>
      </w:r>
      <w:bookmarkStart w:id="2" w:name="OLE_LINK2"/>
      <w:bookmarkEnd w:id="2"/>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ind w:left="0" w:leftChars="0" w:right="0" w:rightChars="0" w:firstLine="640" w:firstLineChars="200"/>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69.94</w:t>
      </w:r>
      <w:r>
        <w:rPr>
          <w:rFonts w:hint="eastAsia" w:ascii="仿宋" w:hAnsi="仿宋" w:eastAsia="仿宋"/>
          <w:color w:val="auto"/>
          <w:sz w:val="32"/>
          <w:szCs w:val="32"/>
          <w:highlight w:val="none"/>
        </w:rPr>
        <w:t>万元，支出决算为</w:t>
      </w:r>
      <w:r>
        <w:rPr>
          <w:rFonts w:hint="eastAsia" w:ascii="仿宋" w:hAnsi="仿宋" w:eastAsia="仿宋" w:cs="仿宋"/>
          <w:color w:val="auto"/>
          <w:sz w:val="32"/>
          <w:szCs w:val="32"/>
          <w:highlight w:val="none"/>
          <w:lang w:val="en-US" w:eastAsia="zh-CN" w:bidi="ar"/>
        </w:rPr>
        <w:t>83.33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119.14</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ascii="仿宋_GB2312" w:hAnsi="宋体" w:eastAsia="仿宋_GB2312" w:cs="仿宋_GB2312"/>
          <w:i w:val="0"/>
          <w:iCs w:val="0"/>
          <w:caps w:val="0"/>
          <w:color w:val="auto"/>
          <w:spacing w:val="0"/>
          <w:sz w:val="31"/>
          <w:szCs w:val="31"/>
          <w:shd w:val="clear" w:fill="FFFFFF"/>
        </w:rPr>
        <w:t>年初预算安排是根据上年度人员工资基数编制年初预算，受人员工资的增资调资、项目控制数的影响，未能将全部项目列入年初预算按排，在项目执行过程中，只能通过追加经费、调整预算来按排，导致了预决算数差异的存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465"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2354"/>
        <w:gridCol w:w="840"/>
        <w:gridCol w:w="780"/>
        <w:gridCol w:w="990"/>
        <w:gridCol w:w="222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916" w:type="dxa"/>
            <w:tcBorders>
              <w:top w:val="dotted" w:color="000000" w:sz="4" w:space="0"/>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类款项</w:t>
            </w:r>
          </w:p>
        </w:tc>
        <w:tc>
          <w:tcPr>
            <w:tcW w:w="2354"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0"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780"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w:t>
            </w:r>
          </w:p>
        </w:tc>
        <w:tc>
          <w:tcPr>
            <w:tcW w:w="990"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完成预算百分比</w:t>
            </w:r>
          </w:p>
        </w:tc>
        <w:tc>
          <w:tcPr>
            <w:tcW w:w="2220"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w:t>
            </w:r>
          </w:p>
        </w:tc>
        <w:tc>
          <w:tcPr>
            <w:tcW w:w="1365" w:type="dxa"/>
            <w:tcBorders>
              <w:top w:val="dotted" w:color="000000" w:sz="4" w:space="0"/>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916"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2354"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84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68.82</w:t>
            </w:r>
          </w:p>
        </w:tc>
        <w:tc>
          <w:tcPr>
            <w:tcW w:w="78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79.88</w:t>
            </w:r>
          </w:p>
        </w:tc>
        <w:tc>
          <w:tcPr>
            <w:tcW w:w="99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116.07%</w:t>
            </w:r>
          </w:p>
        </w:tc>
        <w:tc>
          <w:tcPr>
            <w:tcW w:w="222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人员经费及日常开支</w:t>
            </w:r>
          </w:p>
        </w:tc>
        <w:tc>
          <w:tcPr>
            <w:tcW w:w="136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调整工资及基数调整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916"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2010399</w:t>
            </w:r>
          </w:p>
        </w:tc>
        <w:tc>
          <w:tcPr>
            <w:tcW w:w="2354"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其他政府办公厅（室）</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及相关机构事务支出</w:t>
            </w:r>
          </w:p>
        </w:tc>
        <w:tc>
          <w:tcPr>
            <w:tcW w:w="840"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9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#DIV/0!</w:t>
            </w:r>
          </w:p>
        </w:tc>
        <w:tc>
          <w:tcPr>
            <w:tcW w:w="222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2023年新增功能科目</w:t>
            </w:r>
          </w:p>
        </w:tc>
        <w:tc>
          <w:tcPr>
            <w:tcW w:w="1365"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6"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2012901</w:t>
            </w:r>
          </w:p>
        </w:tc>
        <w:tc>
          <w:tcPr>
            <w:tcW w:w="2354"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840"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0.3</w:t>
            </w:r>
          </w:p>
        </w:tc>
        <w:tc>
          <w:tcPr>
            <w:tcW w:w="99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#DIV/0!</w:t>
            </w:r>
          </w:p>
        </w:tc>
        <w:tc>
          <w:tcPr>
            <w:tcW w:w="222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日常开支</w:t>
            </w:r>
          </w:p>
        </w:tc>
        <w:tc>
          <w:tcPr>
            <w:tcW w:w="1365"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916"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2354"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其他群众团体事务支出</w:t>
            </w:r>
          </w:p>
        </w:tc>
        <w:tc>
          <w:tcPr>
            <w:tcW w:w="84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78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9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22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在职人员工会经费单位部分开支</w:t>
            </w:r>
          </w:p>
        </w:tc>
        <w:tc>
          <w:tcPr>
            <w:tcW w:w="1365"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16" w:type="dxa"/>
            <w:tcBorders>
              <w:top w:val="nil"/>
              <w:left w:val="dotted" w:color="000000" w:sz="4" w:space="0"/>
              <w:bottom w:val="dotted" w:color="000000" w:sz="4" w:space="0"/>
              <w:right w:val="dotted"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合计数</w:t>
            </w:r>
          </w:p>
        </w:tc>
        <w:tc>
          <w:tcPr>
            <w:tcW w:w="2354" w:type="dxa"/>
            <w:tcBorders>
              <w:top w:val="nil"/>
              <w:left w:val="nil"/>
              <w:bottom w:val="dotted" w:color="000000" w:sz="4" w:space="0"/>
              <w:right w:val="dotted"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84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69.94</w:t>
            </w:r>
          </w:p>
        </w:tc>
        <w:tc>
          <w:tcPr>
            <w:tcW w:w="78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83.34</w:t>
            </w:r>
          </w:p>
        </w:tc>
        <w:tc>
          <w:tcPr>
            <w:tcW w:w="990" w:type="dxa"/>
            <w:tcBorders>
              <w:top w:val="nil"/>
              <w:left w:val="nil"/>
              <w:bottom w:val="dotted" w:color="000000" w:sz="4" w:space="0"/>
              <w:right w:val="dotted"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119.16%</w:t>
            </w:r>
          </w:p>
        </w:tc>
        <w:tc>
          <w:tcPr>
            <w:tcW w:w="2220"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65" w:type="dxa"/>
            <w:tcBorders>
              <w:top w:val="nil"/>
              <w:left w:val="nil"/>
              <w:bottom w:val="dotted" w:color="000000" w:sz="4" w:space="0"/>
              <w:right w:val="dotted"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pPr>
      <w:r>
        <w:drawing>
          <wp:inline distT="0" distB="0" distL="114300" distR="114300">
            <wp:extent cx="4826000" cy="291465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ascii="仿宋" w:hAnsi="仿宋" w:eastAsia="仿宋"/>
          <w:color w:val="auto"/>
          <w:sz w:val="32"/>
          <w:szCs w:val="32"/>
          <w:highlight w:val="none"/>
        </w:rPr>
      </w:pPr>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ind w:left="0" w:leftChars="0" w:right="0" w:rightChars="0"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其他科学技术支出</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0万元，</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3.59万元，</w:t>
      </w:r>
      <w:r>
        <w:rPr>
          <w:rFonts w:hint="eastAsia" w:ascii="仿宋" w:hAnsi="仿宋" w:eastAsia="仿宋"/>
          <w:color w:val="auto"/>
          <w:sz w:val="32"/>
          <w:szCs w:val="32"/>
          <w:highlight w:val="none"/>
        </w:rPr>
        <w:t>完成年初预算的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原因是：科学技术支出支出未纳入年初预算安排。</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调整支出功能分类科目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ascii="仿宋" w:hAnsi="仿宋" w:eastAsia="仿宋"/>
          <w:color w:val="auto"/>
          <w:sz w:val="32"/>
          <w:szCs w:val="32"/>
          <w:highlight w:val="none"/>
          <w:lang w:val="en-US" w:eastAsia="zh-CN"/>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ascii="仿宋" w:hAnsi="仿宋" w:eastAsia="仿宋"/>
          <w:color w:val="auto"/>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84370" cy="3215640"/>
            <wp:effectExtent l="4445" t="4445" r="6985" b="1841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ind w:left="0" w:leftChars="0"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8.94</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9.79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109.51</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ascii="仿宋_GB2312" w:hAnsi="宋体" w:eastAsia="仿宋_GB2312" w:cs="仿宋_GB2312"/>
          <w:i w:val="0"/>
          <w:iCs w:val="0"/>
          <w:caps w:val="0"/>
          <w:color w:val="auto"/>
          <w:spacing w:val="0"/>
          <w:sz w:val="31"/>
          <w:szCs w:val="31"/>
          <w:shd w:val="clear" w:fill="FFFFFF"/>
        </w:rPr>
        <w:t>年初预算安排是根据上年度人员工资基数编制年初预算，受养老保险缴费基数调整的影响，导致了预决算数差异的存在。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在职人员社保缴费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eastAsia="仿宋"/>
          <w:color w:val="auto"/>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ind w:left="0" w:leftChars="0"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住房保障支出年初预算为</w:t>
      </w:r>
      <w:r>
        <w:rPr>
          <w:rFonts w:hint="eastAsia" w:ascii="仿宋" w:hAnsi="仿宋" w:eastAsia="仿宋"/>
          <w:color w:val="auto"/>
          <w:sz w:val="32"/>
          <w:szCs w:val="32"/>
          <w:highlight w:val="none"/>
          <w:lang w:val="en-US" w:eastAsia="zh-CN"/>
        </w:rPr>
        <w:t>6.7万元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7.35</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109.70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ascii="仿宋_GB2312" w:hAnsi="宋体" w:eastAsia="仿宋_GB2312" w:cs="仿宋_GB2312"/>
          <w:i w:val="0"/>
          <w:iCs w:val="0"/>
          <w:caps w:val="0"/>
          <w:color w:val="auto"/>
          <w:spacing w:val="0"/>
          <w:sz w:val="31"/>
          <w:szCs w:val="31"/>
          <w:shd w:val="clear" w:fill="FFFFFF"/>
        </w:rPr>
        <w:t>基数调整。</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eastAsia="仿宋"/>
          <w:color w:val="auto"/>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109.70%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eastAsia="仿宋"/>
          <w:color w:val="auto"/>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1"/>
        </w:numPr>
        <w:suppressLineNumbers w:val="0"/>
        <w:kinsoku/>
        <w:wordWrap/>
        <w:overflowPunct/>
        <w:topLinePunct w:val="0"/>
        <w:bidi w:val="0"/>
        <w:snapToGrid/>
        <w:spacing w:before="0" w:beforeAutospacing="0" w:after="0" w:afterAutospacing="0"/>
        <w:ind w:left="0" w:leftChars="0"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highlight w:val="none"/>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.79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olor w:val="auto"/>
          <w:sz w:val="32"/>
          <w:szCs w:val="32"/>
          <w:highlight w:val="none"/>
        </w:rPr>
        <w:t>其他</w:t>
      </w:r>
      <w:r>
        <w:rPr>
          <w:rFonts w:hint="eastAsia" w:ascii="仿宋" w:hAnsi="仿宋" w:eastAsia="仿宋"/>
          <w:color w:val="auto"/>
          <w:sz w:val="32"/>
          <w:szCs w:val="32"/>
          <w:highlight w:val="none"/>
          <w:lang w:val="en-US" w:eastAsia="zh-CN"/>
        </w:rPr>
        <w:t>支出未纳入部门年初预算安排。</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在职人员的奖金，绩效工资发放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hint="eastAsia" w:eastAsia="仿宋"/>
          <w:color w:val="auto"/>
          <w:highlight w:val="none"/>
          <w:lang w:val="en-US" w:eastAsia="zh-CN"/>
        </w:rPr>
      </w:pPr>
      <w:r>
        <w:rPr>
          <w:rFonts w:hint="eastAsia" w:ascii="仿宋" w:hAnsi="仿宋" w:eastAsia="仿宋" w:cs="仿宋"/>
          <w:sz w:val="32"/>
          <w:szCs w:val="32"/>
          <w:highlight w:val="none"/>
        </w:rPr>
        <w:drawing>
          <wp:inline distT="0" distB="0" distL="114300" distR="114300">
            <wp:extent cx="4541520" cy="2214880"/>
            <wp:effectExtent l="4445" t="4445" r="6985" b="952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度一般公共预算财政拨款基本支出决算情况说明</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度一般公共预算财政拨款基本支出</w:t>
      </w:r>
      <w:r>
        <w:rPr>
          <w:rFonts w:hint="eastAsia" w:ascii="仿宋" w:hAnsi="仿宋" w:eastAsia="仿宋" w:cs="仿宋"/>
          <w:color w:val="auto"/>
          <w:sz w:val="32"/>
          <w:u w:color="auto"/>
        </w:rPr>
        <w:t>108.06</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104.98</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3.0</w:t>
      </w:r>
      <w:r>
        <w:rPr>
          <w:rFonts w:hint="eastAsia" w:ascii="仿宋" w:hAnsi="仿宋" w:eastAsia="仿宋" w:cs="仿宋"/>
          <w:color w:val="auto"/>
          <w:sz w:val="32"/>
          <w:szCs w:val="32"/>
          <w:highlight w:val="none"/>
          <w:lang w:val="en-US" w:eastAsia="zh-CN"/>
        </w:rPr>
        <w:t>8</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rPr>
        <w:t>97.77</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142.7</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预决算差异</w:t>
      </w:r>
      <w:r>
        <w:rPr>
          <w:rFonts w:hint="eastAsia" w:ascii="仿宋" w:hAnsi="仿宋" w:eastAsia="仿宋" w:cs="仿宋"/>
          <w:color w:val="auto"/>
          <w:kern w:val="2"/>
          <w:sz w:val="32"/>
          <w:szCs w:val="32"/>
          <w:highlight w:val="none"/>
          <w:lang w:val="en-US" w:eastAsia="zh-CN" w:bidi="ar"/>
        </w:rPr>
        <w:t>主要原因是：</w:t>
      </w:r>
      <w:r>
        <w:rPr>
          <w:rFonts w:ascii="仿宋_GB2312" w:hAnsi="宋体" w:eastAsia="仿宋_GB2312" w:cs="仿宋_GB2312"/>
          <w:i w:val="0"/>
          <w:iCs w:val="0"/>
          <w:caps w:val="0"/>
          <w:color w:val="auto"/>
          <w:spacing w:val="0"/>
          <w:sz w:val="31"/>
          <w:szCs w:val="31"/>
          <w:shd w:val="clear" w:fill="FFFFFF"/>
        </w:rPr>
        <w:t>人员工资的增资调资</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30101基本工资27.86万元，30102津贴补贴19.06万元，30103奖金28.41万元，30108机关事业单位基本养老保险缴费9.79万元，30110职工基本医疗保险缴费3.55万元，30112其他社会保障缴费0.08万元，30113住房公积金7.35万元，30199其他工资福利支出1.67万元。</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u w:color="auto"/>
        </w:rPr>
        <w:t>3.0</w:t>
      </w:r>
      <w:r>
        <w:rPr>
          <w:rFonts w:hint="eastAsia" w:ascii="仿宋" w:hAnsi="仿宋" w:eastAsia="仿宋" w:cs="仿宋"/>
          <w:color w:val="auto"/>
          <w:sz w:val="32"/>
          <w:u w:color="auto"/>
          <w:lang w:val="en-US" w:eastAsia="zh-CN"/>
        </w:rPr>
        <w:t>8</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41.6</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预决算差异</w:t>
      </w:r>
      <w:r>
        <w:rPr>
          <w:rFonts w:hint="eastAsia" w:ascii="仿宋" w:hAnsi="仿宋" w:eastAsia="仿宋" w:cs="仿宋"/>
          <w:color w:val="auto"/>
          <w:kern w:val="2"/>
          <w:sz w:val="32"/>
          <w:szCs w:val="32"/>
          <w:highlight w:val="none"/>
          <w:lang w:val="en-US" w:eastAsia="zh-CN" w:bidi="ar"/>
        </w:rPr>
        <w:t>主要原因是：公务交通补贴决算数列入工资福利支出中的津贴补贴。</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30201办公费0.6万元，30205水费0.03万元，30206电费0.31万元，30207邮电费1.03万元，30228工会经费1.12万元。</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right="0" w:rightChars="0"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u w:color="auto"/>
        </w:rPr>
        <w:t>7.2</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163.64</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预决算差异</w:t>
      </w:r>
      <w:r>
        <w:rPr>
          <w:rFonts w:hint="eastAsia" w:ascii="仿宋" w:hAnsi="仿宋" w:eastAsia="仿宋" w:cs="仿宋"/>
          <w:color w:val="auto"/>
          <w:kern w:val="2"/>
          <w:sz w:val="32"/>
          <w:szCs w:val="32"/>
          <w:highlight w:val="none"/>
          <w:lang w:val="en-US" w:eastAsia="zh-CN" w:bidi="ar"/>
        </w:rPr>
        <w:t>主要原因是：退休人员生活补贴增加。</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30305生活补助7.20万元。</w:t>
      </w:r>
    </w:p>
    <w:p>
      <w:pPr>
        <w:keepNext w:val="0"/>
        <w:keepLines w:val="0"/>
        <w:pageBreakBefore w:val="0"/>
        <w:kinsoku/>
        <w:wordWrap/>
        <w:overflowPunct/>
        <w:topLinePunct w:val="0"/>
        <w:bidi w:val="0"/>
        <w:snapToGrid/>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ind w:left="0" w:leftChars="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其他支出</w:t>
      </w:r>
      <w:r>
        <w:rPr>
          <w:rFonts w:hint="eastAsia" w:ascii="仿宋" w:hAnsi="仿宋" w:eastAsia="仿宋" w:cs="仿宋"/>
          <w:color w:val="auto"/>
          <w:kern w:val="2"/>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ind w:leftChars="200" w:right="0" w:right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度政府性基金支出决算情况</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度政府性基金支出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万元，较</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度决算数</w:t>
      </w:r>
      <w:r>
        <w:rPr>
          <w:rFonts w:ascii="仿宋" w:hAnsi="仿宋" w:eastAsia="仿宋" w:cs="仿宋"/>
          <w:color w:val="auto"/>
          <w:sz w:val="32"/>
          <w:szCs w:val="32"/>
          <w:highlight w:val="none"/>
        </w:rPr>
        <w:t>增加0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度政府性基金支出年初预算为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中国共产党环江毛南族自治县委员会党史研究室</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w:t>
      </w:r>
      <w:r>
        <w:rPr>
          <w:rFonts w:hint="eastAsia" w:ascii="黑体" w:hAnsi="黑体" w:eastAsia="黑体" w:cs="黑体"/>
          <w:color w:val="auto"/>
          <w:sz w:val="32"/>
          <w:szCs w:val="32"/>
          <w:highlight w:val="none"/>
          <w:lang w:eastAsia="zh-CN"/>
        </w:rPr>
        <w:t>2023年</w:t>
      </w:r>
      <w:r>
        <w:rPr>
          <w:rFonts w:hint="eastAsia" w:ascii="黑体" w:hAnsi="黑体" w:eastAsia="黑体" w:cs="黑体"/>
          <w:color w:val="auto"/>
          <w:sz w:val="32"/>
          <w:szCs w:val="32"/>
          <w:highlight w:val="none"/>
        </w:rPr>
        <w:t>度国有资本经营预算支出决算情况</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 年度国有资本经营预算支出年初预算为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bookmarkStart w:id="3" w:name="PO_part3A5B1C1DiffReason1"/>
      <w:r>
        <w:rPr>
          <w:rFonts w:hint="eastAsia" w:ascii="仿宋_GB2312" w:hAnsi="Times New Roman" w:eastAsia="仿宋_GB2312" w:cs="Times New Roman"/>
          <w:color w:val="auto"/>
          <w:sz w:val="32"/>
          <w:szCs w:val="32"/>
        </w:rPr>
        <w:t>中国共产党环江毛南族自治县委员会党史研究室</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3"/>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预算财政拨款安排的“三公”经费支出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r>
        <w:rPr>
          <w:rFonts w:hint="eastAsia" w:ascii="仿宋" w:hAnsi="仿宋" w:eastAsia="仿宋" w:cs="仿宋"/>
          <w:sz w:val="32"/>
          <w:szCs w:val="32"/>
          <w:highlight w:val="none"/>
        </w:rPr>
        <w:t>。</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度机关运行经费支出</w:t>
      </w:r>
      <w:r>
        <w:rPr>
          <w:rFonts w:ascii="仿宋" w:hAnsi="仿宋" w:eastAsia="仿宋" w:cs="仿宋"/>
          <w:color w:val="auto"/>
          <w:sz w:val="32"/>
          <w:szCs w:val="32"/>
          <w:highlight w:val="none"/>
        </w:rPr>
        <w:t>3.0</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减少4.33</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下降58.</w:t>
      </w:r>
      <w:r>
        <w:rPr>
          <w:rFonts w:hint="eastAsia" w:ascii="仿宋" w:hAnsi="仿宋" w:eastAsia="仿宋" w:cs="仿宋"/>
          <w:color w:val="auto"/>
          <w:sz w:val="32"/>
          <w:szCs w:val="32"/>
          <w:highlight w:val="none"/>
          <w:lang w:val="en-US" w:eastAsia="zh-CN"/>
        </w:rPr>
        <w:t>43</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0.05</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增长1</w:t>
      </w:r>
      <w:r>
        <w:rPr>
          <w:rFonts w:hint="eastAsia" w:ascii="仿宋" w:hAnsi="仿宋" w:eastAsia="仿宋" w:cs="仿宋"/>
          <w:color w:val="auto"/>
          <w:sz w:val="32"/>
          <w:szCs w:val="32"/>
          <w:highlight w:val="none"/>
          <w:lang w:val="en-US" w:eastAsia="zh-CN"/>
        </w:rPr>
        <w:t>.65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增长主要</w:t>
      </w:r>
      <w:r>
        <w:rPr>
          <w:rFonts w:hint="eastAsia" w:ascii="仿宋" w:hAnsi="仿宋" w:eastAsia="仿宋" w:cs="仿宋"/>
          <w:color w:val="auto"/>
          <w:sz w:val="32"/>
          <w:szCs w:val="32"/>
          <w:highlight w:val="none"/>
        </w:rPr>
        <w:t>原因是：随着业务量的增加，导致办公耗材等相关经费支出的增加。</w:t>
      </w:r>
    </w:p>
    <w:p>
      <w:pPr>
        <w:keepNext w:val="0"/>
        <w:keepLines w:val="0"/>
        <w:pageBreakBefore w:val="0"/>
        <w:kinsoku/>
        <w:wordWrap/>
        <w:overflowPunct/>
        <w:topLinePunct w:val="0"/>
        <w:bidi w:val="0"/>
        <w:snapToGrid/>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2023年</w:t>
      </w:r>
      <w:r>
        <w:rPr>
          <w:rFonts w:hint="eastAsia" w:ascii="仿宋" w:hAnsi="仿宋" w:eastAsia="仿宋" w:cs="仿宋"/>
          <w:color w:val="auto"/>
          <w:sz w:val="32"/>
          <w:szCs w:val="32"/>
          <w:highlight w:val="none"/>
        </w:rPr>
        <w:t>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kinsoku/>
        <w:wordWrap/>
        <w:overflowPunct/>
        <w:topLinePunct w:val="0"/>
        <w:bidi w:val="0"/>
        <w:snapToGrid/>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1.整体支出绩效自评结果。</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我部门2023年度部门预算数</w:t>
      </w:r>
      <w:r>
        <w:rPr>
          <w:rFonts w:hint="eastAsia" w:ascii="仿宋" w:hAnsi="仿宋" w:eastAsia="仿宋" w:cs="仿宋"/>
          <w:color w:val="auto"/>
          <w:sz w:val="32"/>
          <w:szCs w:val="32"/>
          <w:lang w:val="en-US" w:eastAsia="zh-CN"/>
        </w:rPr>
        <w:t>85.58</w:t>
      </w:r>
      <w:r>
        <w:rPr>
          <w:rFonts w:hint="eastAsia" w:ascii="仿宋" w:hAnsi="仿宋" w:eastAsia="仿宋" w:cs="仿宋"/>
          <w:color w:val="auto"/>
          <w:sz w:val="32"/>
          <w:szCs w:val="32"/>
        </w:rPr>
        <w:t>万元，执行数</w:t>
      </w:r>
      <w:r>
        <w:rPr>
          <w:rFonts w:hint="eastAsia" w:ascii="仿宋" w:hAnsi="仿宋" w:eastAsia="仿宋" w:cs="仿宋"/>
          <w:color w:val="auto"/>
          <w:sz w:val="32"/>
          <w:szCs w:val="32"/>
          <w:lang w:val="en-US" w:eastAsia="zh-CN"/>
        </w:rPr>
        <w:t>114.86</w:t>
      </w:r>
      <w:r>
        <w:rPr>
          <w:rFonts w:hint="eastAsia" w:ascii="仿宋" w:hAnsi="仿宋" w:eastAsia="仿宋" w:cs="仿宋"/>
          <w:color w:val="auto"/>
          <w:sz w:val="32"/>
          <w:szCs w:val="32"/>
        </w:rPr>
        <w:t>万元，整体支出绩效自评结果为一等。从评价情况来看，年初部门预算编制细化程度不够，导致在执行绩效目标是部分存在偏差，致使项目预算存在年中、年末追加追减的现象，指标完成情况中的数量指标、质量指标、成本指标很难确定，经济效益、社会效益、生态效益等难以量化，绩效目标的设定和执行之间难免出现偏差。</w:t>
      </w:r>
    </w:p>
    <w:p>
      <w:pPr>
        <w:keepNext w:val="0"/>
        <w:keepLines w:val="0"/>
        <w:pageBreakBefore w:val="0"/>
        <w:kinsoku/>
        <w:wordWrap/>
        <w:overflowPunct/>
        <w:topLinePunct w:val="0"/>
        <w:bidi w:val="0"/>
        <w:snapToGrid/>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2.项目支出绩效自评结果。</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(1)项目绩效自评总体情况：我部门2023年度项目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个，项目支出总额</w:t>
      </w:r>
      <w:r>
        <w:rPr>
          <w:rFonts w:hint="eastAsia" w:ascii="仿宋" w:hAnsi="仿宋" w:eastAsia="仿宋" w:cs="仿宋"/>
          <w:color w:val="auto"/>
          <w:sz w:val="32"/>
          <w:szCs w:val="32"/>
          <w:lang w:val="en-US" w:eastAsia="zh-CN"/>
        </w:rPr>
        <w:t>305.3</w:t>
      </w:r>
      <w:r>
        <w:rPr>
          <w:rFonts w:hint="eastAsia" w:ascii="仿宋" w:hAnsi="仿宋" w:eastAsia="仿宋" w:cs="仿宋"/>
          <w:color w:val="auto"/>
          <w:sz w:val="32"/>
          <w:szCs w:val="32"/>
        </w:rPr>
        <w:t>万元。其中，本级项目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个，本级项目支出</w:t>
      </w:r>
      <w:r>
        <w:rPr>
          <w:rFonts w:hint="eastAsia" w:ascii="仿宋" w:hAnsi="仿宋" w:eastAsia="仿宋" w:cs="仿宋"/>
          <w:color w:val="auto"/>
          <w:sz w:val="32"/>
          <w:szCs w:val="32"/>
          <w:lang w:val="en-US" w:eastAsia="zh-CN"/>
        </w:rPr>
        <w:t>6.8</w:t>
      </w:r>
      <w:r>
        <w:rPr>
          <w:rFonts w:hint="eastAsia" w:ascii="仿宋" w:hAnsi="仿宋" w:eastAsia="仿宋" w:cs="仿宋"/>
          <w:color w:val="auto"/>
          <w:sz w:val="32"/>
          <w:szCs w:val="32"/>
        </w:rPr>
        <w:t>万元。项目中，敏感涉密项目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b/>
          <w:bCs/>
          <w:color w:val="auto"/>
          <w:sz w:val="32"/>
          <w:szCs w:val="32"/>
          <w:highlight w:val="yellow"/>
        </w:rPr>
      </w:pPr>
      <w:r>
        <w:rPr>
          <w:rFonts w:hint="eastAsia" w:ascii="仿宋" w:hAnsi="仿宋" w:eastAsia="仿宋" w:cs="仿宋"/>
          <w:color w:val="auto"/>
          <w:sz w:val="32"/>
          <w:szCs w:val="32"/>
        </w:rPr>
        <w:t>所有项目均开展了绩效自评，其中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非敏感涉密项目绩效自评结果为：</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个项目评为一等，涉及资金</w:t>
      </w:r>
      <w:r>
        <w:rPr>
          <w:rFonts w:hint="eastAsia" w:ascii="仿宋" w:hAnsi="仿宋" w:eastAsia="仿宋" w:cs="仿宋"/>
          <w:color w:val="auto"/>
          <w:sz w:val="32"/>
          <w:szCs w:val="32"/>
          <w:lang w:val="en-US" w:eastAsia="zh-CN"/>
        </w:rPr>
        <w:t>21.3</w:t>
      </w:r>
      <w:r>
        <w:rPr>
          <w:rFonts w:hint="eastAsia" w:ascii="仿宋" w:hAnsi="仿宋" w:eastAsia="仿宋" w:cs="仿宋"/>
          <w:color w:val="auto"/>
          <w:sz w:val="32"/>
          <w:szCs w:val="32"/>
        </w:rPr>
        <w:t>万元，占项目总数比例</w:t>
      </w:r>
      <w:r>
        <w:rPr>
          <w:rFonts w:hint="eastAsia" w:ascii="仿宋" w:hAnsi="仿宋" w:eastAsia="仿宋" w:cs="仿宋"/>
          <w:color w:val="auto"/>
          <w:sz w:val="32"/>
          <w:szCs w:val="32"/>
          <w:lang w:val="en-US" w:eastAsia="zh-CN"/>
        </w:rPr>
        <w:t>6.9</w:t>
      </w:r>
      <w:r>
        <w:rPr>
          <w:rFonts w:hint="eastAsia" w:ascii="仿宋" w:hAnsi="仿宋" w:eastAsia="仿宋" w:cs="仿宋"/>
          <w:color w:val="auto"/>
          <w:sz w:val="32"/>
          <w:szCs w:val="32"/>
        </w:rPr>
        <w:t>%，占项目支出总额比例</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个项目评为二等，涉及资金</w:t>
      </w:r>
      <w:r>
        <w:rPr>
          <w:rFonts w:hint="eastAsia" w:ascii="仿宋" w:hAnsi="仿宋" w:eastAsia="仿宋" w:cs="仿宋"/>
          <w:color w:val="auto"/>
          <w:sz w:val="32"/>
          <w:szCs w:val="32"/>
          <w:lang w:val="en-US" w:eastAsia="zh-CN"/>
        </w:rPr>
        <w:t>240</w:t>
      </w:r>
      <w:r>
        <w:rPr>
          <w:rFonts w:hint="eastAsia" w:ascii="仿宋" w:hAnsi="仿宋" w:eastAsia="仿宋" w:cs="仿宋"/>
          <w:color w:val="auto"/>
          <w:sz w:val="32"/>
          <w:szCs w:val="32"/>
        </w:rPr>
        <w:t>万元，占项目总数比例</w:t>
      </w:r>
      <w:r>
        <w:rPr>
          <w:rFonts w:hint="eastAsia" w:ascii="仿宋" w:hAnsi="仿宋" w:eastAsia="仿宋" w:cs="仿宋"/>
          <w:color w:val="auto"/>
          <w:sz w:val="32"/>
          <w:szCs w:val="32"/>
          <w:lang w:val="en-US" w:eastAsia="zh-CN"/>
        </w:rPr>
        <w:t>78.61</w:t>
      </w:r>
      <w:r>
        <w:rPr>
          <w:rFonts w:hint="eastAsia" w:ascii="仿宋" w:hAnsi="仿宋" w:eastAsia="仿宋" w:cs="仿宋"/>
          <w:color w:val="auto"/>
          <w:sz w:val="32"/>
          <w:szCs w:val="32"/>
        </w:rPr>
        <w:t xml:space="preserve"> %，占项目支出总额比例</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自评发现的主要问题及原因：</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是年初部门预算编制细化程度不够，导致在执行总体绩效目标是部分存在偏差，致使项目预算存在年中、年末追加追减的现象。二是个别项目实施进度较慢，惯性思维严重，报账不及时，造成年底因未及时报账造成绩效目标偏差。三是指标完成情况中的数量指标、质量指标、成本指标很难确定，经济效益、社会效益、生态效益等难以量化，绩效目标的设定和执行之间难免出现偏差。</w:t>
      </w:r>
    </w:p>
    <w:p>
      <w:pPr>
        <w:keepNext w:val="0"/>
        <w:keepLines w:val="0"/>
        <w:pageBreakBefore w:val="0"/>
        <w:kinsoku/>
        <w:wordWrap/>
        <w:overflowPunct/>
        <w:topLinePunct w:val="0"/>
        <w:bidi w:val="0"/>
        <w:snapToGrid/>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主要改进措施：</w:t>
      </w:r>
      <w:r>
        <w:rPr>
          <w:rFonts w:hint="eastAsia" w:ascii="仿宋" w:hAnsi="仿宋" w:eastAsia="仿宋" w:cs="仿宋"/>
          <w:color w:val="auto"/>
          <w:sz w:val="32"/>
          <w:szCs w:val="32"/>
        </w:rPr>
        <w:t>一是加强预算编制的合理性。预算的合理性是行政事业单位内部控制的精髓，在今后的工作中，我单位进一步重视部门预算严格执行《中华人民共和国预算法》，增强预算业务控制，充分发挥预算控制在内部控制中的重要作用。严格按县本级部门预算编报程序进行编制，基本支出预算按照单位的基础信息和核定的标准编制，保证单位的正常运转，项目支出预算根据单位发展规划和年度计划，结合财政部门预算安排情况，科学细化项目。二是积极开展预算绩效管理工作。在今后的工作中，我单位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object>
          <v:shape id="_x0000_i1025" o:spt="75" type="#_x0000_t75" style="height:40.25pt;width:103.75pt;" o:ole="t" filled="f" o:preferrelative="t" stroked="f" coordsize="21600,21600">
            <v:fill on="f" focussize="0,0"/>
            <v:stroke on="f"/>
            <v:imagedata r:id="rId22" o:title=""/>
            <o:lock v:ext="edit" aspectratio="t"/>
            <w10:wrap type="none"/>
            <w10:anchorlock/>
          </v:shape>
          <o:OLEObject Type="Embed" ProgID="Package" ShapeID="_x0000_i1025" DrawAspect="Content" ObjectID="_1468075725" r:id="rId21">
            <o:LockedField>false</o:LockedField>
          </o:OLEObject>
        </w:object>
      </w:r>
      <w:bookmarkStart w:id="4" w:name="_GoBack"/>
      <w:bookmarkEnd w:id="4"/>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rPr>
      </w:pPr>
    </w:p>
    <w:p>
      <w:pPr>
        <w:keepNext w:val="0"/>
        <w:keepLines w:val="0"/>
        <w:pageBreakBefore w:val="0"/>
        <w:kinsoku/>
        <w:wordWrap/>
        <w:overflowPunct/>
        <w:topLinePunct w:val="0"/>
        <w:bidi w:val="0"/>
        <w:snapToGrid/>
        <w:jc w:val="left"/>
        <w:rPr>
          <w:rFonts w:hint="eastAsia" w:ascii="仿宋" w:hAnsi="仿宋" w:eastAsia="仿宋" w:cs="仿宋"/>
          <w:color w:val="auto"/>
          <w:sz w:val="32"/>
          <w:szCs w:val="32"/>
        </w:rPr>
      </w:pPr>
    </w:p>
    <w:p>
      <w:pPr>
        <w:keepNext w:val="0"/>
        <w:keepLines w:val="0"/>
        <w:pageBreakBefore w:val="0"/>
        <w:kinsoku/>
        <w:wordWrap/>
        <w:overflowPunct/>
        <w:topLinePunct w:val="0"/>
        <w:bidi w:val="0"/>
        <w:snapToGrid/>
        <w:ind w:firstLine="640" w:firstLineChars="20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lang w:val="en-US" w:eastAsia="zh-CN"/>
        </w:rPr>
      </w:pPr>
    </w:p>
    <w:p>
      <w:pPr>
        <w:keepNext w:val="0"/>
        <w:keepLines w:val="0"/>
        <w:pageBreakBefore w:val="0"/>
        <w:kinsoku/>
        <w:wordWrap/>
        <w:overflowPunct/>
        <w:topLinePunct w:val="0"/>
        <w:bidi w:val="0"/>
        <w:snapToGrid/>
        <w:ind w:firstLine="640" w:firstLineChars="200"/>
        <w:jc w:val="left"/>
        <w:rPr>
          <w:rFonts w:hint="eastAsia" w:ascii="仿宋" w:hAnsi="仿宋" w:eastAsia="仿宋" w:cs="仿宋"/>
          <w:color w:val="auto"/>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C0C3C"/>
    <w:rsid w:val="001D7B97"/>
    <w:rsid w:val="00210E20"/>
    <w:rsid w:val="00223F38"/>
    <w:rsid w:val="00233613"/>
    <w:rsid w:val="00254DBE"/>
    <w:rsid w:val="00275CAB"/>
    <w:rsid w:val="0028709C"/>
    <w:rsid w:val="0029328F"/>
    <w:rsid w:val="002B2731"/>
    <w:rsid w:val="00382867"/>
    <w:rsid w:val="003A4973"/>
    <w:rsid w:val="003C1C96"/>
    <w:rsid w:val="003C36EF"/>
    <w:rsid w:val="003C69F8"/>
    <w:rsid w:val="003E40BA"/>
    <w:rsid w:val="003E7165"/>
    <w:rsid w:val="0041579D"/>
    <w:rsid w:val="00427074"/>
    <w:rsid w:val="00434D04"/>
    <w:rsid w:val="004A0487"/>
    <w:rsid w:val="004C4D73"/>
    <w:rsid w:val="004D7D0E"/>
    <w:rsid w:val="004E4C8E"/>
    <w:rsid w:val="005234F5"/>
    <w:rsid w:val="00531745"/>
    <w:rsid w:val="00574196"/>
    <w:rsid w:val="006123AD"/>
    <w:rsid w:val="00645B83"/>
    <w:rsid w:val="0066173C"/>
    <w:rsid w:val="00691939"/>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20B4"/>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02AA"/>
    <w:rsid w:val="00FC438B"/>
    <w:rsid w:val="01234E98"/>
    <w:rsid w:val="01395B91"/>
    <w:rsid w:val="01467425"/>
    <w:rsid w:val="015F1951"/>
    <w:rsid w:val="016C1863"/>
    <w:rsid w:val="01AA76F3"/>
    <w:rsid w:val="01F65F44"/>
    <w:rsid w:val="020C171D"/>
    <w:rsid w:val="0216715F"/>
    <w:rsid w:val="026033F5"/>
    <w:rsid w:val="02E0291A"/>
    <w:rsid w:val="03573CC2"/>
    <w:rsid w:val="03D85456"/>
    <w:rsid w:val="04192BC4"/>
    <w:rsid w:val="04485493"/>
    <w:rsid w:val="04B24EC3"/>
    <w:rsid w:val="04E54546"/>
    <w:rsid w:val="050F1B96"/>
    <w:rsid w:val="05663FD6"/>
    <w:rsid w:val="05992762"/>
    <w:rsid w:val="06F772FB"/>
    <w:rsid w:val="070672E7"/>
    <w:rsid w:val="07B0770E"/>
    <w:rsid w:val="07D06FDE"/>
    <w:rsid w:val="08487F22"/>
    <w:rsid w:val="084C1188"/>
    <w:rsid w:val="08B17951"/>
    <w:rsid w:val="0937562C"/>
    <w:rsid w:val="0942143F"/>
    <w:rsid w:val="09D77734"/>
    <w:rsid w:val="09DE12BD"/>
    <w:rsid w:val="0A1F7389"/>
    <w:rsid w:val="0B212BCE"/>
    <w:rsid w:val="0B5C2DB3"/>
    <w:rsid w:val="0B7C073E"/>
    <w:rsid w:val="0C3E7B22"/>
    <w:rsid w:val="0C6E60F3"/>
    <w:rsid w:val="0C90792D"/>
    <w:rsid w:val="0D100297"/>
    <w:rsid w:val="0D202B45"/>
    <w:rsid w:val="0DF97DF8"/>
    <w:rsid w:val="0EB175A7"/>
    <w:rsid w:val="0ED158DD"/>
    <w:rsid w:val="0F68281D"/>
    <w:rsid w:val="0F8D4C87"/>
    <w:rsid w:val="0FBE7AE4"/>
    <w:rsid w:val="10505FAA"/>
    <w:rsid w:val="105F3DEA"/>
    <w:rsid w:val="105F7E7E"/>
    <w:rsid w:val="10B5519D"/>
    <w:rsid w:val="11314143"/>
    <w:rsid w:val="116C0AA4"/>
    <w:rsid w:val="11E56B5B"/>
    <w:rsid w:val="11F66DAA"/>
    <w:rsid w:val="122946DB"/>
    <w:rsid w:val="125C77AB"/>
    <w:rsid w:val="133451EC"/>
    <w:rsid w:val="13452433"/>
    <w:rsid w:val="13F46820"/>
    <w:rsid w:val="140B63F8"/>
    <w:rsid w:val="144F625E"/>
    <w:rsid w:val="14CB726E"/>
    <w:rsid w:val="15BC4236"/>
    <w:rsid w:val="16992920"/>
    <w:rsid w:val="17253615"/>
    <w:rsid w:val="17E92249"/>
    <w:rsid w:val="188F7EF2"/>
    <w:rsid w:val="18D304F1"/>
    <w:rsid w:val="19827DE5"/>
    <w:rsid w:val="19F32577"/>
    <w:rsid w:val="19F45B80"/>
    <w:rsid w:val="1A34568A"/>
    <w:rsid w:val="1A5C0DCD"/>
    <w:rsid w:val="1B0C078D"/>
    <w:rsid w:val="1B2B31E2"/>
    <w:rsid w:val="1B4C295A"/>
    <w:rsid w:val="1B973C63"/>
    <w:rsid w:val="1B996256"/>
    <w:rsid w:val="1BA1001E"/>
    <w:rsid w:val="1BB42683"/>
    <w:rsid w:val="1BEE7603"/>
    <w:rsid w:val="1C6020AC"/>
    <w:rsid w:val="1CB82E2A"/>
    <w:rsid w:val="1D317259"/>
    <w:rsid w:val="1DF041AC"/>
    <w:rsid w:val="1E314C15"/>
    <w:rsid w:val="1E664F5B"/>
    <w:rsid w:val="1E830E19"/>
    <w:rsid w:val="1EB34BE1"/>
    <w:rsid w:val="1EE324BA"/>
    <w:rsid w:val="2006711A"/>
    <w:rsid w:val="215E639F"/>
    <w:rsid w:val="21EC3183"/>
    <w:rsid w:val="21FA1399"/>
    <w:rsid w:val="220558A0"/>
    <w:rsid w:val="225E72CD"/>
    <w:rsid w:val="23680A25"/>
    <w:rsid w:val="23D07150"/>
    <w:rsid w:val="241678C4"/>
    <w:rsid w:val="246E2F77"/>
    <w:rsid w:val="248249F5"/>
    <w:rsid w:val="24A521A7"/>
    <w:rsid w:val="24CD15F1"/>
    <w:rsid w:val="254B4E2B"/>
    <w:rsid w:val="262B372C"/>
    <w:rsid w:val="26AE18AE"/>
    <w:rsid w:val="2701248A"/>
    <w:rsid w:val="273477E1"/>
    <w:rsid w:val="27486482"/>
    <w:rsid w:val="28156139"/>
    <w:rsid w:val="28164551"/>
    <w:rsid w:val="283D7C94"/>
    <w:rsid w:val="292C1B1A"/>
    <w:rsid w:val="29480E03"/>
    <w:rsid w:val="2983634D"/>
    <w:rsid w:val="29CB291D"/>
    <w:rsid w:val="29FC6970"/>
    <w:rsid w:val="2A932366"/>
    <w:rsid w:val="2B5F65B7"/>
    <w:rsid w:val="2BB02055"/>
    <w:rsid w:val="2C3A2459"/>
    <w:rsid w:val="2C575A56"/>
    <w:rsid w:val="2C9021AC"/>
    <w:rsid w:val="2D0C3CF4"/>
    <w:rsid w:val="2E331558"/>
    <w:rsid w:val="2E3A0EE3"/>
    <w:rsid w:val="2E6A74B4"/>
    <w:rsid w:val="2EA66014"/>
    <w:rsid w:val="2ED15F5E"/>
    <w:rsid w:val="2ED44965"/>
    <w:rsid w:val="2F257714"/>
    <w:rsid w:val="2F3275E5"/>
    <w:rsid w:val="2F4B45A3"/>
    <w:rsid w:val="2F7136E2"/>
    <w:rsid w:val="2F881E8A"/>
    <w:rsid w:val="2FA60B3F"/>
    <w:rsid w:val="300D5966"/>
    <w:rsid w:val="301729F2"/>
    <w:rsid w:val="301E5C00"/>
    <w:rsid w:val="3021505A"/>
    <w:rsid w:val="303B192D"/>
    <w:rsid w:val="30AA08EF"/>
    <w:rsid w:val="30B476A7"/>
    <w:rsid w:val="30D23D1C"/>
    <w:rsid w:val="3118389A"/>
    <w:rsid w:val="31221CF5"/>
    <w:rsid w:val="313727F0"/>
    <w:rsid w:val="31400178"/>
    <w:rsid w:val="31611710"/>
    <w:rsid w:val="31A15D7C"/>
    <w:rsid w:val="31DB16A7"/>
    <w:rsid w:val="321E3342"/>
    <w:rsid w:val="327759C8"/>
    <w:rsid w:val="33185FE3"/>
    <w:rsid w:val="33A03224"/>
    <w:rsid w:val="33AC3853"/>
    <w:rsid w:val="34EE2E36"/>
    <w:rsid w:val="36777241"/>
    <w:rsid w:val="371E78D5"/>
    <w:rsid w:val="377B7EDC"/>
    <w:rsid w:val="37A30ED5"/>
    <w:rsid w:val="38A547BD"/>
    <w:rsid w:val="38A951DB"/>
    <w:rsid w:val="38AA67FD"/>
    <w:rsid w:val="38B31605"/>
    <w:rsid w:val="39003F4F"/>
    <w:rsid w:val="39635633"/>
    <w:rsid w:val="39BF5D4C"/>
    <w:rsid w:val="39DE3928"/>
    <w:rsid w:val="3A027D5E"/>
    <w:rsid w:val="3A2B507B"/>
    <w:rsid w:val="3A810009"/>
    <w:rsid w:val="3BC26416"/>
    <w:rsid w:val="3C07002B"/>
    <w:rsid w:val="3C8729C9"/>
    <w:rsid w:val="3D0D152A"/>
    <w:rsid w:val="3DF62756"/>
    <w:rsid w:val="3F1B7587"/>
    <w:rsid w:val="4031025F"/>
    <w:rsid w:val="40EB768D"/>
    <w:rsid w:val="41E57B4F"/>
    <w:rsid w:val="426339F7"/>
    <w:rsid w:val="42B8734B"/>
    <w:rsid w:val="432F26F6"/>
    <w:rsid w:val="43880F63"/>
    <w:rsid w:val="43BB012E"/>
    <w:rsid w:val="441C5A6F"/>
    <w:rsid w:val="44273C36"/>
    <w:rsid w:val="44C44FCC"/>
    <w:rsid w:val="44CC7369"/>
    <w:rsid w:val="457F5108"/>
    <w:rsid w:val="463446BC"/>
    <w:rsid w:val="46547FBA"/>
    <w:rsid w:val="46951B6B"/>
    <w:rsid w:val="46C3268A"/>
    <w:rsid w:val="47AD64A7"/>
    <w:rsid w:val="48CE2202"/>
    <w:rsid w:val="49023556"/>
    <w:rsid w:val="49A34401"/>
    <w:rsid w:val="4A1106F9"/>
    <w:rsid w:val="4A272033"/>
    <w:rsid w:val="4A3E30AB"/>
    <w:rsid w:val="4AC14DAC"/>
    <w:rsid w:val="4AE820F1"/>
    <w:rsid w:val="4C5600CA"/>
    <w:rsid w:val="4C8F1529"/>
    <w:rsid w:val="4D154C85"/>
    <w:rsid w:val="4EB35ECE"/>
    <w:rsid w:val="4EBE5040"/>
    <w:rsid w:val="4EC35C45"/>
    <w:rsid w:val="4F2E0B78"/>
    <w:rsid w:val="4F416513"/>
    <w:rsid w:val="4F714AE4"/>
    <w:rsid w:val="500C1EE2"/>
    <w:rsid w:val="50190775"/>
    <w:rsid w:val="508F4E24"/>
    <w:rsid w:val="50D40EA8"/>
    <w:rsid w:val="51461E90"/>
    <w:rsid w:val="51463753"/>
    <w:rsid w:val="51EE06FB"/>
    <w:rsid w:val="52553A93"/>
    <w:rsid w:val="52CE1F68"/>
    <w:rsid w:val="53521F8B"/>
    <w:rsid w:val="53AE15D6"/>
    <w:rsid w:val="53CA4473"/>
    <w:rsid w:val="53E22F47"/>
    <w:rsid w:val="544611AD"/>
    <w:rsid w:val="54522FF8"/>
    <w:rsid w:val="54943E52"/>
    <w:rsid w:val="554064E9"/>
    <w:rsid w:val="55450629"/>
    <w:rsid w:val="56261B79"/>
    <w:rsid w:val="56692963"/>
    <w:rsid w:val="568B0F48"/>
    <w:rsid w:val="56A62938"/>
    <w:rsid w:val="5786217B"/>
    <w:rsid w:val="57F11C90"/>
    <w:rsid w:val="5800606D"/>
    <w:rsid w:val="58657096"/>
    <w:rsid w:val="58C17A25"/>
    <w:rsid w:val="591E42C6"/>
    <w:rsid w:val="59337A15"/>
    <w:rsid w:val="593A4AEF"/>
    <w:rsid w:val="59810274"/>
    <w:rsid w:val="59F1681C"/>
    <w:rsid w:val="5A0F185C"/>
    <w:rsid w:val="5A217302"/>
    <w:rsid w:val="5B4930DF"/>
    <w:rsid w:val="5B992623"/>
    <w:rsid w:val="5C327B4C"/>
    <w:rsid w:val="5C983278"/>
    <w:rsid w:val="5CA96A00"/>
    <w:rsid w:val="5CF730BC"/>
    <w:rsid w:val="5D142BC1"/>
    <w:rsid w:val="5D3C0667"/>
    <w:rsid w:val="5D820C77"/>
    <w:rsid w:val="5E5F0DCE"/>
    <w:rsid w:val="5E747306"/>
    <w:rsid w:val="5F082FAE"/>
    <w:rsid w:val="5F4750E0"/>
    <w:rsid w:val="5FA40A7B"/>
    <w:rsid w:val="5FD56D29"/>
    <w:rsid w:val="5FEC7F3F"/>
    <w:rsid w:val="60191BB5"/>
    <w:rsid w:val="60E72E0D"/>
    <w:rsid w:val="60F74BC3"/>
    <w:rsid w:val="61366B09"/>
    <w:rsid w:val="613F1997"/>
    <w:rsid w:val="615D47CA"/>
    <w:rsid w:val="61651BD7"/>
    <w:rsid w:val="617D3BF8"/>
    <w:rsid w:val="61841F6A"/>
    <w:rsid w:val="620F3203"/>
    <w:rsid w:val="621464F7"/>
    <w:rsid w:val="623007A9"/>
    <w:rsid w:val="62A37A6C"/>
    <w:rsid w:val="631F442B"/>
    <w:rsid w:val="637D7558"/>
    <w:rsid w:val="63DE7B8D"/>
    <w:rsid w:val="640B2DAF"/>
    <w:rsid w:val="644F19AC"/>
    <w:rsid w:val="649A719B"/>
    <w:rsid w:val="64EB5CA0"/>
    <w:rsid w:val="65121B64"/>
    <w:rsid w:val="651F73F4"/>
    <w:rsid w:val="658C5F92"/>
    <w:rsid w:val="65AA4920"/>
    <w:rsid w:val="65E31D0B"/>
    <w:rsid w:val="65FD1D14"/>
    <w:rsid w:val="661F4D98"/>
    <w:rsid w:val="672777C9"/>
    <w:rsid w:val="67694F1E"/>
    <w:rsid w:val="67730CDC"/>
    <w:rsid w:val="67CA27D4"/>
    <w:rsid w:val="67DC6A29"/>
    <w:rsid w:val="68FE73CF"/>
    <w:rsid w:val="690D4166"/>
    <w:rsid w:val="69597934"/>
    <w:rsid w:val="69A10B77"/>
    <w:rsid w:val="6A1519C5"/>
    <w:rsid w:val="6A5D4D8D"/>
    <w:rsid w:val="6A6F632C"/>
    <w:rsid w:val="6A705025"/>
    <w:rsid w:val="6A804048"/>
    <w:rsid w:val="6B126E3A"/>
    <w:rsid w:val="6B6C0DA2"/>
    <w:rsid w:val="6B7B2FE6"/>
    <w:rsid w:val="6B964DDC"/>
    <w:rsid w:val="6C783074"/>
    <w:rsid w:val="6D521DF4"/>
    <w:rsid w:val="6D9E65C6"/>
    <w:rsid w:val="6DA81947"/>
    <w:rsid w:val="6DD775C2"/>
    <w:rsid w:val="6E4057A2"/>
    <w:rsid w:val="6EB45CAC"/>
    <w:rsid w:val="6EB66DE2"/>
    <w:rsid w:val="6ECF7B5A"/>
    <w:rsid w:val="6ED3075F"/>
    <w:rsid w:val="6F2A2D4B"/>
    <w:rsid w:val="6F3C270D"/>
    <w:rsid w:val="6F480BED"/>
    <w:rsid w:val="6F6C545A"/>
    <w:rsid w:val="6F8A0C1E"/>
    <w:rsid w:val="6FF23135"/>
    <w:rsid w:val="6FF66C78"/>
    <w:rsid w:val="703F45D4"/>
    <w:rsid w:val="714E772A"/>
    <w:rsid w:val="715D6546"/>
    <w:rsid w:val="719F7978"/>
    <w:rsid w:val="71BE069E"/>
    <w:rsid w:val="73645BAF"/>
    <w:rsid w:val="73730B78"/>
    <w:rsid w:val="73953409"/>
    <w:rsid w:val="73997733"/>
    <w:rsid w:val="739D6139"/>
    <w:rsid w:val="73E069A3"/>
    <w:rsid w:val="73FA3E03"/>
    <w:rsid w:val="74603ED7"/>
    <w:rsid w:val="752062B5"/>
    <w:rsid w:val="755323E5"/>
    <w:rsid w:val="760B1736"/>
    <w:rsid w:val="76276E68"/>
    <w:rsid w:val="768A5887"/>
    <w:rsid w:val="76C80BEF"/>
    <w:rsid w:val="76D101FA"/>
    <w:rsid w:val="770045CD"/>
    <w:rsid w:val="78104AA8"/>
    <w:rsid w:val="78E257C5"/>
    <w:rsid w:val="792A173C"/>
    <w:rsid w:val="794B35BE"/>
    <w:rsid w:val="79AB41AB"/>
    <w:rsid w:val="79D85F74"/>
    <w:rsid w:val="79E5586D"/>
    <w:rsid w:val="79F80A27"/>
    <w:rsid w:val="7A397292"/>
    <w:rsid w:val="7AD83918"/>
    <w:rsid w:val="7B0A3A31"/>
    <w:rsid w:val="7B203D0C"/>
    <w:rsid w:val="7B3360ED"/>
    <w:rsid w:val="7B4606F2"/>
    <w:rsid w:val="7BDF037E"/>
    <w:rsid w:val="7BF50948"/>
    <w:rsid w:val="7BF75F6E"/>
    <w:rsid w:val="7CE66A78"/>
    <w:rsid w:val="7D23564C"/>
    <w:rsid w:val="7D5E062D"/>
    <w:rsid w:val="7DD70A02"/>
    <w:rsid w:val="7DF76CD8"/>
    <w:rsid w:val="7E535DCD"/>
    <w:rsid w:val="7F695C26"/>
    <w:rsid w:val="7FC1610C"/>
    <w:rsid w:val="7FCA46B5"/>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emf"/><Relationship Id="rId21" Type="http://schemas.openxmlformats.org/officeDocument/2006/relationships/oleObject" Target="embeddings/oleObject1.bin"/><Relationship Id="rId20" Type="http://schemas.openxmlformats.org/officeDocument/2006/relationships/chart" Target="charts/chart13.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K\AppData\Local\Temp\360zip$Temp\360$0\&#20013;&#22269;&#20849;&#20135;&#20826;&#29615;&#27743;&#27611;&#21335;&#26063;&#33258;&#27835;&#21439;&#22996;&#21592;&#20250;&#20826;&#21490;&#30740;&#31350;&#2346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K\AppData\Local\Temp\360zip$Temp\360$0\&#20013;&#22269;&#20849;&#20135;&#20826;&#29615;&#27743;&#27611;&#21335;&#26063;&#33258;&#27835;&#21439;&#22996;&#21592;&#20250;&#20826;&#21490;&#30740;&#31350;&#23460;.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67.34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7.2</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支出决算图表</a:t>
            </a:r>
            <a:endParaRPr lang="en-US" altLang="zh-CN"/>
          </a:p>
        </c:rich>
      </c:tx>
      <c:layout/>
      <c:overlay val="0"/>
      <c:spPr>
        <a:noFill/>
        <a:ln>
          <a:noFill/>
        </a:ln>
        <a:effectLst/>
      </c:spPr>
    </c:title>
    <c:autoTitleDeleted val="0"/>
    <c:plotArea>
      <c:layout/>
      <c:barChart>
        <c:barDir val="col"/>
        <c:grouping val="clustered"/>
        <c:varyColors val="0"/>
        <c:ser>
          <c:idx val="0"/>
          <c:order val="0"/>
          <c:tx>
            <c:strRef>
              <c:f>'[中国共产党环江毛南族自治县委员会党史研究室.xlsx]支出决算表 公开03表'!$E$20</c:f>
              <c:strCache>
                <c:ptCount val="1"/>
                <c:pt idx="0">
                  <c:v>2023年</c:v>
                </c:pt>
              </c:strCache>
            </c:strRef>
          </c:tx>
          <c:spPr>
            <a:solidFill>
              <a:schemeClr val="accent1"/>
            </a:solidFill>
            <a:ln>
              <a:noFill/>
            </a:ln>
            <a:effectLst/>
          </c:spPr>
          <c:invertIfNegative val="0"/>
          <c:dLbls>
            <c:delete val="1"/>
          </c:dLbls>
          <c:cat>
            <c:strRef>
              <c:f>'[中国共产党环江毛南族自治县委员会党史研究室.xlsx]支出决算表 公开03表'!$D$21:$D$25</c:f>
              <c:strCache>
                <c:ptCount val="5"/>
                <c:pt idx="0">
                  <c:v>一般公共服务支出</c:v>
                </c:pt>
                <c:pt idx="1">
                  <c:v>科学技术支出</c:v>
                </c:pt>
                <c:pt idx="2">
                  <c:v>社会保障和就业支出</c:v>
                </c:pt>
                <c:pt idx="3">
                  <c:v>住房保障支出</c:v>
                </c:pt>
                <c:pt idx="4">
                  <c:v>其他支出</c:v>
                </c:pt>
              </c:strCache>
            </c:strRef>
          </c:cat>
          <c:val>
            <c:numRef>
              <c:f>'[中国共产党环江毛南族自治县委员会党史研究室.xlsx]支出决算表 公开03表'!$E$21:$E$25</c:f>
              <c:numCache>
                <c:formatCode>General</c:formatCode>
                <c:ptCount val="5"/>
                <c:pt idx="0">
                  <c:v>83.34</c:v>
                </c:pt>
                <c:pt idx="1">
                  <c:v>3.59</c:v>
                </c:pt>
                <c:pt idx="2">
                  <c:v>9.79</c:v>
                </c:pt>
                <c:pt idx="3">
                  <c:v>7.35</c:v>
                </c:pt>
                <c:pt idx="4">
                  <c:v>10.79</c:v>
                </c:pt>
              </c:numCache>
            </c:numRef>
          </c:val>
        </c:ser>
        <c:ser>
          <c:idx val="1"/>
          <c:order val="1"/>
          <c:tx>
            <c:strRef>
              <c:f>'[中国共产党环江毛南族自治县委员会党史研究室.xlsx]支出决算表 公开03表'!$F$20</c:f>
              <c:strCache>
                <c:ptCount val="1"/>
                <c:pt idx="0">
                  <c:v>2022年</c:v>
                </c:pt>
              </c:strCache>
            </c:strRef>
          </c:tx>
          <c:spPr>
            <a:solidFill>
              <a:schemeClr val="accent2"/>
            </a:solidFill>
            <a:ln>
              <a:noFill/>
            </a:ln>
            <a:effectLst/>
          </c:spPr>
          <c:invertIfNegative val="0"/>
          <c:dLbls>
            <c:delete val="1"/>
          </c:dLbls>
          <c:cat>
            <c:strRef>
              <c:f>'[中国共产党环江毛南族自治县委员会党史研究室.xlsx]支出决算表 公开03表'!$D$21:$D$25</c:f>
              <c:strCache>
                <c:ptCount val="5"/>
                <c:pt idx="0">
                  <c:v>一般公共服务支出</c:v>
                </c:pt>
                <c:pt idx="1">
                  <c:v>科学技术支出</c:v>
                </c:pt>
                <c:pt idx="2">
                  <c:v>社会保障和就业支出</c:v>
                </c:pt>
                <c:pt idx="3">
                  <c:v>住房保障支出</c:v>
                </c:pt>
                <c:pt idx="4">
                  <c:v>其他支出</c:v>
                </c:pt>
              </c:strCache>
            </c:strRef>
          </c:cat>
          <c:val>
            <c:numRef>
              <c:f>'[中国共产党环江毛南族自治县委员会党史研究室.xlsx]支出决算表 公开03表'!$F$21:$F$25</c:f>
              <c:numCache>
                <c:formatCode>General</c:formatCode>
                <c:ptCount val="5"/>
                <c:pt idx="0">
                  <c:v>104.2</c:v>
                </c:pt>
                <c:pt idx="2">
                  <c:v>7.87</c:v>
                </c:pt>
                <c:pt idx="3">
                  <c:v>6.43</c:v>
                </c:pt>
                <c:pt idx="4">
                  <c:v>13.79</c:v>
                </c:pt>
              </c:numCache>
            </c:numRef>
          </c:val>
        </c:ser>
        <c:dLbls>
          <c:showLegendKey val="0"/>
          <c:showVal val="0"/>
          <c:showCatName val="0"/>
          <c:showSerName val="0"/>
          <c:showPercent val="0"/>
          <c:showBubbleSize val="0"/>
        </c:dLbls>
        <c:gapWidth val="246"/>
        <c:overlap val="-28"/>
        <c:axId val="963006822"/>
        <c:axId val="685501457"/>
      </c:barChart>
      <c:catAx>
        <c:axId val="9630068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5501457"/>
        <c:crosses val="autoZero"/>
        <c:auto val="1"/>
        <c:lblAlgn val="ctr"/>
        <c:lblOffset val="100"/>
        <c:noMultiLvlLbl val="0"/>
      </c:catAx>
      <c:valAx>
        <c:axId val="68550145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30068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一般公共支出</a:t>
            </a:r>
          </a:p>
        </c:rich>
      </c:tx>
      <c:layout/>
      <c:overlay val="0"/>
      <c:spPr>
        <a:noFill/>
        <a:ln>
          <a:noFill/>
        </a:ln>
        <a:effectLst/>
      </c:spPr>
    </c:title>
    <c:autoTitleDeleted val="0"/>
    <c:plotArea>
      <c:layout/>
      <c:barChart>
        <c:barDir val="col"/>
        <c:grouping val="clustered"/>
        <c:varyColors val="0"/>
        <c:ser>
          <c:idx val="0"/>
          <c:order val="0"/>
          <c:tx>
            <c:strRef>
              <c:f>'[中国共产党环江毛南族自治县委员会党史研究室.xlsx]支出决算表 公开03表'!$F$35</c:f>
              <c:strCache>
                <c:ptCount val="1"/>
                <c:pt idx="0">
                  <c:v>科目代码</c:v>
                </c:pt>
              </c:strCache>
            </c:strRef>
          </c:tx>
          <c:spPr>
            <a:solidFill>
              <a:schemeClr val="accent1"/>
            </a:solidFill>
            <a:ln>
              <a:noFill/>
            </a:ln>
            <a:effectLst/>
          </c:spPr>
          <c:invertIfNegative val="0"/>
          <c:dLbls>
            <c:delete val="1"/>
          </c:dLbls>
          <c:cat>
            <c:numRef>
              <c:f>'[中国共产党环江毛南族自治县委员会党史研究室.xlsx]支出决算表 公开03表'!$E$36:$E$39</c:f>
              <c:numCache>
                <c:formatCode>General</c:formatCode>
                <c:ptCount val="4"/>
                <c:pt idx="0">
                  <c:v>2010301</c:v>
                </c:pt>
                <c:pt idx="1">
                  <c:v>2010399</c:v>
                </c:pt>
                <c:pt idx="2">
                  <c:v>2012901</c:v>
                </c:pt>
                <c:pt idx="3">
                  <c:v>2069999</c:v>
                </c:pt>
              </c:numCache>
            </c:numRef>
          </c:cat>
          <c:val>
            <c:numRef>
              <c:f>'[中国共产党环江毛南族自治县委员会党史研究室.xlsx]支出决算表 公开03表'!$F$36:$F$39</c:f>
              <c:numCache>
                <c:formatCode>General</c:formatCode>
                <c:ptCount val="4"/>
                <c:pt idx="0">
                  <c:v>79.88</c:v>
                </c:pt>
                <c:pt idx="1">
                  <c:v>2.04</c:v>
                </c:pt>
                <c:pt idx="2">
                  <c:v>0.3</c:v>
                </c:pt>
                <c:pt idx="3">
                  <c:v>1.12</c:v>
                </c:pt>
              </c:numCache>
            </c:numRef>
          </c:val>
        </c:ser>
        <c:dLbls>
          <c:showLegendKey val="0"/>
          <c:showVal val="0"/>
          <c:showCatName val="0"/>
          <c:showSerName val="0"/>
          <c:showPercent val="0"/>
          <c:showBubbleSize val="0"/>
        </c:dLbls>
        <c:gapWidth val="246"/>
        <c:overlap val="-28"/>
        <c:axId val="789312970"/>
        <c:axId val="159883744"/>
      </c:barChart>
      <c:catAx>
        <c:axId val="789312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883744"/>
        <c:crosses val="autoZero"/>
        <c:auto val="1"/>
        <c:lblAlgn val="ctr"/>
        <c:lblOffset val="100"/>
        <c:noMultiLvlLbl val="0"/>
      </c:catAx>
      <c:valAx>
        <c:axId val="1598837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3129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其他科学技术支出</a:t>
            </a:r>
            <a:endParaRPr lang="en-US" sz="1100"/>
          </a:p>
        </c:rich>
      </c:tx>
      <c:layout>
        <c:manualLayout>
          <c:xMode val="edge"/>
          <c:yMode val="edge"/>
          <c:x val="0.259274992919853"/>
          <c:y val="0.02369668246445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2069999</c:v>
                </c:pt>
              </c:numCache>
            </c:numRef>
          </c:cat>
          <c:val>
            <c:numRef>
              <c:f>Sheet1!$B$2</c:f>
              <c:numCache>
                <c:formatCode>General</c:formatCode>
                <c:ptCount val="1"/>
                <c:pt idx="0">
                  <c:v>3.59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463459628210586"/>
          <c:y val="0.181279620853081"/>
          <c:w val="0.9181779480630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9.79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7.35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其他支</a:t>
            </a:r>
            <a:r>
              <a:rPr lang="en-US"/>
              <a:t>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c:v>
                </c:pt>
              </c:numCache>
            </c:numRef>
          </c:cat>
          <c:val>
            <c:numRef>
              <c:f>Sheet1!$B$2</c:f>
              <c:numCache>
                <c:formatCode>General</c:formatCode>
                <c:ptCount val="1"/>
                <c:pt idx="0">
                  <c:v>10.79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30106</c:v>
                </c:pt>
                <c:pt idx="4">
                  <c:v>30107</c:v>
                </c:pt>
                <c:pt idx="5">
                  <c:v>30108</c:v>
                </c:pt>
                <c:pt idx="6">
                  <c:v>30110</c:v>
                </c:pt>
                <c:pt idx="7">
                  <c:v>30111</c:v>
                </c:pt>
                <c:pt idx="8">
                  <c:v>30112</c:v>
                </c:pt>
                <c:pt idx="9">
                  <c:v>30113</c:v>
                </c:pt>
                <c:pt idx="10">
                  <c:v>30199</c:v>
                </c:pt>
              </c:numCache>
            </c:numRef>
          </c:cat>
          <c:val>
            <c:numRef>
              <c:f>Sheet1!$B$2:$B$12</c:f>
              <c:numCache>
                <c:formatCode>General</c:formatCode>
                <c:ptCount val="11"/>
                <c:pt idx="0">
                  <c:v>27.86</c:v>
                </c:pt>
                <c:pt idx="1">
                  <c:v>19.06</c:v>
                </c:pt>
                <c:pt idx="2">
                  <c:v>28.41</c:v>
                </c:pt>
                <c:pt idx="3">
                  <c:v>0</c:v>
                </c:pt>
                <c:pt idx="4">
                  <c:v>0</c:v>
                </c:pt>
                <c:pt idx="5">
                  <c:v>9.79</c:v>
                </c:pt>
                <c:pt idx="6">
                  <c:v>3.55</c:v>
                </c:pt>
                <c:pt idx="7">
                  <c:v>0</c:v>
                </c:pt>
                <c:pt idx="8">
                  <c:v>0.08</c:v>
                </c:pt>
                <c:pt idx="9">
                  <c:v>7.35</c:v>
                </c:pt>
                <c:pt idx="10">
                  <c:v>1.67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Sheet1!$A$2:$A$21</c:f>
              <c:numCache>
                <c:formatCode>General</c:formatCode>
                <c:ptCount val="20"/>
                <c:pt idx="0">
                  <c:v>30201</c:v>
                </c:pt>
                <c:pt idx="1">
                  <c:v>30202</c:v>
                </c:pt>
                <c:pt idx="2">
                  <c:v>30203</c:v>
                </c:pt>
                <c:pt idx="3">
                  <c:v>30204</c:v>
                </c:pt>
                <c:pt idx="4">
                  <c:v>30205</c:v>
                </c:pt>
                <c:pt idx="5">
                  <c:v>30206</c:v>
                </c:pt>
                <c:pt idx="6">
                  <c:v>30207</c:v>
                </c:pt>
                <c:pt idx="7">
                  <c:v>30208</c:v>
                </c:pt>
                <c:pt idx="8">
                  <c:v>30209</c:v>
                </c:pt>
                <c:pt idx="9">
                  <c:v>30211</c:v>
                </c:pt>
                <c:pt idx="10">
                  <c:v>30215</c:v>
                </c:pt>
                <c:pt idx="11">
                  <c:v>30216</c:v>
                </c:pt>
                <c:pt idx="12">
                  <c:v>30218</c:v>
                </c:pt>
                <c:pt idx="13">
                  <c:v>30224</c:v>
                </c:pt>
                <c:pt idx="14">
                  <c:v>30225</c:v>
                </c:pt>
                <c:pt idx="15">
                  <c:v>30226</c:v>
                </c:pt>
                <c:pt idx="16">
                  <c:v>30228</c:v>
                </c:pt>
                <c:pt idx="17">
                  <c:v>30231</c:v>
                </c:pt>
                <c:pt idx="18">
                  <c:v>30239</c:v>
                </c:pt>
                <c:pt idx="19">
                  <c:v>30299</c:v>
                </c:pt>
              </c:numCache>
            </c:numRef>
          </c:cat>
          <c:val>
            <c:numRef>
              <c:f>Sheet1!$B$2:$B$21</c:f>
              <c:numCache>
                <c:formatCode>General</c:formatCode>
                <c:ptCount val="20"/>
                <c:pt idx="0">
                  <c:v>0.6</c:v>
                </c:pt>
                <c:pt idx="1">
                  <c:v>0</c:v>
                </c:pt>
                <c:pt idx="2">
                  <c:v>0</c:v>
                </c:pt>
                <c:pt idx="3">
                  <c:v>0</c:v>
                </c:pt>
                <c:pt idx="4">
                  <c:v>0.03</c:v>
                </c:pt>
                <c:pt idx="5">
                  <c:v>0.31</c:v>
                </c:pt>
                <c:pt idx="6">
                  <c:v>1.03</c:v>
                </c:pt>
                <c:pt idx="7">
                  <c:v>0</c:v>
                </c:pt>
                <c:pt idx="8">
                  <c:v>0</c:v>
                </c:pt>
                <c:pt idx="9">
                  <c:v>0</c:v>
                </c:pt>
                <c:pt idx="10">
                  <c:v>0</c:v>
                </c:pt>
                <c:pt idx="11">
                  <c:v>0</c:v>
                </c:pt>
                <c:pt idx="12">
                  <c:v>0</c:v>
                </c:pt>
                <c:pt idx="13">
                  <c:v>0</c:v>
                </c:pt>
                <c:pt idx="14">
                  <c:v>0</c:v>
                </c:pt>
                <c:pt idx="15">
                  <c:v>0</c:v>
                </c:pt>
                <c:pt idx="16">
                  <c:v>1.12</c:v>
                </c:pt>
                <c:pt idx="17">
                  <c:v>0</c:v>
                </c:pt>
                <c:pt idx="18">
                  <c:v>0</c:v>
                </c:pt>
                <c:pt idx="19">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62</Words>
  <Characters>69</Characters>
  <Lines>90</Lines>
  <Paragraphs>25</Paragraphs>
  <TotalTime>1</TotalTime>
  <ScaleCrop>false</ScaleCrop>
  <LinksUpToDate>false</LinksUpToDate>
  <CharactersWithSpaces>72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2024-12-30T09:21:44Z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D94D1467C6BE4408A9BD621FD7FF7BE2_13</vt:lpwstr>
  </property>
  <property fmtid="{D5CDD505-2E9C-101B-9397-08002B2CF9AE}" pid="4" name="KSOTemplateDocerSaveRecord">
    <vt:lpwstr>eyJoZGlkIjoiNWNjNTJmODE5YjE2NzI2MjUzZmE4YmYyOTgyMjFmZWMifQ==</vt:lpwstr>
  </property>
</Properties>
</file>