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中国人民政治协商会议环江毛南族自治县委员会202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中国人民政治协商会议环江毛南族自治县委员会</w:t>
      </w:r>
      <w:r>
        <w:rPr>
          <w:rFonts w:hint="eastAsia" w:ascii="黑体" w:hAnsi="黑体" w:eastAsia="黑体" w:cs="黑体"/>
          <w:sz w:val="32"/>
          <w:szCs w:val="32"/>
          <w:highlight w:val="none"/>
        </w:rPr>
        <w:t>概况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w:t>
      </w:r>
      <w:r>
        <w:rPr>
          <w:rFonts w:hint="eastAsia" w:ascii="仿宋" w:hAnsi="仿宋" w:eastAsia="仿宋" w:cs="仿宋"/>
          <w:sz w:val="30"/>
          <w:szCs w:val="30"/>
        </w:rPr>
        <w:t>机构设置情况</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中国人民政治协商会议环江毛南族自治县委员会</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中国人民政治协商会议环江毛南族自治县委员会</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ind w:firstLine="640" w:firstLineChars="200"/>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中国人民政治协商会议环江毛南族自治县委员会</w:t>
      </w:r>
      <w:r>
        <w:rPr>
          <w:rFonts w:hint="eastAsia" w:ascii="黑体" w:hAnsi="黑体" w:eastAsia="黑体" w:cs="黑体"/>
          <w:b/>
          <w:bCs/>
          <w:sz w:val="32"/>
          <w:szCs w:val="32"/>
          <w:highlight w:val="none"/>
        </w:rPr>
        <w:t>概况</w:t>
      </w:r>
    </w:p>
    <w:p>
      <w:pPr>
        <w:keepNext w:val="0"/>
        <w:keepLines w:val="0"/>
        <w:pageBreakBefore w:val="0"/>
        <w:widowControl/>
        <w:shd w:val="clear" w:color="auto" w:fill="FFFFFF"/>
        <w:kinsoku/>
        <w:wordWrap/>
        <w:overflowPunct/>
        <w:topLinePunct w:val="0"/>
        <w:bidi w:val="0"/>
        <w:spacing w:line="520" w:lineRule="exact"/>
        <w:ind w:firstLine="400"/>
        <w:jc w:val="left"/>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基本职能</w:t>
      </w:r>
    </w:p>
    <w:p>
      <w:pPr>
        <w:keepNext w:val="0"/>
        <w:keepLines w:val="0"/>
        <w:pageBreakBefore w:val="0"/>
        <w:widowControl/>
        <w:shd w:val="clear" w:color="auto" w:fill="FFFFFF"/>
        <w:kinsoku/>
        <w:wordWrap/>
        <w:overflowPunct/>
        <w:topLinePunct w:val="0"/>
        <w:bidi w:val="0"/>
        <w:spacing w:line="520" w:lineRule="exact"/>
        <w:ind w:firstLine="600" w:firstLineChars="200"/>
        <w:jc w:val="left"/>
        <w:textAlignment w:val="auto"/>
        <w:rPr>
          <w:rFonts w:hint="eastAsia" w:ascii="仿宋" w:hAnsi="仿宋" w:eastAsia="仿宋" w:cs="仿宋"/>
          <w:color w:val="666666"/>
          <w:kern w:val="0"/>
          <w:sz w:val="30"/>
          <w:szCs w:val="30"/>
        </w:rPr>
      </w:pPr>
      <w:r>
        <w:rPr>
          <w:rFonts w:hint="eastAsia" w:ascii="仿宋" w:hAnsi="仿宋" w:eastAsia="仿宋" w:cs="仿宋"/>
          <w:color w:val="333333"/>
          <w:kern w:val="0"/>
          <w:sz w:val="30"/>
          <w:szCs w:val="30"/>
        </w:rPr>
        <w:t>根据《中国人民政治协商会议章程》和《关于进一步加强人民政协工作的意见》（中发[2006]5号），人民政协的主要职能是政治协商、民主监督、参政议政。</w:t>
      </w:r>
    </w:p>
    <w:p>
      <w:pPr>
        <w:keepNext w:val="0"/>
        <w:keepLines w:val="0"/>
        <w:pageBreakBefore w:val="0"/>
        <w:widowControl/>
        <w:shd w:val="clear" w:color="auto" w:fill="FFFFFF"/>
        <w:kinsoku/>
        <w:wordWrap/>
        <w:overflowPunct/>
        <w:topLinePunct w:val="0"/>
        <w:bidi w:val="0"/>
        <w:spacing w:line="520" w:lineRule="exact"/>
        <w:ind w:firstLine="400"/>
        <w:jc w:val="left"/>
        <w:textAlignment w:val="auto"/>
        <w:rPr>
          <w:rFonts w:hint="eastAsia" w:ascii="仿宋" w:hAnsi="仿宋" w:eastAsia="仿宋" w:cs="仿宋"/>
          <w:color w:val="666666"/>
          <w:kern w:val="0"/>
          <w:sz w:val="30"/>
          <w:szCs w:val="30"/>
        </w:rPr>
      </w:pPr>
      <w:r>
        <w:rPr>
          <w:rFonts w:hint="eastAsia" w:ascii="仿宋" w:hAnsi="仿宋" w:eastAsia="仿宋" w:cs="仿宋"/>
          <w:color w:val="333333"/>
          <w:kern w:val="0"/>
          <w:sz w:val="30"/>
          <w:szCs w:val="30"/>
        </w:rPr>
        <w:t>1、组织参加政协的各党派、人民团体和各族各界人士参政议政，进行政治协商和民主监督；</w:t>
      </w:r>
    </w:p>
    <w:p>
      <w:pPr>
        <w:keepNext w:val="0"/>
        <w:keepLines w:val="0"/>
        <w:pageBreakBefore w:val="0"/>
        <w:widowControl/>
        <w:shd w:val="clear" w:color="auto" w:fill="FFFFFF"/>
        <w:kinsoku/>
        <w:wordWrap/>
        <w:overflowPunct/>
        <w:topLinePunct w:val="0"/>
        <w:bidi w:val="0"/>
        <w:spacing w:line="520" w:lineRule="exact"/>
        <w:ind w:firstLine="400"/>
        <w:jc w:val="left"/>
        <w:textAlignment w:val="auto"/>
        <w:rPr>
          <w:rFonts w:hint="eastAsia" w:ascii="仿宋" w:hAnsi="仿宋" w:eastAsia="仿宋" w:cs="仿宋"/>
          <w:color w:val="666666"/>
          <w:kern w:val="0"/>
          <w:sz w:val="30"/>
          <w:szCs w:val="30"/>
        </w:rPr>
      </w:pPr>
      <w:r>
        <w:rPr>
          <w:rFonts w:hint="eastAsia" w:ascii="仿宋" w:hAnsi="仿宋" w:eastAsia="仿宋" w:cs="仿宋"/>
          <w:color w:val="333333"/>
          <w:kern w:val="0"/>
          <w:sz w:val="30"/>
          <w:szCs w:val="30"/>
        </w:rPr>
        <w:t>2、对涉及我县的大政方针以及政治、经济、文化和社会生活中的重要问题在决策之前进行协商和就决策执行过程中的重要问题进行协商；</w:t>
      </w:r>
    </w:p>
    <w:p>
      <w:pPr>
        <w:keepNext w:val="0"/>
        <w:keepLines w:val="0"/>
        <w:pageBreakBefore w:val="0"/>
        <w:widowControl/>
        <w:shd w:val="clear" w:color="auto" w:fill="FFFFFF"/>
        <w:kinsoku/>
        <w:wordWrap/>
        <w:overflowPunct/>
        <w:topLinePunct w:val="0"/>
        <w:bidi w:val="0"/>
        <w:spacing w:line="520" w:lineRule="exact"/>
        <w:ind w:firstLine="400"/>
        <w:jc w:val="left"/>
        <w:textAlignment w:val="auto"/>
        <w:rPr>
          <w:rFonts w:hint="eastAsia" w:ascii="仿宋" w:hAnsi="仿宋" w:eastAsia="仿宋" w:cs="仿宋"/>
          <w:color w:val="666666"/>
          <w:kern w:val="0"/>
          <w:sz w:val="30"/>
          <w:szCs w:val="30"/>
        </w:rPr>
      </w:pPr>
      <w:r>
        <w:rPr>
          <w:rFonts w:hint="eastAsia" w:ascii="仿宋" w:hAnsi="仿宋" w:eastAsia="仿宋" w:cs="仿宋"/>
          <w:color w:val="333333"/>
          <w:kern w:val="0"/>
          <w:sz w:val="30"/>
          <w:szCs w:val="30"/>
        </w:rPr>
        <w:t>3、对国家宪法、法律、法规和重大方针、政策在我县的贯彻执行情况，对国家机关各工作部门及其工作人员的工作情况，通过建议和批评进行民主监督；</w:t>
      </w:r>
    </w:p>
    <w:p>
      <w:pPr>
        <w:keepNext w:val="0"/>
        <w:keepLines w:val="0"/>
        <w:pageBreakBefore w:val="0"/>
        <w:widowControl/>
        <w:shd w:val="clear" w:color="auto" w:fill="FFFFFF"/>
        <w:kinsoku/>
        <w:wordWrap/>
        <w:overflowPunct/>
        <w:topLinePunct w:val="0"/>
        <w:bidi w:val="0"/>
        <w:spacing w:line="520" w:lineRule="exact"/>
        <w:ind w:firstLine="400"/>
        <w:jc w:val="left"/>
        <w:textAlignment w:val="auto"/>
        <w:rPr>
          <w:rFonts w:hint="eastAsia" w:ascii="仿宋" w:hAnsi="仿宋" w:eastAsia="仿宋" w:cs="仿宋"/>
          <w:color w:val="666666"/>
          <w:kern w:val="0"/>
          <w:sz w:val="30"/>
          <w:szCs w:val="30"/>
        </w:rPr>
      </w:pPr>
      <w:r>
        <w:rPr>
          <w:rFonts w:hint="eastAsia" w:ascii="仿宋" w:hAnsi="仿宋" w:eastAsia="仿宋" w:cs="仿宋"/>
          <w:color w:val="333333"/>
          <w:kern w:val="0"/>
          <w:sz w:val="30"/>
          <w:szCs w:val="30"/>
        </w:rPr>
        <w:t>4、通过密切联系各方面人士，反映群众的意见和要求；</w:t>
      </w:r>
    </w:p>
    <w:p>
      <w:pPr>
        <w:keepNext w:val="0"/>
        <w:keepLines w:val="0"/>
        <w:pageBreakBefore w:val="0"/>
        <w:widowControl/>
        <w:shd w:val="clear" w:color="auto" w:fill="FFFFFF"/>
        <w:kinsoku/>
        <w:wordWrap/>
        <w:overflowPunct/>
        <w:topLinePunct w:val="0"/>
        <w:bidi w:val="0"/>
        <w:spacing w:line="520" w:lineRule="exact"/>
        <w:ind w:firstLine="400"/>
        <w:jc w:val="left"/>
        <w:textAlignment w:val="auto"/>
        <w:rPr>
          <w:rFonts w:hint="eastAsia" w:ascii="仿宋" w:hAnsi="仿宋" w:eastAsia="仿宋" w:cs="仿宋"/>
          <w:color w:val="666666"/>
          <w:kern w:val="0"/>
          <w:sz w:val="30"/>
          <w:szCs w:val="30"/>
        </w:rPr>
      </w:pPr>
      <w:r>
        <w:rPr>
          <w:rFonts w:hint="eastAsia" w:ascii="仿宋" w:hAnsi="仿宋" w:eastAsia="仿宋" w:cs="仿宋"/>
          <w:color w:val="333333"/>
          <w:kern w:val="0"/>
          <w:sz w:val="30"/>
          <w:szCs w:val="30"/>
        </w:rPr>
        <w:t>5、通过组织委员视察、调</w:t>
      </w:r>
      <w:r>
        <w:rPr>
          <w:rFonts w:hint="eastAsia" w:ascii="仿宋" w:hAnsi="仿宋" w:eastAsia="仿宋" w:cs="仿宋"/>
          <w:color w:val="333333"/>
          <w:kern w:val="0"/>
          <w:sz w:val="30"/>
          <w:szCs w:val="30"/>
          <w:lang w:eastAsia="zh-CN"/>
        </w:rPr>
        <w:t>研</w:t>
      </w:r>
      <w:r>
        <w:rPr>
          <w:rFonts w:hint="eastAsia" w:ascii="仿宋" w:hAnsi="仿宋" w:eastAsia="仿宋" w:cs="仿宋"/>
          <w:color w:val="333333"/>
          <w:kern w:val="0"/>
          <w:sz w:val="30"/>
          <w:szCs w:val="30"/>
        </w:rPr>
        <w:t>等活动，就我县的各项事业和群众生活方面的重要问题，向县委、县人民政府建言献策；</w:t>
      </w:r>
    </w:p>
    <w:p>
      <w:pPr>
        <w:keepNext w:val="0"/>
        <w:keepLines w:val="0"/>
        <w:pageBreakBefore w:val="0"/>
        <w:widowControl/>
        <w:shd w:val="clear" w:color="auto" w:fill="FFFFFF"/>
        <w:kinsoku/>
        <w:wordWrap/>
        <w:overflowPunct/>
        <w:topLinePunct w:val="0"/>
        <w:bidi w:val="0"/>
        <w:spacing w:line="520" w:lineRule="exact"/>
        <w:ind w:firstLine="400"/>
        <w:jc w:val="left"/>
        <w:textAlignment w:val="auto"/>
        <w:rPr>
          <w:rFonts w:hint="eastAsia" w:ascii="仿宋" w:hAnsi="仿宋" w:eastAsia="仿宋" w:cs="仿宋"/>
          <w:color w:val="666666"/>
          <w:kern w:val="0"/>
          <w:sz w:val="30"/>
          <w:szCs w:val="30"/>
        </w:rPr>
      </w:pPr>
      <w:r>
        <w:rPr>
          <w:rFonts w:hint="eastAsia" w:ascii="仿宋" w:hAnsi="仿宋" w:eastAsia="仿宋" w:cs="仿宋"/>
          <w:color w:val="333333"/>
          <w:kern w:val="0"/>
          <w:sz w:val="30"/>
          <w:szCs w:val="30"/>
        </w:rPr>
        <w:t>6、加强同各民族、各宗教界爱国人士沟通和团结，积极开展同港、澳、台同胞和海外侨胞的联系和团结。</w:t>
      </w:r>
    </w:p>
    <w:p>
      <w:pPr>
        <w:keepNext w:val="0"/>
        <w:keepLines w:val="0"/>
        <w:pageBreakBefore w:val="0"/>
        <w:widowControl/>
        <w:shd w:val="clear" w:color="auto" w:fill="FFFFFF"/>
        <w:kinsoku/>
        <w:wordWrap/>
        <w:overflowPunct/>
        <w:topLinePunct w:val="0"/>
        <w:bidi w:val="0"/>
        <w:spacing w:line="520" w:lineRule="exact"/>
        <w:ind w:firstLine="400"/>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机构设置情况</w:t>
      </w:r>
    </w:p>
    <w:p>
      <w:pPr>
        <w:keepNext w:val="0"/>
        <w:keepLines w:val="0"/>
        <w:pageBreakBefore w:val="0"/>
        <w:widowControl/>
        <w:shd w:val="clear" w:color="auto" w:fill="FFFFFF"/>
        <w:kinsoku/>
        <w:wordWrap/>
        <w:overflowPunct/>
        <w:topLinePunct w:val="0"/>
        <w:bidi w:val="0"/>
        <w:spacing w:line="520" w:lineRule="exact"/>
        <w:ind w:firstLine="400"/>
        <w:jc w:val="left"/>
        <w:textAlignment w:val="auto"/>
        <w:rPr>
          <w:rFonts w:hint="eastAsia" w:ascii="仿宋" w:hAnsi="仿宋" w:eastAsia="仿宋" w:cs="仿宋"/>
          <w:color w:val="666666"/>
          <w:kern w:val="0"/>
          <w:sz w:val="30"/>
          <w:szCs w:val="30"/>
        </w:rPr>
      </w:pPr>
      <w:r>
        <w:rPr>
          <w:rFonts w:hint="eastAsia" w:ascii="仿宋" w:hAnsi="仿宋" w:eastAsia="仿宋" w:cs="仿宋"/>
          <w:color w:val="333333"/>
          <w:kern w:val="0"/>
          <w:sz w:val="30"/>
          <w:szCs w:val="30"/>
        </w:rPr>
        <w:t>政协环江毛南族自治县委员会内设五个科级机构</w:t>
      </w:r>
    </w:p>
    <w:p>
      <w:pPr>
        <w:keepNext w:val="0"/>
        <w:keepLines w:val="0"/>
        <w:pageBreakBefore w:val="0"/>
        <w:widowControl/>
        <w:shd w:val="clear" w:color="auto" w:fill="FFFFFF"/>
        <w:kinsoku/>
        <w:wordWrap/>
        <w:overflowPunct/>
        <w:topLinePunct w:val="0"/>
        <w:bidi w:val="0"/>
        <w:spacing w:line="520" w:lineRule="exact"/>
        <w:ind w:firstLine="400"/>
        <w:jc w:val="left"/>
        <w:textAlignment w:val="auto"/>
        <w:rPr>
          <w:rFonts w:hint="eastAsia" w:ascii="仿宋" w:hAnsi="仿宋" w:eastAsia="仿宋" w:cs="仿宋"/>
          <w:color w:val="666666"/>
          <w:kern w:val="0"/>
          <w:sz w:val="30"/>
          <w:szCs w:val="30"/>
        </w:rPr>
      </w:pPr>
      <w:r>
        <w:rPr>
          <w:rFonts w:hint="eastAsia" w:ascii="仿宋" w:hAnsi="仿宋" w:eastAsia="仿宋" w:cs="仿宋"/>
          <w:color w:val="333333"/>
          <w:kern w:val="0"/>
          <w:sz w:val="30"/>
          <w:szCs w:val="30"/>
        </w:rPr>
        <w:t>1、办公室</w:t>
      </w:r>
    </w:p>
    <w:p>
      <w:pPr>
        <w:keepNext w:val="0"/>
        <w:keepLines w:val="0"/>
        <w:pageBreakBefore w:val="0"/>
        <w:widowControl/>
        <w:shd w:val="clear" w:color="auto" w:fill="FFFFFF"/>
        <w:kinsoku/>
        <w:wordWrap/>
        <w:overflowPunct/>
        <w:topLinePunct w:val="0"/>
        <w:bidi w:val="0"/>
        <w:spacing w:line="520" w:lineRule="exact"/>
        <w:ind w:left="-141" w:leftChars="-67" w:firstLine="572"/>
        <w:jc w:val="left"/>
        <w:textAlignment w:val="auto"/>
        <w:rPr>
          <w:rFonts w:hint="eastAsia" w:ascii="仿宋" w:hAnsi="仿宋" w:eastAsia="仿宋" w:cs="仿宋"/>
          <w:color w:val="666666"/>
          <w:kern w:val="0"/>
          <w:sz w:val="30"/>
          <w:szCs w:val="30"/>
          <w:lang w:eastAsia="zh-CN"/>
        </w:rPr>
      </w:pPr>
      <w:r>
        <w:rPr>
          <w:rFonts w:hint="eastAsia" w:ascii="仿宋" w:hAnsi="仿宋" w:eastAsia="仿宋" w:cs="仿宋"/>
          <w:color w:val="333333"/>
          <w:kern w:val="0"/>
          <w:sz w:val="30"/>
          <w:szCs w:val="30"/>
        </w:rPr>
        <w:t>负责文电、会务、机要、档案等机关日常运转工作；负责机关后勤、财务管理工作；负责社会治安综合治理、廉政建设工作；负责来信来访、外事接待工作。</w:t>
      </w:r>
      <w:r>
        <w:rPr>
          <w:rFonts w:hint="eastAsia" w:ascii="仿宋" w:hAnsi="仿宋" w:eastAsia="仿宋" w:cs="仿宋"/>
          <w:color w:val="333333"/>
          <w:kern w:val="0"/>
          <w:sz w:val="30"/>
          <w:szCs w:val="30"/>
          <w:lang w:eastAsia="zh-CN"/>
        </w:rPr>
        <w:t>办公室下设信息服务中心。</w:t>
      </w:r>
    </w:p>
    <w:p>
      <w:pPr>
        <w:keepNext w:val="0"/>
        <w:keepLines w:val="0"/>
        <w:pageBreakBefore w:val="0"/>
        <w:widowControl/>
        <w:shd w:val="clear" w:color="auto" w:fill="FFFFFF"/>
        <w:kinsoku/>
        <w:wordWrap/>
        <w:overflowPunct/>
        <w:topLinePunct w:val="0"/>
        <w:bidi w:val="0"/>
        <w:spacing w:line="520" w:lineRule="exact"/>
        <w:ind w:firstLine="430"/>
        <w:jc w:val="left"/>
        <w:textAlignment w:val="auto"/>
        <w:rPr>
          <w:rFonts w:hint="eastAsia" w:ascii="仿宋" w:hAnsi="仿宋" w:eastAsia="仿宋" w:cs="仿宋"/>
          <w:color w:val="666666"/>
          <w:kern w:val="0"/>
          <w:sz w:val="30"/>
          <w:szCs w:val="30"/>
        </w:rPr>
      </w:pPr>
      <w:r>
        <w:rPr>
          <w:rFonts w:hint="eastAsia" w:ascii="仿宋" w:hAnsi="仿宋" w:eastAsia="仿宋" w:cs="仿宋"/>
          <w:color w:val="333333"/>
          <w:kern w:val="0"/>
          <w:sz w:val="30"/>
          <w:szCs w:val="30"/>
        </w:rPr>
        <w:t>2、提案法制和民族宗教委员会</w:t>
      </w:r>
    </w:p>
    <w:p>
      <w:pPr>
        <w:keepNext w:val="0"/>
        <w:keepLines w:val="0"/>
        <w:pageBreakBefore w:val="0"/>
        <w:widowControl/>
        <w:shd w:val="clear" w:color="auto" w:fill="FFFFFF"/>
        <w:kinsoku/>
        <w:wordWrap/>
        <w:overflowPunct/>
        <w:topLinePunct w:val="0"/>
        <w:bidi w:val="0"/>
        <w:spacing w:line="520" w:lineRule="exact"/>
        <w:ind w:firstLine="430"/>
        <w:jc w:val="left"/>
        <w:textAlignment w:val="auto"/>
        <w:rPr>
          <w:rFonts w:hint="eastAsia" w:ascii="仿宋" w:hAnsi="仿宋" w:eastAsia="仿宋" w:cs="仿宋"/>
          <w:color w:val="666666"/>
          <w:kern w:val="0"/>
          <w:sz w:val="30"/>
          <w:szCs w:val="30"/>
        </w:rPr>
      </w:pPr>
      <w:r>
        <w:rPr>
          <w:rFonts w:hint="eastAsia" w:ascii="仿宋" w:hAnsi="仿宋" w:eastAsia="仿宋" w:cs="仿宋"/>
          <w:color w:val="333333"/>
          <w:kern w:val="0"/>
          <w:sz w:val="30"/>
          <w:szCs w:val="30"/>
        </w:rPr>
        <w:t>负责提案征集、立案审查、交办、催办、督办及办理情况的反馈；负责了解全县民族宗教工作情况，加强与我县各族各界、宗教人士的沟通和团结，积极反映社情民意；负责组织本委员会的政协委员开展调</w:t>
      </w:r>
      <w:r>
        <w:rPr>
          <w:rFonts w:hint="eastAsia" w:ascii="仿宋" w:hAnsi="仿宋" w:eastAsia="仿宋" w:cs="仿宋"/>
          <w:color w:val="333333"/>
          <w:kern w:val="0"/>
          <w:sz w:val="30"/>
          <w:szCs w:val="30"/>
          <w:lang w:eastAsia="zh-CN"/>
        </w:rPr>
        <w:t>研</w:t>
      </w:r>
      <w:r>
        <w:rPr>
          <w:rFonts w:hint="eastAsia" w:ascii="仿宋" w:hAnsi="仿宋" w:eastAsia="仿宋" w:cs="仿宋"/>
          <w:color w:val="333333"/>
          <w:kern w:val="0"/>
          <w:sz w:val="30"/>
          <w:szCs w:val="30"/>
        </w:rPr>
        <w:t xml:space="preserve">、研讨、视察工作，通过调研文章和视察报告建言献策；负责撰写全会提案工作报告。 </w:t>
      </w:r>
    </w:p>
    <w:p>
      <w:pPr>
        <w:keepNext w:val="0"/>
        <w:keepLines w:val="0"/>
        <w:pageBreakBefore w:val="0"/>
        <w:kinsoku/>
        <w:wordWrap/>
        <w:overflowPunct/>
        <w:topLinePunct w:val="0"/>
        <w:bidi w:val="0"/>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3、经科教卫体和资源环境委员会</w:t>
      </w:r>
    </w:p>
    <w:p>
      <w:pPr>
        <w:keepNext w:val="0"/>
        <w:keepLines w:val="0"/>
        <w:pageBreakBefore w:val="0"/>
        <w:kinsoku/>
        <w:wordWrap/>
        <w:overflowPunct/>
        <w:topLinePunct w:val="0"/>
        <w:bidi w:val="0"/>
        <w:snapToGrid w:val="0"/>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bCs/>
          <w:sz w:val="30"/>
          <w:szCs w:val="30"/>
        </w:rPr>
        <w:t>学习、宣传、贯彻党和国家关于经济建设、教育、科技、卫生、体育、城乡规划、人口资源、环境保护等方面的方针政策和法律法规，</w:t>
      </w:r>
      <w:r>
        <w:rPr>
          <w:rFonts w:hint="eastAsia" w:ascii="仿宋" w:hAnsi="仿宋" w:eastAsia="仿宋" w:cs="仿宋"/>
          <w:sz w:val="30"/>
          <w:szCs w:val="30"/>
        </w:rPr>
        <w:t>为委员知情明政、掌握政策、提高参政议政能力创造条件。根据自治县政协全体会议和常务委员会的决议精神，</w:t>
      </w:r>
      <w:r>
        <w:rPr>
          <w:rFonts w:hint="eastAsia" w:ascii="仿宋" w:hAnsi="仿宋" w:eastAsia="仿宋" w:cs="仿宋"/>
          <w:bCs/>
          <w:sz w:val="30"/>
          <w:szCs w:val="30"/>
        </w:rPr>
        <w:t>制定本专委年度工作计划并组织实施，年末向常务委员会提交工作报告。组织委员对我县经济建设、教育、科技、卫生、体育、城乡规划和人口资源、环境保护等方面的重要问题，开展协商讨论、专题调研、视察、咨询服务等活动，为自治县党委、政府及有关部门提出意见和建议。广泛联系委员和各界人士，听取和反映他们对我县经济建设、教育、科技、卫生、体育、城乡规划和人口资源、环境保护等方面有关政策、决策的意见，发挥民主监督作用。发挥政协联系广泛的优势，推动经济界委员为我县引进资金、技术、人才和项目贡献力量；加强与自治县党委、自治县人大、自治县政府有关部门的对口联系和各民主党派、各人民团体相关机构的联系，沟通情况，交流信息。加强本专委的自身建设，不断提高专委成员的思想、业务素质。承办政协常务委员会和主席会议交办的其他事项</w:t>
      </w:r>
      <w:r>
        <w:rPr>
          <w:rFonts w:hint="eastAsia" w:ascii="仿宋" w:hAnsi="仿宋" w:eastAsia="仿宋" w:cs="仿宋"/>
          <w:sz w:val="30"/>
          <w:szCs w:val="30"/>
        </w:rPr>
        <w:t>。</w:t>
      </w:r>
    </w:p>
    <w:p>
      <w:pPr>
        <w:keepNext w:val="0"/>
        <w:keepLines w:val="0"/>
        <w:pageBreakBefore w:val="0"/>
        <w:widowControl/>
        <w:shd w:val="clear" w:color="auto" w:fill="FFFFFF"/>
        <w:kinsoku/>
        <w:wordWrap/>
        <w:overflowPunct/>
        <w:topLinePunct w:val="0"/>
        <w:bidi w:val="0"/>
        <w:spacing w:line="520" w:lineRule="exact"/>
        <w:ind w:firstLine="600" w:firstLineChars="200"/>
        <w:jc w:val="left"/>
        <w:textAlignment w:val="auto"/>
        <w:rPr>
          <w:rFonts w:hint="eastAsia" w:ascii="仿宋" w:hAnsi="仿宋" w:eastAsia="仿宋" w:cs="仿宋"/>
          <w:color w:val="666666"/>
          <w:kern w:val="0"/>
          <w:sz w:val="30"/>
          <w:szCs w:val="30"/>
        </w:rPr>
      </w:pPr>
      <w:r>
        <w:rPr>
          <w:rFonts w:hint="eastAsia" w:ascii="仿宋" w:hAnsi="仿宋" w:eastAsia="仿宋" w:cs="仿宋"/>
          <w:color w:val="333333"/>
          <w:kern w:val="0"/>
          <w:sz w:val="30"/>
          <w:szCs w:val="30"/>
        </w:rPr>
        <w:t>4、</w:t>
      </w:r>
      <w:r>
        <w:rPr>
          <w:rFonts w:hint="eastAsia" w:ascii="仿宋" w:hAnsi="仿宋" w:eastAsia="仿宋" w:cs="仿宋"/>
          <w:bCs/>
          <w:sz w:val="30"/>
          <w:szCs w:val="30"/>
        </w:rPr>
        <w:t>外事联谊委员联络和文化文史学习委员会</w:t>
      </w:r>
    </w:p>
    <w:p>
      <w:pPr>
        <w:keepNext w:val="0"/>
        <w:keepLines w:val="0"/>
        <w:pageBreakBefore w:val="0"/>
        <w:kinsoku/>
        <w:wordWrap/>
        <w:overflowPunct/>
        <w:topLinePunct w:val="0"/>
        <w:bidi w:val="0"/>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负责组织自治县政协委员学习习近平新时代中国特色社会主义思想，学习统一战线和人民政协理论、政策和规章制度，学习时事政治和经济、管理、科技、法律等方面的知识</w:t>
      </w:r>
      <w:r>
        <w:rPr>
          <w:rFonts w:hint="eastAsia" w:ascii="仿宋" w:hAnsi="仿宋" w:eastAsia="仿宋" w:cs="仿宋"/>
          <w:sz w:val="30"/>
          <w:szCs w:val="30"/>
          <w:lang w:eastAsia="zh-CN"/>
        </w:rPr>
        <w:t>，</w:t>
      </w:r>
      <w:r>
        <w:rPr>
          <w:rFonts w:hint="eastAsia" w:ascii="仿宋" w:hAnsi="仿宋" w:eastAsia="仿宋" w:cs="仿宋"/>
          <w:sz w:val="30"/>
          <w:szCs w:val="30"/>
        </w:rPr>
        <w:t>负责组织自治县政协常委学习讲座、自治县政协委员学习报告会、自治县政协委员集中学习；负责与外县（区）政协和无党派人士、各人民团体等组织相关学习工作的联系和交流、联谊，并开展有利于学习的其它活动。根据自治县政协全体会议和常务委员会的决议精神，制定本专委年度工作计划并组织实施，年末向常务委员会提交工作报告。负责组织自治县政协委员及其所联系的社会各界人士撰写“三亲”(亲历、亲见、亲闻)史料，推动本县近现代重大历史事件和历史人物等资料的征集、整理、研究、编辑及对台港澳和海外的史料交流工作，为广泛团结海内外各界爱国人士、促进社会主义现代化建设和祖国统一服务。组织委员就文化文史和学习工作开展专题考察、调研，就文化文史和学习工作领域综合性、全局性、前瞻性重大问题进行研究，通过建议案、提案和其他形式向自治县党委、政府和其他有关组织提出建议和批评。积极加强与自治县党委、政府相关部门的工作联系，通过组织各种活动，积极为委员知情明政、履行职责创造条件。</w:t>
      </w:r>
      <w:r>
        <w:rPr>
          <w:rFonts w:hint="eastAsia" w:ascii="仿宋" w:hAnsi="仿宋" w:eastAsia="仿宋" w:cs="仿宋"/>
          <w:bCs/>
          <w:sz w:val="30"/>
          <w:szCs w:val="30"/>
        </w:rPr>
        <w:t>负责做好外事联谊和委员联络工作。</w:t>
      </w:r>
      <w:r>
        <w:rPr>
          <w:rFonts w:hint="eastAsia" w:ascii="仿宋" w:hAnsi="仿宋" w:eastAsia="仿宋" w:cs="仿宋"/>
          <w:sz w:val="30"/>
          <w:szCs w:val="30"/>
        </w:rPr>
        <w:t>加强本专委的自身建设，不断提高专委成员的思想、业务素质。承办政协常务委员会和主席会议交办的其他事项。</w:t>
      </w:r>
    </w:p>
    <w:p>
      <w:pPr>
        <w:keepNext w:val="0"/>
        <w:keepLines w:val="0"/>
        <w:pageBreakBefore w:val="0"/>
        <w:kinsoku/>
        <w:wordWrap/>
        <w:overflowPunct/>
        <w:topLinePunct w:val="0"/>
        <w:bidi w:val="0"/>
        <w:snapToGrid w:val="0"/>
        <w:spacing w:line="520" w:lineRule="exact"/>
        <w:ind w:left="210" w:leftChars="100" w:firstLine="600" w:firstLineChars="200"/>
        <w:textAlignment w:val="auto"/>
        <w:rPr>
          <w:rFonts w:hint="eastAsia" w:ascii="仿宋" w:hAnsi="仿宋" w:eastAsia="仿宋" w:cs="仿宋"/>
          <w:bCs/>
          <w:sz w:val="30"/>
          <w:szCs w:val="30"/>
        </w:rPr>
      </w:pPr>
      <w:r>
        <w:rPr>
          <w:rFonts w:hint="eastAsia" w:ascii="仿宋" w:hAnsi="仿宋" w:eastAsia="仿宋" w:cs="仿宋"/>
          <w:snapToGrid w:val="0"/>
          <w:color w:val="000000"/>
          <w:kern w:val="0"/>
          <w:sz w:val="30"/>
          <w:szCs w:val="30"/>
        </w:rPr>
        <w:t>5、农业和农村委员会</w:t>
      </w:r>
    </w:p>
    <w:p>
      <w:pPr>
        <w:keepNext w:val="0"/>
        <w:keepLines w:val="0"/>
        <w:pageBreakBefore w:val="0"/>
        <w:kinsoku/>
        <w:wordWrap/>
        <w:overflowPunct/>
        <w:topLinePunct w:val="0"/>
        <w:bidi w:val="0"/>
        <w:snapToGrid w:val="0"/>
        <w:spacing w:line="520" w:lineRule="exact"/>
        <w:ind w:left="210" w:leftChars="100" w:firstLine="600" w:firstLineChars="200"/>
        <w:textAlignment w:val="auto"/>
        <w:rPr>
          <w:rFonts w:hint="eastAsia" w:ascii="黑体" w:hAnsi="黑体" w:eastAsia="黑体" w:cs="黑体"/>
          <w:sz w:val="32"/>
          <w:szCs w:val="32"/>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Cs/>
          <w:sz w:val="30"/>
          <w:szCs w:val="30"/>
        </w:rPr>
        <w:t>学习、宣传、贯彻党和国家</w:t>
      </w:r>
      <w:r>
        <w:rPr>
          <w:rFonts w:hint="eastAsia" w:ascii="仿宋" w:hAnsi="仿宋" w:eastAsia="仿宋" w:cs="仿宋"/>
          <w:sz w:val="30"/>
          <w:szCs w:val="30"/>
        </w:rPr>
        <w:t>农业、农村等方面的方针政策和法律法规，为委员知情明政、掌握政策、提高参政议政能力创造条件。根据自治县政协全体会议和常务委员会的决议精神，</w:t>
      </w:r>
      <w:r>
        <w:rPr>
          <w:rFonts w:hint="eastAsia" w:ascii="仿宋" w:hAnsi="仿宋" w:eastAsia="仿宋" w:cs="仿宋"/>
          <w:bCs/>
          <w:sz w:val="30"/>
          <w:szCs w:val="30"/>
        </w:rPr>
        <w:t>制定本专委年度工作计划并组织实施，年末向自治县政协常务委员会提交工作报告。组织委员就我县“三农问题”开展协商讨论、专题调研、视察、咨询服务等活动，向自治县党委、政府及有关部门提出意见和建议。广泛联系委员和各界人士，听取和反映他们对我县农业、农村发展方面有关政策、决策的意见和建议，发挥民主监督作用。加强与自治县党委、自治县人大、自治县政府有关部门的对口联系和各民主党派、各人民团体相关机构的联系，沟通情况，交流信息。加强本专委的自身建设，不断提高专委成员的思想、业务素质；承办政协常务委员会和主席会议交办的其他事项</w:t>
      </w:r>
      <w:r>
        <w:rPr>
          <w:rFonts w:hint="eastAsia" w:ascii="仿宋" w:hAnsi="仿宋" w:eastAsia="仿宋" w:cs="仿宋"/>
          <w:bCs/>
          <w:sz w:val="30"/>
          <w:szCs w:val="30"/>
          <w:lang w:eastAsia="zh-CN"/>
        </w:rPr>
        <w:t>。</w:t>
      </w: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中国人民政治协商会议环江毛南族自治县委员会</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keepNext w:val="0"/>
        <w:keepLines w:val="0"/>
        <w:pageBreakBefore w:val="0"/>
        <w:kinsoku/>
        <w:wordWrap/>
        <w:overflowPunct/>
        <w:topLinePunct w:val="0"/>
        <w:bidi w:val="0"/>
        <w:adjustRightInd w:val="0"/>
        <w:snapToGrid w:val="0"/>
        <w:spacing w:line="520" w:lineRule="exact"/>
        <w:ind w:right="-218" w:rightChars="-104"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上述报表详见附件</w:t>
      </w:r>
      <w:r>
        <w:rPr>
          <w:rFonts w:hint="eastAsia" w:ascii="仿宋" w:hAnsi="仿宋" w:eastAsia="仿宋" w:cs="仿宋"/>
          <w:sz w:val="30"/>
          <w:szCs w:val="30"/>
          <w:lang w:eastAsia="zh-CN"/>
        </w:rPr>
        <w:t>：中国人民政治协商会议环江毛南族自治县委员会2023年度决算公开表。</w:t>
      </w:r>
    </w:p>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p>
      <w:pPr>
        <w:jc w:val="center"/>
        <w:rPr>
          <w:rFonts w:ascii="仿宋" w:hAnsi="仿宋" w:eastAsia="仿宋" w:cs="仿宋"/>
          <w:sz w:val="24"/>
          <w:highlight w:val="none"/>
        </w:rPr>
      </w:pP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中国人民政治协商会议环江毛南族自治县委员会</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675.99</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22.23</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3.40</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675.99</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675.99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22.23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3.40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2023年增加退休干部死亡怃恤金支出。</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bCs/>
          <w:kern w:val="0"/>
          <w:sz w:val="32"/>
          <w:szCs w:val="32"/>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w:t>
      </w:r>
      <w:r>
        <w:rPr>
          <w:rFonts w:hint="eastAsia" w:ascii="仿宋_GB2312" w:hAnsi="仿宋_GB2312" w:eastAsia="仿宋_GB2312" w:cs="仿宋_GB2312"/>
          <w:bCs/>
          <w:kern w:val="0"/>
          <w:sz w:val="32"/>
          <w:szCs w:val="32"/>
        </w:rPr>
        <w:t>政府性基金预算财政拨款收入。</w:t>
      </w:r>
    </w:p>
    <w:p>
      <w:pPr>
        <w:widowControl/>
        <w:shd w:val="clear" w:color="auto" w:fill="FFFFFF"/>
        <w:spacing w:line="503" w:lineRule="atLeast"/>
        <w:ind w:firstLine="571"/>
        <w:jc w:val="left"/>
        <w:rPr>
          <w:rFonts w:hint="eastAsia" w:ascii="仿宋_GB2312" w:hAnsi="仿宋_GB2312" w:eastAsia="仿宋_GB2312" w:cs="仿宋_GB2312"/>
          <w:bCs/>
          <w:kern w:val="0"/>
          <w:sz w:val="32"/>
          <w:szCs w:val="32"/>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_GB2312" w:hAnsi="仿宋_GB2312" w:eastAsia="仿宋_GB2312" w:cs="仿宋_GB2312"/>
          <w:bCs/>
          <w:kern w:val="0"/>
          <w:sz w:val="32"/>
          <w:szCs w:val="32"/>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上级补助收入</w:t>
      </w:r>
      <w:r>
        <w:rPr>
          <w:rFonts w:hint="eastAsia" w:ascii="仿宋_GB2312" w:hAnsi="仿宋_GB2312" w:eastAsia="仿宋_GB2312" w:cs="仿宋_GB2312"/>
          <w:bCs/>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万元，为以前年度支出预算因客观条件变化未执行完毕、结转到本年度按有关规定继续使用的资金。较2022年度决算数增加0.00万元，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主要原因：本单位无</w:t>
      </w:r>
      <w:r>
        <w:rPr>
          <w:rFonts w:hint="eastAsia" w:ascii="仿宋" w:hAnsi="仿宋" w:eastAsia="仿宋" w:cs="仿宋"/>
          <w:kern w:val="2"/>
          <w:sz w:val="32"/>
          <w:szCs w:val="32"/>
          <w:highlight w:val="none"/>
          <w:lang w:val="en-US" w:eastAsia="zh-CN" w:bidi="ar"/>
        </w:rPr>
        <w:t>上年结转和结余</w:t>
      </w:r>
      <w:r>
        <w:rPr>
          <w:rFonts w:hint="eastAsia" w:ascii="仿宋" w:hAnsi="仿宋" w:eastAsia="仿宋" w:cs="仿宋"/>
          <w:sz w:val="32"/>
          <w:u w:color="auto"/>
          <w:lang w:eastAsia="zh-CN"/>
        </w:rPr>
        <w:t>资金</w:t>
      </w:r>
      <w:r>
        <w:rPr>
          <w:rFonts w:hint="eastAsia" w:ascii="仿宋_GB2312" w:hAnsi="仿宋_GB2312" w:eastAsia="仿宋_GB2312" w:cs="仿宋_GB2312"/>
          <w:bCs/>
          <w:kern w:val="0"/>
          <w:sz w:val="32"/>
          <w:szCs w:val="32"/>
          <w:lang w:eastAsia="zh-CN"/>
        </w:rPr>
        <w:t>。</w:t>
      </w:r>
      <w:r>
        <w:drawing>
          <wp:inline distT="0" distB="0" distL="114300" distR="114300">
            <wp:extent cx="5600700" cy="3754120"/>
            <wp:effectExtent l="0" t="0" r="0"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600700" cy="3754120"/>
                    </a:xfrm>
                    <a:prstGeom prst="rect">
                      <a:avLst/>
                    </a:prstGeom>
                    <a:noFill/>
                    <a:ln>
                      <a:noFill/>
                    </a:ln>
                  </pic:spPr>
                </pic:pic>
              </a:graphicData>
            </a:graphic>
          </wp:inline>
        </w:drawing>
      </w:r>
    </w:p>
    <w:p>
      <w:pPr>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675.99</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675.99</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22.23</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3.40</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524.69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333333"/>
          <w:kern w:val="0"/>
          <w:sz w:val="32"/>
          <w:szCs w:val="32"/>
        </w:rPr>
        <w:t>单位为保证日常运转发生的基本支出</w:t>
      </w:r>
      <w:r>
        <w:rPr>
          <w:rFonts w:hint="eastAsia" w:ascii="仿宋_GB2312" w:hAnsi="仿宋_GB2312" w:eastAsia="仿宋_GB2312" w:cs="仿宋_GB2312"/>
          <w:color w:val="333333"/>
          <w:kern w:val="0"/>
          <w:sz w:val="32"/>
          <w:szCs w:val="32"/>
          <w:lang w:eastAsia="zh-CN"/>
        </w:rPr>
        <w:t>和为完成各项工作任务、保障单位事业发展而发生的项目支出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39.85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8.22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olor w:val="000000" w:themeColor="text1"/>
          <w:sz w:val="32"/>
          <w:szCs w:val="32"/>
          <w:highlight w:val="none"/>
          <w:lang w:val="en-US" w:eastAsia="zh-CN"/>
          <w14:textFill>
            <w14:solidFill>
              <w14:schemeClr w14:val="tx1"/>
            </w14:solidFill>
          </w14:textFill>
        </w:rPr>
        <w:t>一是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2023年增加退休干部死亡怃恤金支出。</w:t>
      </w:r>
      <w:r>
        <w:rPr>
          <w:rFonts w:hint="eastAsia" w:ascii="仿宋" w:hAnsi="仿宋" w:eastAsia="仿宋" w:cs="仿宋"/>
          <w:color w:val="333333"/>
          <w:kern w:val="0"/>
          <w:sz w:val="32"/>
          <w:szCs w:val="32"/>
          <w:lang w:eastAsia="zh-CN"/>
        </w:rPr>
        <w:t>二是工资福利支出增加了基础绩效奖（基础性绩效工资增量）。</w:t>
      </w:r>
    </w:p>
    <w:p>
      <w:pPr>
        <w:keepNext w:val="0"/>
        <w:keepLines w:val="0"/>
        <w:widowControl w:val="0"/>
        <w:suppressLineNumbers w:val="0"/>
        <w:spacing w:before="0" w:beforeAutospacing="0" w:after="0" w:afterAutospacing="0"/>
        <w:ind w:right="0"/>
        <w:jc w:val="left"/>
        <w:rPr>
          <w:rFonts w:hint="eastAsia" w:ascii="仿宋_GB2312" w:hAnsi="仿宋_GB2312" w:eastAsia="仿宋_GB2312" w:cs="仿宋_GB2312"/>
          <w:color w:val="333333"/>
          <w:kern w:val="0"/>
          <w:sz w:val="32"/>
          <w:szCs w:val="32"/>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45.46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333333"/>
          <w:kern w:val="0"/>
          <w:sz w:val="32"/>
          <w:szCs w:val="32"/>
          <w:lang w:eastAsia="zh-CN"/>
        </w:rPr>
        <w:t>缴纳在职在编人员养老保险单位部分</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2.61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6.09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333333"/>
          <w:kern w:val="0"/>
          <w:sz w:val="32"/>
          <w:szCs w:val="32"/>
          <w:lang w:eastAsia="zh-CN"/>
        </w:rPr>
        <w:t>养老保险缴费基数提高，养老保险单位缴纳部分增加</w:t>
      </w:r>
      <w:r>
        <w:rPr>
          <w:rFonts w:hint="eastAsia" w:ascii="仿宋_GB2312" w:hAnsi="仿宋_GB2312" w:eastAsia="仿宋_GB2312" w:cs="仿宋_GB2312"/>
          <w:color w:val="333333"/>
          <w:kern w:val="0"/>
          <w:sz w:val="32"/>
          <w:szCs w:val="32"/>
        </w:rPr>
        <w:t>。</w:t>
      </w:r>
    </w:p>
    <w:p>
      <w:pPr>
        <w:widowControl/>
        <w:shd w:val="clear" w:color="auto" w:fill="FFFFFF"/>
        <w:spacing w:line="503" w:lineRule="atLeast"/>
        <w:ind w:firstLine="571"/>
        <w:jc w:val="left"/>
        <w:rPr>
          <w:rFonts w:hint="eastAsia" w:ascii="仿宋_GB2312" w:hAnsi="仿宋_GB2312" w:eastAsia="仿宋_GB2312" w:cs="仿宋_GB2312"/>
          <w:color w:val="333333"/>
          <w:kern w:val="0"/>
          <w:sz w:val="32"/>
          <w:szCs w:val="32"/>
          <w:lang w:val="en-US" w:eastAsia="zh-CN"/>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34.07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333333"/>
          <w:kern w:val="0"/>
          <w:sz w:val="32"/>
          <w:szCs w:val="32"/>
          <w:lang w:val="en-US" w:eastAsia="zh-CN"/>
        </w:rPr>
        <w:t>按照国家政策规定向职工发放的住房公积金、提租补贴、购房补贴等住房改革方面的支出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1.24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3.78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333333"/>
          <w:kern w:val="0"/>
          <w:sz w:val="32"/>
          <w:szCs w:val="32"/>
          <w:lang w:val="en-US" w:eastAsia="zh-CN"/>
        </w:rPr>
        <w:t>住房公积金缴费基数提高，住房公积金单位缴纳部分增加。</w:t>
      </w:r>
    </w:p>
    <w:p>
      <w:pPr>
        <w:widowControl/>
        <w:shd w:val="clear" w:color="auto" w:fill="FFFFFF"/>
        <w:spacing w:line="503" w:lineRule="atLeast"/>
        <w:ind w:firstLine="571"/>
        <w:jc w:val="left"/>
        <w:rPr>
          <w:rFonts w:hint="eastAsia" w:ascii="仿宋_GB2312" w:hAnsi="仿宋_GB2312" w:eastAsia="仿宋_GB2312" w:cs="仿宋_GB2312"/>
          <w:color w:val="333333"/>
          <w:kern w:val="0"/>
          <w:sz w:val="32"/>
          <w:szCs w:val="32"/>
          <w:lang w:val="en-US" w:eastAsia="zh-CN"/>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71.77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333333"/>
          <w:kern w:val="0"/>
          <w:sz w:val="32"/>
          <w:szCs w:val="32"/>
          <w:lang w:val="en-US" w:eastAsia="zh-CN"/>
        </w:rPr>
        <w:t>单位按照有关规定向职工发放奖励性补贴支出。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21.47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下降</w:t>
      </w:r>
      <w:r>
        <w:rPr>
          <w:rFonts w:hint="eastAsia" w:ascii="仿宋" w:hAnsi="仿宋" w:eastAsia="仿宋" w:cs="仿宋"/>
          <w:sz w:val="32"/>
          <w:szCs w:val="32"/>
          <w:highlight w:val="none"/>
          <w:lang w:val="en-US" w:eastAsia="zh-CN" w:bidi="ar"/>
        </w:rPr>
        <w:t>23.03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主要原因：一是</w:t>
      </w:r>
      <w:r>
        <w:rPr>
          <w:rFonts w:hint="eastAsia" w:ascii="仿宋_GB2312" w:hAnsi="仿宋_GB2312" w:eastAsia="仿宋_GB2312" w:cs="仿宋_GB2312"/>
          <w:color w:val="333333"/>
          <w:kern w:val="0"/>
          <w:sz w:val="32"/>
          <w:szCs w:val="32"/>
          <w:lang w:val="en-US" w:eastAsia="zh-CN"/>
        </w:rPr>
        <w:t>2023年度奖励性补贴减少；二是2023年度伙食补助支出。</w:t>
      </w:r>
    </w:p>
    <w:p>
      <w:pPr>
        <w:keepNext w:val="0"/>
        <w:keepLines w:val="0"/>
        <w:widowControl w:val="0"/>
        <w:suppressLineNumbers w:val="0"/>
        <w:spacing w:before="0" w:beforeAutospacing="0" w:after="0" w:afterAutospacing="0"/>
        <w:ind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kern w:val="2"/>
          <w:sz w:val="32"/>
          <w:szCs w:val="32"/>
          <w:highlight w:val="none"/>
          <w:lang w:val="en-US" w:eastAsia="zh-CN" w:bidi="ar"/>
        </w:rPr>
        <w:t>本单位</w:t>
      </w:r>
      <w:r>
        <w:rPr>
          <w:rFonts w:hint="eastAsia" w:ascii="仿宋" w:hAnsi="仿宋" w:eastAsia="仿宋_GB2312" w:cs="仿宋"/>
          <w:sz w:val="32"/>
          <w:szCs w:val="32"/>
          <w:highlight w:val="none"/>
          <w:lang w:eastAsia="zh-CN" w:bidi="ar"/>
        </w:rPr>
        <w:t>无结余分配。</w:t>
      </w:r>
    </w:p>
    <w:p>
      <w:pPr>
        <w:widowControl/>
        <w:shd w:val="clear" w:color="auto" w:fill="FFFFFF"/>
        <w:spacing w:line="503" w:lineRule="atLeast"/>
        <w:ind w:firstLine="584"/>
        <w:jc w:val="left"/>
        <w:rPr>
          <w:rFonts w:hint="eastAsia" w:ascii="仿宋_GB2312" w:hAnsi="仿宋_GB2312" w:eastAsia="仿宋_GB2312" w:cs="仿宋_GB2312"/>
          <w:color w:val="auto"/>
          <w:kern w:val="0"/>
          <w:sz w:val="32"/>
          <w:szCs w:val="32"/>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0"/>
          <w:sz w:val="32"/>
          <w:szCs w:val="32"/>
          <w:lang w:eastAsia="zh-CN"/>
        </w:rPr>
        <w:t>财政收回结转结余资金</w:t>
      </w:r>
      <w:r>
        <w:rPr>
          <w:rFonts w:hint="eastAsia" w:ascii="仿宋_GB2312" w:hAnsi="仿宋_GB2312" w:eastAsia="仿宋_GB2312" w:cs="仿宋_GB2312"/>
          <w:color w:val="auto"/>
          <w:kern w:val="0"/>
          <w:sz w:val="32"/>
          <w:szCs w:val="32"/>
        </w:rPr>
        <w:t>。</w:t>
      </w:r>
    </w:p>
    <w:p>
      <w:pPr>
        <w:widowControl/>
        <w:shd w:val="clear" w:color="auto" w:fill="FFFFFF"/>
        <w:spacing w:line="503" w:lineRule="atLeast"/>
        <w:jc w:val="left"/>
        <w:rPr>
          <w:rFonts w:hint="eastAsia" w:ascii="仿宋_GB2312" w:hAnsi="仿宋_GB2312" w:eastAsia="仿宋_GB2312" w:cs="仿宋_GB2312"/>
          <w:color w:val="auto"/>
          <w:kern w:val="0"/>
          <w:sz w:val="32"/>
          <w:szCs w:val="32"/>
        </w:rPr>
      </w:pPr>
      <w:r>
        <w:drawing>
          <wp:inline distT="0" distB="0" distL="114300" distR="114300">
            <wp:extent cx="5790565" cy="3032125"/>
            <wp:effectExtent l="0" t="0" r="635"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a:stretch>
                      <a:fillRect/>
                    </a:stretch>
                  </pic:blipFill>
                  <pic:spPr>
                    <a:xfrm>
                      <a:off x="0" y="0"/>
                      <a:ext cx="5790565" cy="3032125"/>
                    </a:xfrm>
                    <a:prstGeom prst="rect">
                      <a:avLst/>
                    </a:prstGeom>
                    <a:noFill/>
                    <a:ln>
                      <a:noFill/>
                    </a:ln>
                  </pic:spPr>
                </pic:pic>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 xml:space="preserve">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中国人民政治协商会议环江毛南族自治县委员会202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675.99</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22.23</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3.40</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571.96</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104.03</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中国人民政治协商会议环江毛南族自治县委员会202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506.17</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675.99</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133.55</w:t>
      </w:r>
      <w:r>
        <w:rPr>
          <w:rFonts w:ascii="仿宋" w:hAnsi="仿宋" w:eastAsia="仿宋" w:cs="仿宋"/>
          <w:sz w:val="32"/>
          <w:u w:color="auto"/>
        </w:rPr>
        <w:t>%</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bookmarkStart w:id="1" w:name="OLE_LINK2"/>
      <w:bookmarkEnd w:id="1"/>
      <w:r>
        <w:rPr>
          <w:rFonts w:hint="eastAsia" w:ascii="仿宋" w:hAnsi="仿宋" w:eastAsia="仿宋"/>
          <w:sz w:val="32"/>
          <w:szCs w:val="32"/>
          <w:highlight w:val="none"/>
        </w:rPr>
        <w:t xml:space="preserve"> </w:t>
      </w:r>
      <w:r>
        <w:rPr>
          <w:rFonts w:hint="eastAsia" w:ascii="仿宋" w:hAnsi="仿宋" w:eastAsia="仿宋"/>
          <w:sz w:val="32"/>
          <w:szCs w:val="32"/>
          <w:highlight w:val="none"/>
          <w:lang w:eastAsia="zh-CN"/>
        </w:rPr>
        <w:t>　（一）</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427.65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524.69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122.69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原因是：一是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2023年增加退休干部死亡怃恤金支出。</w:t>
      </w:r>
      <w:r>
        <w:rPr>
          <w:rFonts w:hint="eastAsia" w:ascii="仿宋" w:hAnsi="仿宋" w:eastAsia="仿宋" w:cs="仿宋"/>
          <w:color w:val="333333"/>
          <w:kern w:val="0"/>
          <w:sz w:val="32"/>
          <w:szCs w:val="32"/>
          <w:lang w:eastAsia="zh-CN"/>
        </w:rPr>
        <w:t>二是工资福利支出增加了基础绩效奖（基础性绩效工资增量）。</w:t>
      </w:r>
    </w:p>
    <w:p>
      <w:pPr>
        <w:ind w:firstLine="640" w:firstLineChars="200"/>
        <w:jc w:val="left"/>
        <w:rPr>
          <w:rFonts w:hint="eastAsia" w:ascii="仿宋" w:hAnsi="仿宋" w:eastAsia="仿宋"/>
          <w:sz w:val="32"/>
          <w:szCs w:val="32"/>
          <w:highlight w:val="none"/>
          <w:lang w:val="en-US" w:eastAsia="zh-CN"/>
        </w:rPr>
      </w:pPr>
    </w:p>
    <w:p>
      <w:pPr>
        <w:ind w:firstLine="640" w:firstLineChars="200"/>
        <w:jc w:val="left"/>
        <w:rPr>
          <w:rFonts w:hint="eastAsia" w:ascii="仿宋" w:hAnsi="仿宋" w:eastAsia="仿宋"/>
          <w:sz w:val="32"/>
          <w:szCs w:val="32"/>
          <w:highlight w:val="none"/>
          <w:lang w:val="en-US" w:eastAsia="zh-CN"/>
        </w:rPr>
      </w:pPr>
    </w:p>
    <w:p>
      <w:p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0"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334.54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430.44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128.67%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numPr>
                <w:ilvl w:val="0"/>
                <w:numId w:val="0"/>
              </w:numPr>
              <w:suppressLineNumbers w:val="0"/>
              <w:shd w:val="clear" w:color="auto" w:fill="FFFFFF"/>
              <w:spacing w:before="0" w:beforeAutospacing="0" w:after="0" w:afterAutospacing="0" w:line="240" w:lineRule="auto"/>
              <w:ind w:left="0" w:right="0" w:firstLine="420" w:firstLineChars="200"/>
              <w:jc w:val="left"/>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color w:val="333333"/>
                <w:kern w:val="0"/>
                <w:sz w:val="21"/>
                <w:szCs w:val="21"/>
              </w:rPr>
              <w:t>本部门为保证日常运转发生的基本支出，如根据国家及自治区规定的基本工资和津补贴标准等安排的人员经费支出和日常公用经费支出。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suppressLineNumbers w:val="0"/>
              <w:spacing w:before="0" w:beforeAutospacing="0" w:after="0" w:afterAutospacing="0"/>
              <w:ind w:left="0" w:right="0"/>
              <w:jc w:val="left"/>
              <w:rPr>
                <w:rFonts w:hint="eastAsia" w:ascii="仿宋" w:hAnsi="仿宋" w:eastAsia="仿宋" w:cs="仿宋"/>
                <w:color w:val="FF0000"/>
                <w:sz w:val="32"/>
                <w:szCs w:val="32"/>
                <w:highlight w:val="none"/>
                <w:lang w:val="en-US" w:eastAsia="zh-CN"/>
              </w:rPr>
            </w:pPr>
            <w:r>
              <w:rPr>
                <w:rFonts w:hint="eastAsia" w:ascii="仿宋" w:hAnsi="仿宋" w:eastAsia="仿宋" w:cs="仿宋"/>
                <w:color w:val="333333"/>
                <w:kern w:val="0"/>
                <w:sz w:val="18"/>
                <w:szCs w:val="18"/>
                <w:lang w:eastAsia="zh-CN"/>
              </w:rPr>
              <w:t>　　</w:t>
            </w:r>
            <w:r>
              <w:rPr>
                <w:rFonts w:hint="eastAsia" w:ascii="仿宋" w:hAnsi="仿宋" w:eastAsia="仿宋" w:cs="仿宋"/>
                <w:color w:val="000000" w:themeColor="text1"/>
                <w:sz w:val="18"/>
                <w:szCs w:val="18"/>
                <w:highlight w:val="none"/>
                <w:lang w:val="en-US" w:eastAsia="zh-CN"/>
                <w14:textFill>
                  <w14:solidFill>
                    <w14:schemeClr w14:val="tx1"/>
                  </w14:solidFill>
                </w14:textFill>
              </w:rPr>
              <w:t>一是</w:t>
            </w:r>
            <w:r>
              <w:rPr>
                <w:rFonts w:hint="eastAsia" w:ascii="仿宋" w:hAnsi="仿宋" w:eastAsia="仿宋" w:cs="仿宋"/>
                <w:color w:val="000000" w:themeColor="text1"/>
                <w:kern w:val="0"/>
                <w:sz w:val="18"/>
                <w:szCs w:val="18"/>
                <w:lang w:val="en-US" w:eastAsia="zh-CN"/>
                <w14:textFill>
                  <w14:solidFill>
                    <w14:schemeClr w14:val="tx1"/>
                  </w14:solidFill>
                </w14:textFill>
              </w:rPr>
              <w:t>2023年增加退休干部死亡怃恤金支出。</w:t>
            </w:r>
            <w:r>
              <w:rPr>
                <w:rFonts w:hint="eastAsia" w:ascii="仿宋" w:hAnsi="仿宋" w:eastAsia="仿宋" w:cs="仿宋"/>
                <w:color w:val="333333"/>
                <w:kern w:val="0"/>
                <w:sz w:val="18"/>
                <w:szCs w:val="18"/>
                <w:lang w:eastAsia="zh-CN"/>
              </w:rPr>
              <w:t>二是工资福利支出增加了基础绩效奖（基础性绩效工资增量）。</w:t>
            </w:r>
          </w:p>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i w:val="0"/>
                <w:iCs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103.27%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line="240" w:lineRule="auto"/>
              <w:ind w:left="0" w:right="0" w:firstLine="420" w:firstLineChars="200"/>
              <w:jc w:val="left"/>
              <w:textAlignment w:val="auto"/>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color w:val="333333"/>
                <w:kern w:val="0"/>
                <w:sz w:val="21"/>
                <w:szCs w:val="21"/>
              </w:rPr>
              <w:t>主要用于</w:t>
            </w:r>
            <w:r>
              <w:rPr>
                <w:rFonts w:hint="eastAsia" w:ascii="仿宋" w:hAnsi="仿宋" w:eastAsia="仿宋" w:cs="仿宋"/>
                <w:color w:val="333333"/>
                <w:kern w:val="0"/>
                <w:sz w:val="21"/>
                <w:szCs w:val="21"/>
                <w:lang w:eastAsia="zh-CN"/>
              </w:rPr>
              <w:t>自治县政协机关各委室办公费、邮电费、水电费、办公设置购置等。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color w:val="333333"/>
                <w:kern w:val="0"/>
                <w:sz w:val="21"/>
                <w:szCs w:val="21"/>
                <w:lang w:eastAsia="zh-CN"/>
              </w:rPr>
              <w:t>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2010204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政协会议</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76.04%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000000"/>
                <w:kern w:val="0"/>
                <w:sz w:val="18"/>
                <w:szCs w:val="18"/>
                <w:lang w:eastAsia="zh-CN"/>
              </w:rPr>
              <w:t>　　</w:t>
            </w:r>
            <w:r>
              <w:rPr>
                <w:rFonts w:hint="eastAsia" w:ascii="仿宋" w:hAnsi="仿宋" w:eastAsia="仿宋" w:cs="仿宋"/>
                <w:color w:val="333333"/>
                <w:kern w:val="0"/>
                <w:sz w:val="18"/>
                <w:szCs w:val="18"/>
                <w:lang w:val="en-US" w:eastAsia="zh-CN"/>
              </w:rPr>
              <w:t>主要用于</w:t>
            </w:r>
            <w:r>
              <w:rPr>
                <w:rFonts w:hint="eastAsia" w:ascii="仿宋" w:hAnsi="仿宋" w:eastAsia="仿宋" w:cs="仿宋"/>
                <w:color w:val="333333"/>
                <w:kern w:val="0"/>
                <w:sz w:val="18"/>
                <w:szCs w:val="18"/>
              </w:rPr>
              <w:t>召开</w:t>
            </w:r>
            <w:r>
              <w:rPr>
                <w:rFonts w:hint="eastAsia" w:ascii="仿宋" w:hAnsi="仿宋" w:eastAsia="仿宋" w:cs="仿宋"/>
                <w:color w:val="333333"/>
                <w:kern w:val="0"/>
                <w:sz w:val="18"/>
                <w:szCs w:val="18"/>
                <w:lang w:eastAsia="zh-CN"/>
              </w:rPr>
              <w:t>九届环江毛南族自治县委员会第三次会议，政协常</w:t>
            </w:r>
            <w:r>
              <w:rPr>
                <w:rFonts w:hint="eastAsia" w:ascii="仿宋" w:hAnsi="仿宋" w:eastAsia="仿宋" w:cs="仿宋"/>
                <w:color w:val="333333"/>
                <w:kern w:val="0"/>
                <w:sz w:val="18"/>
                <w:szCs w:val="18"/>
                <w:lang w:val="en-US" w:eastAsia="zh-CN"/>
              </w:rPr>
              <w:t>委会、各种协商会议经费等。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333333"/>
                <w:kern w:val="0"/>
                <w:sz w:val="18"/>
                <w:szCs w:val="18"/>
                <w:lang w:eastAsia="zh-CN"/>
              </w:rPr>
              <w:t>　　历行节约，严格控制会议经费支出。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2010205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委员视察</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000000"/>
                <w:kern w:val="0"/>
                <w:sz w:val="18"/>
                <w:szCs w:val="18"/>
                <w:lang w:eastAsia="zh-CN"/>
              </w:rPr>
              <w:t>　　</w:t>
            </w:r>
            <w:r>
              <w:rPr>
                <w:rFonts w:hint="eastAsia" w:ascii="仿宋" w:hAnsi="仿宋" w:eastAsia="仿宋" w:cs="仿宋"/>
                <w:color w:val="333333"/>
                <w:kern w:val="0"/>
                <w:sz w:val="18"/>
                <w:szCs w:val="18"/>
              </w:rPr>
              <w:t>主要用于</w:t>
            </w:r>
            <w:r>
              <w:rPr>
                <w:rFonts w:hint="eastAsia" w:ascii="仿宋" w:hAnsi="仿宋" w:eastAsia="仿宋" w:cs="仿宋"/>
                <w:color w:val="333333"/>
                <w:kern w:val="0"/>
                <w:sz w:val="18"/>
                <w:szCs w:val="18"/>
                <w:lang w:eastAsia="zh-CN"/>
              </w:rPr>
              <w:t>政协视察活动经费支出</w:t>
            </w:r>
            <w:r>
              <w:rPr>
                <w:rFonts w:hint="eastAsia" w:ascii="仿宋" w:hAnsi="仿宋" w:eastAsia="仿宋" w:cs="仿宋"/>
                <w:color w:val="333333"/>
                <w:kern w:val="0"/>
                <w:sz w:val="18"/>
                <w:szCs w:val="18"/>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333333"/>
                <w:kern w:val="0"/>
                <w:sz w:val="18"/>
                <w:szCs w:val="18"/>
                <w:lang w:eastAsia="zh-CN"/>
              </w:rPr>
              <w:t>　政协委员视察活动增加。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2010206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参政议政</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107.13%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line="240" w:lineRule="auto"/>
              <w:ind w:left="0" w:right="0" w:firstLine="360" w:firstLineChars="200"/>
              <w:jc w:val="left"/>
              <w:textAlignment w:val="auto"/>
              <w:rPr>
                <w:rFonts w:hint="eastAsia" w:ascii="仿宋" w:hAnsi="仿宋" w:eastAsia="仿宋" w:cs="仿宋"/>
                <w:color w:val="333333"/>
                <w:kern w:val="0"/>
                <w:sz w:val="18"/>
                <w:szCs w:val="18"/>
                <w:lang w:val="en-US" w:eastAsia="zh-CN"/>
              </w:rPr>
            </w:pPr>
            <w:r>
              <w:rPr>
                <w:rFonts w:hint="eastAsia" w:ascii="仿宋" w:hAnsi="仿宋" w:eastAsia="仿宋" w:cs="仿宋"/>
                <w:color w:val="333333"/>
                <w:kern w:val="0"/>
                <w:sz w:val="18"/>
                <w:szCs w:val="18"/>
              </w:rPr>
              <w:t>主要用于</w:t>
            </w:r>
            <w:r>
              <w:rPr>
                <w:rFonts w:hint="eastAsia" w:ascii="仿宋" w:hAnsi="仿宋" w:eastAsia="仿宋" w:cs="仿宋"/>
                <w:color w:val="333333"/>
                <w:kern w:val="0"/>
                <w:sz w:val="18"/>
                <w:szCs w:val="18"/>
                <w:lang w:eastAsia="zh-CN"/>
              </w:rPr>
              <w:t>委员培训、视察、调研等委员活动经费支出</w:t>
            </w:r>
            <w:r>
              <w:rPr>
                <w:rFonts w:hint="eastAsia" w:ascii="仿宋" w:hAnsi="仿宋" w:eastAsia="仿宋" w:cs="仿宋"/>
                <w:color w:val="333333"/>
                <w:kern w:val="0"/>
                <w:sz w:val="18"/>
                <w:szCs w:val="18"/>
              </w:rPr>
              <w:t>。</w:t>
            </w:r>
            <w:r>
              <w:rPr>
                <w:rFonts w:hint="eastAsia" w:ascii="仿宋" w:hAnsi="仿宋" w:eastAsia="仿宋" w:cs="仿宋"/>
                <w:color w:val="333333"/>
                <w:kern w:val="0"/>
                <w:sz w:val="18"/>
                <w:szCs w:val="18"/>
                <w:lang w:val="en-US" w:eastAsia="zh-CN"/>
              </w:rPr>
              <w:t xml:space="preserve"> </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333333"/>
                <w:kern w:val="0"/>
                <w:sz w:val="18"/>
                <w:szCs w:val="18"/>
                <w:lang w:eastAsia="zh-CN"/>
              </w:rPr>
              <w:t>　政协委员培训、视察、调研活动增加。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000000"/>
                <w:kern w:val="0"/>
                <w:sz w:val="18"/>
                <w:szCs w:val="18"/>
                <w:lang w:val="en-US" w:eastAsia="zh-CN"/>
              </w:rPr>
              <w:t>　　其中35%用于工会上解经费，65%用于工会活动经费。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427.65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524.69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　　</w:t>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lang w:eastAsia="zh-CN"/>
        </w:rPr>
      </w:pPr>
      <w:r>
        <w:drawing>
          <wp:inline distT="0" distB="0" distL="114300" distR="114300">
            <wp:extent cx="5606415" cy="3149600"/>
            <wp:effectExtent l="0" t="0" r="13335" b="1270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9"/>
                    <a:stretch>
                      <a:fillRect/>
                    </a:stretch>
                  </pic:blipFill>
                  <pic:spPr>
                    <a:xfrm>
                      <a:off x="0" y="0"/>
                      <a:ext cx="5606415" cy="3149600"/>
                    </a:xfrm>
                    <a:prstGeom prst="rect">
                      <a:avLst/>
                    </a:prstGeom>
                    <a:noFill/>
                    <a:ln>
                      <a:noFill/>
                    </a:ln>
                  </pic:spPr>
                </pic:pic>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（二）</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44.84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45.46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101.38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000000"/>
          <w:kern w:val="0"/>
          <w:sz w:val="32"/>
          <w:szCs w:val="32"/>
          <w:lang w:eastAsia="zh-CN"/>
        </w:rPr>
        <w:t>养老保险缴费基数比预算数略有增高</w:t>
      </w:r>
      <w:r>
        <w:rPr>
          <w:rFonts w:hint="eastAsia" w:ascii="仿宋_GB2312" w:hAnsi="仿宋_GB2312" w:eastAsia="仿宋_GB2312" w:cs="仿宋_GB2312"/>
          <w:color w:val="000000"/>
          <w:kern w:val="0"/>
          <w:sz w:val="32"/>
          <w:szCs w:val="32"/>
          <w:lang w:val="en-US"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　　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101.38%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　　</w:t>
            </w:r>
            <w:r>
              <w:rPr>
                <w:rFonts w:hint="eastAsia" w:ascii="仿宋" w:hAnsi="仿宋" w:eastAsia="仿宋" w:cs="仿宋"/>
                <w:color w:val="000000"/>
                <w:kern w:val="0"/>
                <w:sz w:val="18"/>
                <w:szCs w:val="18"/>
              </w:rPr>
              <w:t>机关事业单位基本养老保险缴费</w:t>
            </w:r>
            <w:r>
              <w:rPr>
                <w:rFonts w:hint="eastAsia" w:ascii="仿宋" w:hAnsi="仿宋" w:eastAsia="仿宋" w:cs="仿宋"/>
                <w:color w:val="000000"/>
                <w:kern w:val="0"/>
                <w:sz w:val="18"/>
                <w:szCs w:val="18"/>
                <w:lang w:eastAsia="zh-CN"/>
              </w:rPr>
              <w:t>单位部分</w:t>
            </w:r>
            <w:r>
              <w:rPr>
                <w:rFonts w:hint="eastAsia" w:ascii="仿宋" w:hAnsi="仿宋" w:eastAsia="仿宋" w:cs="仿宋"/>
                <w:color w:val="000000"/>
                <w:kern w:val="0"/>
                <w:sz w:val="18"/>
                <w:szCs w:val="18"/>
              </w:rPr>
              <w:t>支出；</w:t>
            </w:r>
          </w:p>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000000"/>
                <w:kern w:val="0"/>
                <w:sz w:val="18"/>
                <w:szCs w:val="18"/>
                <w:lang w:eastAsia="zh-CN"/>
              </w:rPr>
              <w:t>　　养老保险缴费基数比预算数略有增高</w:t>
            </w:r>
            <w:r>
              <w:rPr>
                <w:rFonts w:hint="eastAsia" w:ascii="仿宋" w:hAnsi="仿宋" w:eastAsia="仿宋" w:cs="仿宋"/>
                <w:color w:val="000000"/>
                <w:kern w:val="0"/>
                <w:sz w:val="18"/>
                <w:szCs w:val="1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　</w:t>
      </w:r>
      <w:r>
        <w:drawing>
          <wp:inline distT="0" distB="0" distL="114300" distR="114300">
            <wp:extent cx="5300980" cy="3223895"/>
            <wp:effectExtent l="0" t="0" r="13970" b="1460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0"/>
                    <a:stretch>
                      <a:fillRect/>
                    </a:stretch>
                  </pic:blipFill>
                  <pic:spPr>
                    <a:xfrm>
                      <a:off x="0" y="0"/>
                      <a:ext cx="5300980" cy="3223895"/>
                    </a:xfrm>
                    <a:prstGeom prst="rect">
                      <a:avLst/>
                    </a:prstGeom>
                    <a:noFill/>
                    <a:ln>
                      <a:noFill/>
                    </a:ln>
                  </pic:spPr>
                </pic:pic>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　</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eastAsia="zh-CN"/>
        </w:rPr>
        <w:t>（三）</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33.68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34.07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101.16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000000"/>
          <w:kern w:val="0"/>
          <w:sz w:val="32"/>
          <w:szCs w:val="32"/>
          <w:lang w:eastAsia="zh-CN"/>
        </w:rPr>
        <w:t>住房公积金缴费基数比预算数略有增高</w:t>
      </w:r>
      <w:r>
        <w:rPr>
          <w:rFonts w:hint="eastAsia" w:ascii="仿宋_GB2312" w:hAnsi="仿宋_GB2312" w:eastAsia="仿宋_GB2312" w:cs="仿宋_GB2312"/>
          <w:color w:val="000000"/>
          <w:kern w:val="0"/>
          <w:sz w:val="32"/>
          <w:szCs w:val="32"/>
          <w:lang w:val="en-US" w:eastAsia="zh-CN"/>
        </w:rPr>
        <w:t>。</w:t>
      </w:r>
    </w:p>
    <w:p>
      <w:p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101.16%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　　缴纳本单位在职在编人员住房公积金单位部分。</w:t>
            </w:r>
          </w:p>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000000"/>
                <w:kern w:val="0"/>
                <w:sz w:val="18"/>
                <w:szCs w:val="18"/>
                <w:lang w:eastAsia="zh-CN"/>
              </w:rPr>
              <w:t>　　住房公积金缴费基数比预算数略有增高</w:t>
            </w:r>
            <w:r>
              <w:rPr>
                <w:rFonts w:hint="eastAsia" w:ascii="仿宋" w:hAnsi="仿宋" w:eastAsia="仿宋" w:cs="仿宋"/>
                <w:color w:val="000000"/>
                <w:kern w:val="0"/>
                <w:sz w:val="18"/>
                <w:szCs w:val="1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drawing>
          <wp:inline distT="0" distB="0" distL="114300" distR="114300">
            <wp:extent cx="5269230" cy="3124200"/>
            <wp:effectExtent l="0" t="0" r="7620" b="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1"/>
                    <a:stretch>
                      <a:fillRect/>
                    </a:stretch>
                  </pic:blipFill>
                  <pic:spPr>
                    <a:xfrm>
                      <a:off x="0" y="0"/>
                      <a:ext cx="5269230" cy="3124200"/>
                    </a:xfrm>
                    <a:prstGeom prst="rect">
                      <a:avLst/>
                    </a:prstGeom>
                    <a:noFill/>
                    <a:ln>
                      <a:noFill/>
                    </a:ln>
                  </pic:spPr>
                </pic:pic>
              </a:graphicData>
            </a:graphic>
          </wp:inline>
        </w:drawing>
      </w:r>
      <w:r>
        <w:rPr>
          <w:rFonts w:hint="eastAsia" w:ascii="仿宋" w:hAnsi="仿宋" w:eastAsia="仿宋"/>
          <w:sz w:val="32"/>
          <w:szCs w:val="32"/>
          <w:highlight w:val="none"/>
          <w:lang w:eastAsia="zh-CN"/>
        </w:rPr>
        <w:t>　　（四）</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71.77</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000000"/>
          <w:kern w:val="0"/>
          <w:sz w:val="32"/>
          <w:szCs w:val="32"/>
          <w:lang w:eastAsia="zh-CN"/>
        </w:rPr>
        <w:t>根据年初预算工作要求，此</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不列入</w:t>
      </w:r>
      <w:r>
        <w:rPr>
          <w:rFonts w:hint="eastAsia" w:ascii="仿宋_GB2312" w:hAnsi="仿宋_GB2312" w:eastAsia="仿宋_GB2312" w:cs="仿宋_GB2312"/>
          <w:color w:val="000000"/>
          <w:kern w:val="0"/>
          <w:sz w:val="32"/>
          <w:szCs w:val="32"/>
        </w:rPr>
        <w:t>年初预算</w:t>
      </w:r>
      <w:r>
        <w:rPr>
          <w:rFonts w:hint="eastAsia" w:ascii="仿宋_GB2312" w:hAnsi="仿宋_GB2312" w:eastAsia="仿宋_GB2312" w:cs="仿宋_GB2312"/>
          <w:color w:val="000000"/>
          <w:kern w:val="0"/>
          <w:sz w:val="32"/>
          <w:szCs w:val="32"/>
          <w:lang w:eastAsia="zh-CN"/>
        </w:rPr>
        <w:t>。</w:t>
      </w:r>
    </w:p>
    <w:p>
      <w:p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71.77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themeColor="text1"/>
                <w:kern w:val="0"/>
                <w:sz w:val="18"/>
                <w:szCs w:val="18"/>
                <w:lang w:val="en-US" w:eastAsia="zh-CN"/>
                <w14:textFill>
                  <w14:solidFill>
                    <w14:schemeClr w14:val="tx1"/>
                  </w14:solidFill>
                </w14:textFill>
              </w:rPr>
            </w:pPr>
            <w:r>
              <w:rPr>
                <w:rFonts w:hint="eastAsia" w:ascii="仿宋" w:hAnsi="仿宋" w:eastAsia="仿宋" w:cs="仿宋"/>
                <w:color w:val="000000" w:themeColor="text1"/>
                <w:kern w:val="0"/>
                <w:sz w:val="18"/>
                <w:szCs w:val="18"/>
                <w:lang w:val="en-US" w:eastAsia="zh-CN"/>
                <w14:textFill>
                  <w14:solidFill>
                    <w14:schemeClr w14:val="tx1"/>
                  </w14:solidFill>
                </w14:textFill>
              </w:rPr>
              <w:t>　　单位按照有关规定向职工发放奖励性补贴。</w:t>
            </w:r>
          </w:p>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i w:val="0"/>
                <w:iCs w:val="0"/>
                <w:color w:val="auto"/>
                <w:sz w:val="18"/>
                <w:szCs w:val="18"/>
                <w:highlight w:val="none"/>
                <w:u w:val="none"/>
                <w:lang w:val="en-US" w:eastAsia="zh-CN"/>
              </w:rPr>
            </w:pPr>
            <w:r>
              <w:rPr>
                <w:rFonts w:hint="eastAsia" w:ascii="仿宋" w:hAnsi="仿宋" w:eastAsia="仿宋" w:cs="仿宋"/>
                <w:color w:val="000000"/>
                <w:kern w:val="0"/>
                <w:sz w:val="18"/>
                <w:szCs w:val="18"/>
                <w:lang w:eastAsia="zh-CN"/>
              </w:rPr>
              <w:t>　根据年初预算工作要求，</w:t>
            </w:r>
            <w:r>
              <w:rPr>
                <w:rFonts w:hint="eastAsia" w:ascii="仿宋" w:hAnsi="仿宋" w:eastAsia="仿宋" w:cs="仿宋"/>
                <w:color w:val="000000"/>
                <w:kern w:val="0"/>
                <w:sz w:val="18"/>
                <w:szCs w:val="18"/>
              </w:rPr>
              <w:t>这项</w:t>
            </w:r>
            <w:r>
              <w:rPr>
                <w:rFonts w:hint="eastAsia" w:ascii="仿宋" w:hAnsi="仿宋" w:eastAsia="仿宋" w:cs="仿宋"/>
                <w:color w:val="000000"/>
                <w:kern w:val="0"/>
                <w:sz w:val="18"/>
                <w:szCs w:val="18"/>
                <w:lang w:eastAsia="zh-CN"/>
              </w:rPr>
              <w:t>不列入</w:t>
            </w:r>
            <w:r>
              <w:rPr>
                <w:rFonts w:hint="eastAsia" w:ascii="仿宋" w:hAnsi="仿宋" w:eastAsia="仿宋" w:cs="仿宋"/>
                <w:color w:val="000000"/>
                <w:kern w:val="0"/>
                <w:sz w:val="18"/>
                <w:szCs w:val="18"/>
              </w:rPr>
              <w:t>年初预算</w:t>
            </w:r>
            <w:r>
              <w:rPr>
                <w:rFonts w:hint="eastAsia" w:ascii="仿宋" w:hAnsi="仿宋" w:eastAsia="仿宋" w:cs="仿宋"/>
                <w:color w:val="000000"/>
                <w:kern w:val="0"/>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71.77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r>
        <w:drawing>
          <wp:inline distT="0" distB="0" distL="114300" distR="114300">
            <wp:extent cx="5273675" cy="2853055"/>
            <wp:effectExtent l="0" t="0" r="3175" b="44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2"/>
                    <a:stretch>
                      <a:fillRect/>
                    </a:stretch>
                  </pic:blipFill>
                  <pic:spPr>
                    <a:xfrm>
                      <a:off x="0" y="0"/>
                      <a:ext cx="5273675" cy="2853055"/>
                    </a:xfrm>
                    <a:prstGeom prst="rect">
                      <a:avLst/>
                    </a:prstGeom>
                    <a:noFill/>
                    <a:ln>
                      <a:noFill/>
                    </a:ln>
                  </pic:spPr>
                </pic:pic>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中国人民政治协商会议环江毛南族自治县委员会202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571.96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533.47</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38.49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451.19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111.57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000000"/>
          <w:kern w:val="0"/>
          <w:sz w:val="32"/>
          <w:szCs w:val="32"/>
          <w:lang w:eastAsia="zh-CN"/>
        </w:rPr>
        <w:t>根据年初预算工作要求，奖励性补贴不列入</w:t>
      </w:r>
      <w:r>
        <w:rPr>
          <w:rFonts w:hint="eastAsia" w:ascii="仿宋_GB2312" w:hAnsi="仿宋_GB2312" w:eastAsia="仿宋_GB2312" w:cs="仿宋_GB2312"/>
          <w:color w:val="000000"/>
          <w:kern w:val="0"/>
          <w:sz w:val="32"/>
          <w:szCs w:val="32"/>
        </w:rPr>
        <w:t>年初预算</w:t>
      </w:r>
      <w:r>
        <w:rPr>
          <w:rFonts w:hint="eastAsia" w:ascii="仿宋_GB2312" w:hAnsi="仿宋_GB2312" w:eastAsia="仿宋_GB2312" w:cs="仿宋_GB2312"/>
          <w:color w:val="333333"/>
          <w:kern w:val="0"/>
          <w:sz w:val="32"/>
          <w:szCs w:val="32"/>
          <w:lang w:eastAsia="zh-CN"/>
        </w:rPr>
        <w:t>。</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　　支出具体情况如下</w:t>
      </w:r>
      <w:r>
        <w:rPr>
          <w:rFonts w:hint="eastAsia" w:ascii="仿宋" w:hAnsi="仿宋" w:eastAsia="仿宋" w:cs="仿宋"/>
          <w:sz w:val="32"/>
          <w:szCs w:val="32"/>
          <w:highlight w:val="none"/>
        </w:rPr>
        <w:t>：</w:t>
      </w:r>
    </w:p>
    <w:p>
      <w:pPr>
        <w:ind w:firstLine="64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30101基本工资121.79万元，30102津贴补贴68.05万元，30103奖金153.43万元，30108机关事业单位基本养老保险缴费45.46万元，30110职工基本医疗保险缴费18.24万元，30112其他社会保障缴费5.21万元，30113住房公积金34.09万元，30199其他工资福利支出4.92万元。</w:t>
      </w:r>
    </w:p>
    <w:p>
      <w:pPr>
        <w:jc w:val="left"/>
        <w:rPr>
          <w:rFonts w:hint="default" w:ascii="仿宋" w:hAnsi="仿宋" w:eastAsia="仿宋" w:cs="仿宋"/>
          <w:sz w:val="32"/>
          <w:szCs w:val="32"/>
          <w:highlight w:val="none"/>
          <w:lang w:val="en-US" w:eastAsia="zh-CN"/>
        </w:rPr>
      </w:pPr>
      <w:r>
        <w:drawing>
          <wp:inline distT="0" distB="0" distL="114300" distR="114300">
            <wp:extent cx="5398135" cy="3343910"/>
            <wp:effectExtent l="0" t="0" r="12065" b="889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3"/>
                    <a:stretch>
                      <a:fillRect/>
                    </a:stretch>
                  </pic:blipFill>
                  <pic:spPr>
                    <a:xfrm>
                      <a:off x="0" y="0"/>
                      <a:ext cx="5398135" cy="3343910"/>
                    </a:xfrm>
                    <a:prstGeom prst="rect">
                      <a:avLst/>
                    </a:prstGeom>
                    <a:noFill/>
                    <a:ln>
                      <a:noFill/>
                    </a:ln>
                  </pic:spPr>
                </pic:pic>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eastAsia="zh-CN"/>
        </w:rPr>
        <w:t>　　（二）</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38.49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91.91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由于年内有人员减少，其他交通费、通讯补贴减少</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30201办公费2.95万元，30205水费0.06万元，30206电费0.17万元，30207邮电费3.78万元，30211差旅费3.00万元，30228工会经费5.61万元，30239其他交通费用22.92万元。</w:t>
      </w:r>
    </w:p>
    <w:p>
      <w:pPr>
        <w:jc w:val="left"/>
        <w:rPr>
          <w:rFonts w:hint="eastAsia" w:ascii="仿宋" w:hAnsi="仿宋" w:eastAsia="仿宋" w:cs="仿宋"/>
          <w:sz w:val="32"/>
          <w:szCs w:val="32"/>
          <w:highlight w:val="none"/>
          <w:lang w:val="en-US" w:eastAsia="zh-CN"/>
        </w:rPr>
      </w:pPr>
      <w:r>
        <w:drawing>
          <wp:inline distT="0" distB="0" distL="114300" distR="114300">
            <wp:extent cx="5645785" cy="3049270"/>
            <wp:effectExtent l="0" t="0" r="12065" b="1778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4"/>
                    <a:stretch>
                      <a:fillRect/>
                    </a:stretch>
                  </pic:blipFill>
                  <pic:spPr>
                    <a:xfrm>
                      <a:off x="0" y="0"/>
                      <a:ext cx="5645785" cy="3049270"/>
                    </a:xfrm>
                    <a:prstGeom prst="rect">
                      <a:avLst/>
                    </a:prstGeom>
                    <a:noFill/>
                    <a:ln>
                      <a:noFill/>
                    </a:ln>
                  </pic:spPr>
                </pic:pic>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　　（三）</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82.29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502.69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333333"/>
          <w:kern w:val="0"/>
          <w:sz w:val="32"/>
          <w:szCs w:val="32"/>
          <w:lang w:eastAsia="zh-CN"/>
        </w:rPr>
        <w:t>年内增加退休干部死亡抚恤金支出</w:t>
      </w:r>
      <w:r>
        <w:rPr>
          <w:rFonts w:hint="eastAsia" w:ascii="仿宋_GB2312" w:hAnsi="仿宋_GB2312" w:eastAsia="仿宋_GB2312" w:cs="仿宋_GB2312"/>
          <w:color w:val="333333"/>
          <w:kern w:val="0"/>
          <w:sz w:val="32"/>
          <w:szCs w:val="32"/>
          <w:lang w:val="en-US" w:eastAsia="zh-CN"/>
        </w:rPr>
        <w:t>55.15万元</w:t>
      </w:r>
      <w:r>
        <w:rPr>
          <w:rFonts w:hint="eastAsia" w:ascii="仿宋_GB2312" w:hAnsi="仿宋_GB2312" w:eastAsia="仿宋_GB2312" w:cs="仿宋_GB2312"/>
          <w:color w:val="333333"/>
          <w:kern w:val="0"/>
          <w:sz w:val="32"/>
          <w:szCs w:val="32"/>
        </w:rPr>
        <w:t>。</w:t>
      </w:r>
    </w:p>
    <w:p>
      <w:pPr>
        <w:ind w:firstLine="64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30304抚恤金55.15万元，30305生活补助26.51万元，30307医疗费补助0.15万元，30399其他对个人和家庭的补助0.47万元。</w:t>
      </w:r>
    </w:p>
    <w:p>
      <w:pPr>
        <w:jc w:val="left"/>
        <w:rPr>
          <w:rFonts w:hint="eastAsia" w:ascii="仿宋" w:hAnsi="仿宋" w:eastAsia="仿宋" w:cs="仿宋"/>
          <w:sz w:val="32"/>
          <w:szCs w:val="32"/>
          <w:highlight w:val="none"/>
          <w:lang w:val="en-US" w:eastAsia="zh-CN"/>
        </w:rPr>
      </w:pPr>
      <w:r>
        <w:drawing>
          <wp:inline distT="0" distB="0" distL="114300" distR="114300">
            <wp:extent cx="5598160" cy="3119755"/>
            <wp:effectExtent l="0" t="0" r="2540" b="444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5"/>
                    <a:stretch>
                      <a:fillRect/>
                    </a:stretch>
                  </pic:blipFill>
                  <pic:spPr>
                    <a:xfrm>
                      <a:off x="0" y="0"/>
                      <a:ext cx="5598160" cy="3119755"/>
                    </a:xfrm>
                    <a:prstGeom prst="rect">
                      <a:avLst/>
                    </a:prstGeom>
                    <a:noFill/>
                    <a:ln>
                      <a:noFill/>
                    </a:ln>
                  </pic:spPr>
                </pic:pic>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（四）</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eastAsia="zh-CN"/>
        </w:rPr>
        <w:t>存在</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　　支出具体情况如下：</w:t>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drawing>
          <wp:inline distT="0" distB="0" distL="114300" distR="114300">
            <wp:extent cx="5473700" cy="2721610"/>
            <wp:effectExtent l="4445" t="4445" r="8255" b="1714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　　（五）</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eastAsia="zh-CN"/>
        </w:rPr>
        <w:t>存在</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keepNext w:val="0"/>
        <w:keepLines w:val="0"/>
        <w:widowControl w:val="0"/>
        <w:numPr>
          <w:ilvl w:val="0"/>
          <w:numId w:val="0"/>
        </w:numPr>
        <w:suppressLineNumbers w:val="0"/>
        <w:spacing w:before="0" w:beforeAutospacing="0" w:after="0" w:afterAutospacing="0"/>
        <w:ind w:right="0" w:rightChars="0" w:firstLine="64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支出具体情况如下：</w:t>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drawing>
          <wp:inline distT="0" distB="0" distL="114300" distR="114300">
            <wp:extent cx="5188585" cy="2661920"/>
            <wp:effectExtent l="4445" t="4445" r="7620" b="1968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sz w:val="32"/>
          <w:szCs w:val="32"/>
          <w:highlight w:val="none"/>
          <w:lang w:eastAsia="zh-CN"/>
        </w:rPr>
      </w:pPr>
    </w:p>
    <w:p>
      <w:pPr>
        <w:keepNext w:val="0"/>
        <w:keepLines w:val="0"/>
        <w:widowControl w:val="0"/>
        <w:numPr>
          <w:ilvl w:val="0"/>
          <w:numId w:val="0"/>
        </w:numPr>
        <w:suppressLineNumbers w:val="0"/>
        <w:spacing w:before="0" w:beforeAutospacing="0" w:after="0" w:afterAutospacing="0"/>
        <w:ind w:left="320" w:leftChars="0" w:right="0" w:rightChars="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　　（六）</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eastAsia="zh-CN"/>
        </w:rPr>
        <w:t>存在</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keepNext w:val="0"/>
        <w:keepLines w:val="0"/>
        <w:widowControl w:val="0"/>
        <w:numPr>
          <w:ilvl w:val="0"/>
          <w:numId w:val="0"/>
        </w:numPr>
        <w:suppressLineNumbers w:val="0"/>
        <w:spacing w:before="0" w:beforeAutospacing="0" w:after="0" w:afterAutospacing="0"/>
        <w:ind w:left="320" w:leftChars="0" w:right="0" w:rightChars="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　　支出具体情况如下：</w:t>
      </w:r>
    </w:p>
    <w:p>
      <w:pPr>
        <w:keepNext w:val="0"/>
        <w:keepLines w:val="0"/>
        <w:widowControl w:val="0"/>
        <w:numPr>
          <w:ilvl w:val="0"/>
          <w:numId w:val="0"/>
        </w:numPr>
        <w:suppressLineNumbers w:val="0"/>
        <w:spacing w:before="0" w:beforeAutospacing="0" w:after="0" w:afterAutospacing="0"/>
        <w:ind w:left="320" w:leftChars="0" w:right="0" w:rightChars="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drawing>
          <wp:inline distT="0" distB="0" distL="114300" distR="114300">
            <wp:extent cx="5331460" cy="2978150"/>
            <wp:effectExtent l="4445" t="4445" r="17145"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ind w:firstLine="640" w:firstLineChars="200"/>
        <w:jc w:val="left"/>
        <w:rPr>
          <w:rFonts w:hint="eastAsia" w:ascii="仿宋" w:hAnsi="仿宋" w:eastAsia="仿宋" w:cs="仿宋"/>
          <w:sz w:val="32"/>
          <w:szCs w:val="32"/>
          <w:highlight w:val="none"/>
        </w:rPr>
      </w:pPr>
      <w:r>
        <w:rPr>
          <w:rFonts w:hint="eastAsia" w:ascii="仿宋_GB2312" w:hAnsi="Times New Roman" w:eastAsia="仿宋_GB2312" w:cs="Times New Roman"/>
          <w:b w:val="0"/>
          <w:bCs w:val="0"/>
          <w:color w:val="auto"/>
          <w:sz w:val="32"/>
          <w:szCs w:val="32"/>
        </w:rPr>
        <w:t>中国人民政治协商会议环江毛南族自治县委员会</w:t>
      </w:r>
      <w:r>
        <w:rPr>
          <w:rFonts w:ascii="仿宋_GB2312" w:hAnsi="仿宋_GB2312" w:eastAsia="仿宋_GB2312" w:cs="仿宋_GB2312"/>
          <w:b w:val="0"/>
          <w:bCs w:val="0"/>
          <w:color w:val="auto"/>
          <w:sz w:val="32"/>
          <w:u w:color="auto"/>
        </w:rPr>
        <w:t>没有政府性基金收入，也没有政府性基金收入安排的支出</w:t>
      </w:r>
      <w:r>
        <w:rPr>
          <w:rFonts w:hint="eastAsia" w:ascii="仿宋_GB2312" w:hAnsi="仿宋_GB2312" w:eastAsia="仿宋_GB2312" w:cs="仿宋_GB2312"/>
          <w:b w:val="0"/>
          <w:bCs w:val="0"/>
          <w:color w:val="auto"/>
          <w:sz w:val="32"/>
          <w:u w:color="auto"/>
          <w:lang w:eastAsia="zh-CN"/>
        </w:rPr>
        <w:t>，</w:t>
      </w:r>
      <w:r>
        <w:rPr>
          <w:rFonts w:hint="eastAsia" w:ascii="仿宋_GB2312" w:hAnsi="Times New Roman" w:eastAsia="仿宋_GB2312" w:cs="Times New Roman"/>
          <w:b w:val="0"/>
          <w:bCs w:val="0"/>
          <w:color w:val="auto"/>
          <w:sz w:val="32"/>
          <w:szCs w:val="32"/>
        </w:rPr>
        <w:t>故本段落无表述。</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jc w:val="left"/>
        <w:rPr>
          <w:rFonts w:hint="eastAsia" w:ascii="仿宋" w:hAnsi="仿宋" w:eastAsia="仿宋" w:cs="仿宋"/>
          <w:sz w:val="32"/>
          <w:szCs w:val="32"/>
          <w:highlight w:val="none"/>
        </w:rPr>
      </w:pPr>
      <w:bookmarkStart w:id="2" w:name="PO_part3A5B1C1DiffReason1"/>
      <w:r>
        <w:rPr>
          <w:rFonts w:hint="eastAsia" w:ascii="仿宋_GB2312" w:hAnsi="Times New Roman" w:eastAsia="仿宋_GB2312" w:cs="Times New Roman"/>
          <w:color w:val="auto"/>
          <w:sz w:val="32"/>
          <w:szCs w:val="32"/>
          <w:lang w:eastAsia="zh-CN"/>
        </w:rPr>
        <w:t>　　</w:t>
      </w:r>
      <w:r>
        <w:rPr>
          <w:rFonts w:hint="eastAsia" w:ascii="仿宋_GB2312" w:hAnsi="Times New Roman" w:eastAsia="仿宋_GB2312" w:cs="Times New Roman"/>
          <w:color w:val="auto"/>
          <w:sz w:val="32"/>
          <w:szCs w:val="32"/>
        </w:rPr>
        <w:t>中国人民政治协商会议环江毛南族自治县委员会</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2"/>
    </w:p>
    <w:p>
      <w:pPr>
        <w:jc w:val="left"/>
        <w:rPr>
          <w:rFonts w:ascii="仿宋" w:hAnsi="仿宋" w:eastAsia="仿宋" w:cs="仿宋"/>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年预算财政拨款安排的“三公”经费支出</w:t>
      </w:r>
      <w:r>
        <w:rPr>
          <w:rFonts w:hint="eastAsia" w:ascii="仿宋" w:hAnsi="仿宋" w:eastAsia="仿宋" w:cs="仿宋"/>
          <w:sz w:val="32"/>
          <w:szCs w:val="32"/>
          <w:highlight w:val="none"/>
          <w:lang w:val="en-US" w:eastAsia="zh-CN"/>
        </w:rPr>
        <w:t>0.22</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9.32</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0.05</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0"/>
          <w:sz w:val="32"/>
          <w:szCs w:val="32"/>
          <w:lang w:val="en-US" w:eastAsia="zh-CN"/>
        </w:rPr>
        <w:t>认真贯彻落实“八项规定”精神和厉行节约要求，严控和压缩“三公”经费相关支出。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0.22</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2"/>
        </w:num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原因是：本单位无</w:t>
      </w: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eastAsia="zh-CN"/>
        </w:rPr>
        <w:t>。</w:t>
      </w:r>
    </w:p>
    <w:p>
      <w:pPr>
        <w:numPr>
          <w:ilvl w:val="0"/>
          <w:numId w:val="0"/>
        </w:numPr>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　　（二）</w:t>
      </w: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eastAsia="zh-CN"/>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本单位无</w:t>
      </w:r>
      <w:r>
        <w:rPr>
          <w:rFonts w:hint="eastAsia" w:ascii="仿宋" w:hAnsi="仿宋" w:eastAsia="仿宋" w:cs="仿宋"/>
          <w:sz w:val="32"/>
          <w:szCs w:val="32"/>
          <w:highlight w:val="none"/>
        </w:rPr>
        <w:t>公务用车购置</w:t>
      </w:r>
      <w:bookmarkEnd w:id="3"/>
      <w:r>
        <w:rPr>
          <w:rFonts w:hint="eastAsia" w:ascii="仿宋" w:hAnsi="仿宋" w:eastAsia="仿宋" w:cs="仿宋"/>
          <w:sz w:val="32"/>
          <w:szCs w:val="32"/>
          <w:highlight w:val="none"/>
          <w:lang w:eastAsia="zh-CN"/>
        </w:rPr>
        <w:t>支出。</w:t>
      </w:r>
    </w:p>
    <w:p>
      <w:pPr>
        <w:numPr>
          <w:ilvl w:val="0"/>
          <w:numId w:val="0"/>
        </w:numPr>
        <w:jc w:val="left"/>
        <w:rPr>
          <w:rFonts w:hint="eastAsia" w:ascii="仿宋" w:hAnsi="仿宋" w:eastAsia="仿宋" w:cs="仿宋"/>
          <w:color w:val="FF0000"/>
          <w:sz w:val="32"/>
          <w:szCs w:val="32"/>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本单位无</w:t>
      </w:r>
      <w:r>
        <w:rPr>
          <w:rFonts w:hint="eastAsia" w:ascii="仿宋" w:hAnsi="仿宋" w:eastAsia="仿宋" w:cs="仿宋"/>
          <w:sz w:val="32"/>
          <w:szCs w:val="32"/>
          <w:highlight w:val="none"/>
        </w:rPr>
        <w:t>公务用车运行维护</w:t>
      </w:r>
      <w:r>
        <w:rPr>
          <w:rFonts w:hint="eastAsia" w:ascii="仿宋" w:hAnsi="仿宋" w:eastAsia="仿宋" w:cs="仿宋"/>
          <w:sz w:val="32"/>
          <w:szCs w:val="32"/>
          <w:highlight w:val="none"/>
          <w:lang w:eastAsia="zh-CN"/>
        </w:rPr>
        <w:t>支出。</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0.22</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9.32</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0.05</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color w:val="auto"/>
          <w:kern w:val="0"/>
          <w:sz w:val="32"/>
          <w:szCs w:val="32"/>
          <w:lang w:val="en-US" w:eastAsia="zh-CN"/>
        </w:rPr>
        <w:t>认真贯彻落实“八项规定”精神和厉行节约要求，严控和压缩“三公”经费相关支出。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2</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lang w:eastAsia="zh-CN"/>
        </w:rPr>
        <w:t>人</w:t>
      </w:r>
      <w:r>
        <w:rPr>
          <w:rFonts w:hint="eastAsia" w:ascii="仿宋" w:hAnsi="仿宋" w:eastAsia="仿宋" w:cs="仿宋"/>
          <w:sz w:val="32"/>
          <w:szCs w:val="32"/>
          <w:highlight w:val="none"/>
        </w:rPr>
        <w:t>，国（境）外公务接待批次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（一） 机关运行经费支出情况说明</w:t>
      </w:r>
    </w:p>
    <w:p>
      <w:pPr>
        <w:widowControl/>
        <w:shd w:val="clear" w:color="auto" w:fill="FFFFFF"/>
        <w:spacing w:line="503" w:lineRule="atLeast"/>
        <w:ind w:firstLine="584"/>
        <w:jc w:val="left"/>
        <w:rPr>
          <w:rFonts w:hint="eastAsia" w:ascii="仿宋_GB2312" w:hAnsi="仿宋_GB2312" w:eastAsia="仿宋_GB2312" w:cs="仿宋_GB2312"/>
          <w:color w:val="333333"/>
          <w:kern w:val="0"/>
          <w:sz w:val="32"/>
          <w:szCs w:val="32"/>
          <w:lang w:eastAsia="zh-CN"/>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38.49</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3.39</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8.09</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6.74</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14.90</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由于年内有人员减少，其他交通费、通讯补贴减少。</w:t>
      </w:r>
    </w:p>
    <w:p>
      <w:pPr>
        <w:widowControl/>
        <w:shd w:val="clear" w:color="auto" w:fill="FFFFFF"/>
        <w:spacing w:line="503" w:lineRule="atLeast"/>
        <w:ind w:firstLine="584"/>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4.40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4.40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4.40</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4.40</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eastAsia="zh-CN"/>
        </w:rPr>
        <w:t>　</w:t>
      </w: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eastAsia="zh-CN"/>
        </w:rPr>
        <w:t>　　八、</w:t>
      </w:r>
      <w:r>
        <w:rPr>
          <w:rFonts w:hint="eastAsia" w:ascii="黑体" w:hAnsi="黑体" w:eastAsia="黑体" w:cs="黑体"/>
          <w:sz w:val="32"/>
          <w:szCs w:val="32"/>
          <w:highlight w:val="none"/>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我部门2023年度部门年初预算数</w:t>
      </w:r>
      <w:r>
        <w:rPr>
          <w:rFonts w:hint="eastAsia" w:ascii="仿宋_GB2312" w:eastAsia="仿宋_GB2312" w:cs="仿宋_GB2312"/>
          <w:kern w:val="0"/>
          <w:sz w:val="32"/>
          <w:szCs w:val="32"/>
          <w:lang w:val="en-US" w:eastAsia="zh-CN"/>
        </w:rPr>
        <w:t>506.17</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r>
        <w:rPr>
          <w:rFonts w:hint="eastAsia" w:ascii="仿宋" w:hAnsi="仿宋" w:eastAsia="仿宋" w:cs="仿宋"/>
          <w:color w:val="000000" w:themeColor="text1"/>
          <w:sz w:val="32"/>
          <w:szCs w:val="32"/>
          <w14:textFill>
            <w14:solidFill>
              <w14:schemeClr w14:val="tx1"/>
            </w14:solidFill>
          </w14:textFill>
        </w:rPr>
        <w:t>当年预算数</w:t>
      </w:r>
      <w:r>
        <w:rPr>
          <w:rFonts w:hint="eastAsia" w:ascii="仿宋" w:hAnsi="仿宋" w:eastAsia="仿宋" w:cs="仿宋"/>
          <w:color w:val="000000" w:themeColor="text1"/>
          <w:sz w:val="32"/>
          <w:szCs w:val="32"/>
          <w:lang w:val="en-US" w:eastAsia="zh-CN"/>
          <w14:textFill>
            <w14:solidFill>
              <w14:schemeClr w14:val="tx1"/>
            </w14:solidFill>
          </w14:textFill>
        </w:rPr>
        <w:t>690.50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_GB2312" w:hAnsi="Times New Roman" w:eastAsia="仿宋_GB2312" w:cs="仿宋_GB2312"/>
          <w:b w:val="0"/>
          <w:bCs w:val="0"/>
          <w:caps w:val="0"/>
          <w:color w:val="auto"/>
          <w:kern w:val="0"/>
          <w:sz w:val="32"/>
          <w:szCs w:val="32"/>
          <w:vertAlign w:val="baseline"/>
          <w:lang w:val="en-US" w:eastAsia="zh-CN" w:bidi="ar"/>
        </w:rPr>
        <w:t>执行数</w:t>
      </w:r>
      <w:r>
        <w:rPr>
          <w:rFonts w:hint="eastAsia" w:ascii="仿宋_GB2312" w:eastAsia="仿宋_GB2312" w:cs="仿宋_GB2312"/>
          <w:kern w:val="0"/>
          <w:sz w:val="32"/>
          <w:szCs w:val="32"/>
          <w:lang w:val="en-US" w:eastAsia="zh-CN"/>
        </w:rPr>
        <w:t>682.94</w:t>
      </w:r>
      <w:r>
        <w:rPr>
          <w:rFonts w:hint="eastAsia" w:ascii="仿宋_GB2312" w:hAnsi="Times New Roman" w:eastAsia="仿宋_GB2312" w:cs="仿宋_GB2312"/>
          <w:b w:val="0"/>
          <w:bCs w:val="0"/>
          <w:caps w:val="0"/>
          <w:color w:val="auto"/>
          <w:kern w:val="0"/>
          <w:sz w:val="32"/>
          <w:szCs w:val="32"/>
          <w:vertAlign w:val="baseline"/>
          <w:lang w:val="en-US" w:eastAsia="zh-CN" w:bidi="ar"/>
        </w:rPr>
        <w:t>万元，预算执行率98.91%，自评得分99.89分，自评结果为一等。</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整体绩效自评情况详见附件：2023年度部门整体支出绩效自评表（</w:t>
      </w:r>
      <w:r>
        <w:rPr>
          <w:rFonts w:hint="eastAsia" w:ascii="仿宋" w:hAnsi="仿宋" w:eastAsia="仿宋" w:cs="仿宋"/>
          <w:b w:val="0"/>
          <w:bCs w:val="0"/>
          <w:sz w:val="30"/>
          <w:szCs w:val="30"/>
          <w:lang w:eastAsia="zh-CN"/>
        </w:rPr>
        <w:t>从预算一体化系统导出）</w:t>
      </w:r>
      <w:r>
        <w:rPr>
          <w:rFonts w:hint="eastAsia" w:ascii="仿宋" w:hAnsi="仿宋" w:eastAsia="仿宋" w:cs="仿宋"/>
          <w:sz w:val="32"/>
          <w:szCs w:val="32"/>
          <w:lang w:eastAsia="zh-CN"/>
        </w:rPr>
        <w:t>。</w:t>
      </w:r>
    </w:p>
    <w:p>
      <w:pPr>
        <w:numPr>
          <w:ilvl w:val="0"/>
          <w:numId w:val="0"/>
        </w:numPr>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2.</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支出</w:t>
      </w:r>
      <w:r>
        <w:rPr>
          <w:rFonts w:hint="eastAsia" w:ascii="仿宋" w:hAnsi="仿宋" w:eastAsia="仿宋" w:cs="仿宋"/>
          <w:color w:val="000000" w:themeColor="text1"/>
          <w:sz w:val="32"/>
          <w:szCs w:val="32"/>
          <w14:textFill>
            <w14:solidFill>
              <w14:schemeClr w14:val="tx1"/>
            </w14:solidFill>
          </w14:textFill>
        </w:rPr>
        <w:t>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）项目绩效自评总体情况：我部门</w:t>
      </w:r>
      <w:r>
        <w:rPr>
          <w:rFonts w:hint="eastAsia" w:ascii="仿宋" w:hAnsi="仿宋" w:eastAsia="仿宋" w:cs="仿宋"/>
          <w:color w:val="000000" w:themeColor="text1"/>
          <w:sz w:val="32"/>
          <w:szCs w:val="32"/>
          <w:lang w:val="en-US" w:eastAsia="zh-CN"/>
          <w14:textFill>
            <w14:solidFill>
              <w14:schemeClr w14:val="tx1"/>
            </w14:solidFill>
          </w14:textFill>
        </w:rPr>
        <w:t>2023年度项目11个，项目支出总额180.51万元。</w:t>
      </w:r>
      <w:r>
        <w:rPr>
          <w:rFonts w:hint="eastAsia" w:ascii="仿宋_GB2312" w:hAnsi="Times New Roman" w:eastAsia="仿宋_GB2312" w:cs="仿宋_GB2312"/>
          <w:b w:val="0"/>
          <w:bCs w:val="0"/>
          <w:caps w:val="0"/>
          <w:color w:val="auto"/>
          <w:kern w:val="0"/>
          <w:sz w:val="32"/>
          <w:szCs w:val="32"/>
          <w:vertAlign w:val="baseline"/>
          <w:lang w:val="en-US" w:eastAsia="zh-CN" w:bidi="ar"/>
        </w:rPr>
        <w:t>其中，本级项目</w:t>
      </w:r>
      <w:r>
        <w:rPr>
          <w:rFonts w:hint="eastAsia" w:ascii="仿宋_GB2312" w:eastAsia="仿宋_GB2312" w:cs="仿宋_GB2312"/>
          <w:kern w:val="0"/>
          <w:sz w:val="32"/>
          <w:szCs w:val="32"/>
          <w:lang w:val="en-US" w:eastAsia="zh-CN"/>
        </w:rPr>
        <w:t>11</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180.51</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numPr>
          <w:ilvl w:val="0"/>
          <w:numId w:val="0"/>
        </w:numPr>
        <w:jc w:val="left"/>
        <w:rPr>
          <w:rFonts w:hint="eastAsia" w:ascii="仿宋" w:hAnsi="仿宋" w:eastAsia="仿宋" w:cs="仿宋"/>
          <w:b w:val="0"/>
          <w:bCs w:val="0"/>
          <w:color w:val="auto"/>
          <w:sz w:val="30"/>
          <w:szCs w:val="30"/>
          <w:lang w:eastAsia="zh-CN"/>
        </w:rPr>
      </w:pPr>
      <w:r>
        <w:rPr>
          <w:rFonts w:hint="eastAsia" w:ascii="仿宋_GB2312" w:hAnsi="Times New Roman" w:eastAsia="仿宋_GB2312" w:cs="仿宋_GB2312"/>
          <w:b w:val="0"/>
          <w:bCs w:val="0"/>
          <w:caps w:val="0"/>
          <w:color w:val="auto"/>
          <w:kern w:val="0"/>
          <w:sz w:val="32"/>
          <w:szCs w:val="32"/>
          <w:vertAlign w:val="baseline"/>
          <w:lang w:val="en-US" w:eastAsia="zh-CN" w:bidi="ar"/>
        </w:rPr>
        <w:t>　　所有项目均开展了绩效自评，其中非敏感涉密项目绩效自评结果为：</w:t>
      </w:r>
      <w:r>
        <w:rPr>
          <w:rFonts w:hint="eastAsia" w:ascii="仿宋_GB2312" w:eastAsia="仿宋_GB2312" w:cs="仿宋_GB2312"/>
          <w:kern w:val="0"/>
          <w:sz w:val="32"/>
          <w:szCs w:val="32"/>
          <w:lang w:val="en-US" w:eastAsia="zh-CN"/>
        </w:rPr>
        <w:t>11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180.51</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w:t>
      </w:r>
      <w:r>
        <w:rPr>
          <w:rFonts w:hint="eastAsia" w:ascii="仿宋" w:hAnsi="仿宋" w:eastAsia="仿宋" w:cs="仿宋"/>
          <w:b w:val="0"/>
          <w:bCs w:val="0"/>
          <w:sz w:val="30"/>
          <w:szCs w:val="30"/>
          <w:lang w:eastAsia="zh-CN"/>
        </w:rPr>
        <w:t>一是</w:t>
      </w:r>
      <w:r>
        <w:rPr>
          <w:rFonts w:hint="eastAsia" w:ascii="仿宋" w:hAnsi="仿宋" w:eastAsia="仿宋" w:cs="仿宋"/>
          <w:b w:val="0"/>
          <w:bCs w:val="0"/>
          <w:color w:val="auto"/>
          <w:sz w:val="30"/>
          <w:szCs w:val="30"/>
        </w:rPr>
        <w:t>资金使用方面的问题，</w:t>
      </w:r>
      <w:r>
        <w:rPr>
          <w:rFonts w:hint="eastAsia" w:ascii="仿宋" w:hAnsi="仿宋" w:eastAsia="仿宋" w:cs="仿宋"/>
          <w:b w:val="0"/>
          <w:bCs w:val="0"/>
          <w:color w:val="auto"/>
          <w:sz w:val="30"/>
          <w:szCs w:val="30"/>
          <w:lang w:eastAsia="zh-CN"/>
        </w:rPr>
        <w:t>有的部门预算支出经济科目不可以调刘，由于预算数据不准确，导致预算执行率达不到</w:t>
      </w:r>
      <w:r>
        <w:rPr>
          <w:rFonts w:hint="eastAsia" w:ascii="仿宋" w:hAnsi="仿宋" w:eastAsia="仿宋" w:cs="仿宋"/>
          <w:b w:val="0"/>
          <w:bCs w:val="0"/>
          <w:color w:val="auto"/>
          <w:sz w:val="30"/>
          <w:szCs w:val="30"/>
          <w:lang w:val="en-US" w:eastAsia="zh-CN"/>
        </w:rPr>
        <w:t>100%；</w:t>
      </w:r>
      <w:r>
        <w:rPr>
          <w:rFonts w:hint="eastAsia" w:ascii="仿宋" w:hAnsi="仿宋" w:eastAsia="仿宋" w:cs="仿宋"/>
          <w:b w:val="0"/>
          <w:bCs w:val="0"/>
          <w:color w:val="auto"/>
          <w:sz w:val="30"/>
          <w:szCs w:val="30"/>
          <w:lang w:eastAsia="zh-CN"/>
        </w:rPr>
        <w:t>二是</w:t>
      </w:r>
      <w:r>
        <w:rPr>
          <w:rFonts w:hint="eastAsia" w:ascii="仿宋" w:hAnsi="仿宋" w:eastAsia="仿宋" w:cs="仿宋"/>
          <w:b w:val="0"/>
          <w:bCs w:val="0"/>
          <w:color w:val="auto"/>
          <w:sz w:val="30"/>
          <w:szCs w:val="30"/>
        </w:rPr>
        <w:t>项目绩效方面的问题，</w:t>
      </w:r>
      <w:r>
        <w:rPr>
          <w:rFonts w:hint="eastAsia" w:ascii="仿宋" w:hAnsi="仿宋" w:eastAsia="仿宋" w:cs="仿宋"/>
          <w:b w:val="0"/>
          <w:bCs w:val="0"/>
          <w:color w:val="auto"/>
          <w:sz w:val="30"/>
          <w:szCs w:val="30"/>
          <w:lang w:eastAsia="zh-CN"/>
        </w:rPr>
        <w:t>绩效目标设置与实际完成情况有偏差。三是</w:t>
      </w:r>
      <w:r>
        <w:rPr>
          <w:rFonts w:hint="eastAsia" w:ascii="仿宋" w:hAnsi="仿宋" w:eastAsia="仿宋" w:cs="仿宋"/>
          <w:b w:val="0"/>
          <w:bCs w:val="0"/>
          <w:color w:val="auto"/>
          <w:sz w:val="30"/>
          <w:szCs w:val="30"/>
        </w:rPr>
        <w:t>绩效</w:t>
      </w:r>
      <w:r>
        <w:rPr>
          <w:rFonts w:hint="eastAsia" w:ascii="仿宋" w:hAnsi="仿宋" w:eastAsia="仿宋" w:cs="仿宋"/>
          <w:b w:val="0"/>
          <w:bCs w:val="0"/>
          <w:color w:val="auto"/>
          <w:sz w:val="30"/>
          <w:szCs w:val="30"/>
          <w:lang w:eastAsia="zh-CN"/>
        </w:rPr>
        <w:t>指标</w:t>
      </w:r>
      <w:r>
        <w:rPr>
          <w:rFonts w:hint="eastAsia" w:ascii="仿宋" w:hAnsi="仿宋" w:eastAsia="仿宋" w:cs="仿宋"/>
          <w:b w:val="0"/>
          <w:bCs w:val="0"/>
          <w:color w:val="auto"/>
          <w:sz w:val="30"/>
          <w:szCs w:val="30"/>
        </w:rPr>
        <w:t>设置不能充分体现整年工作，可以</w:t>
      </w:r>
      <w:r>
        <w:rPr>
          <w:rFonts w:hint="eastAsia" w:ascii="仿宋" w:hAnsi="仿宋" w:eastAsia="仿宋" w:cs="仿宋"/>
          <w:b w:val="0"/>
          <w:bCs w:val="0"/>
          <w:color w:val="auto"/>
          <w:sz w:val="30"/>
          <w:szCs w:val="30"/>
          <w:lang w:eastAsia="zh-CN"/>
        </w:rPr>
        <w:t>再</w:t>
      </w:r>
      <w:r>
        <w:rPr>
          <w:rFonts w:hint="eastAsia" w:ascii="仿宋" w:hAnsi="仿宋" w:eastAsia="仿宋" w:cs="仿宋"/>
          <w:b w:val="0"/>
          <w:bCs w:val="0"/>
          <w:color w:val="auto"/>
          <w:sz w:val="30"/>
          <w:szCs w:val="30"/>
        </w:rPr>
        <w:t>细</w:t>
      </w:r>
      <w:r>
        <w:rPr>
          <w:rFonts w:hint="eastAsia" w:ascii="仿宋" w:hAnsi="仿宋" w:eastAsia="仿宋" w:cs="仿宋"/>
          <w:b w:val="0"/>
          <w:bCs w:val="0"/>
          <w:color w:val="auto"/>
          <w:sz w:val="30"/>
          <w:szCs w:val="30"/>
          <w:lang w:eastAsia="zh-CN"/>
        </w:rPr>
        <w:t>化</w:t>
      </w:r>
      <w:r>
        <w:rPr>
          <w:rFonts w:hint="eastAsia" w:ascii="仿宋" w:hAnsi="仿宋" w:eastAsia="仿宋" w:cs="仿宋"/>
          <w:b w:val="0"/>
          <w:bCs w:val="0"/>
          <w:color w:val="auto"/>
          <w:sz w:val="30"/>
          <w:szCs w:val="30"/>
        </w:rPr>
        <w:t>一些。下一步改进措施：</w:t>
      </w:r>
      <w:r>
        <w:rPr>
          <w:rFonts w:hint="eastAsia" w:ascii="仿宋" w:hAnsi="仿宋" w:eastAsia="仿宋" w:cs="仿宋"/>
          <w:b w:val="0"/>
          <w:bCs w:val="0"/>
          <w:color w:val="auto"/>
          <w:sz w:val="30"/>
          <w:szCs w:val="30"/>
          <w:lang w:eastAsia="zh-CN"/>
        </w:rPr>
        <w:t>一是年度部门预算时，综合分析，争取更准确的编制部门预算支出经济科目；二是</w:t>
      </w:r>
      <w:r>
        <w:rPr>
          <w:rFonts w:hint="eastAsia" w:ascii="仿宋" w:hAnsi="仿宋" w:eastAsia="仿宋" w:cs="仿宋"/>
          <w:b w:val="0"/>
          <w:bCs w:val="0"/>
          <w:color w:val="auto"/>
          <w:sz w:val="30"/>
          <w:szCs w:val="30"/>
        </w:rPr>
        <w:t>设立绩效指标更要结合单位实际工作，进一步减少偏差</w:t>
      </w:r>
      <w:r>
        <w:rPr>
          <w:rFonts w:hint="eastAsia" w:ascii="仿宋" w:hAnsi="仿宋" w:eastAsia="仿宋" w:cs="仿宋"/>
          <w:b w:val="0"/>
          <w:bCs w:val="0"/>
          <w:color w:val="auto"/>
          <w:sz w:val="30"/>
          <w:szCs w:val="30"/>
          <w:lang w:eastAsia="zh-CN"/>
        </w:rPr>
        <w:t>；三是合理细化预算绩效指标。</w:t>
      </w:r>
    </w:p>
    <w:p>
      <w:pPr>
        <w:numPr>
          <w:ilvl w:val="0"/>
          <w:numId w:val="0"/>
        </w:numPr>
        <w:jc w:val="left"/>
        <w:rPr>
          <w:rFonts w:hint="eastAsia" w:ascii="仿宋" w:hAnsi="仿宋" w:eastAsia="仿宋" w:cs="仿宋"/>
          <w:b w:val="0"/>
          <w:bCs w:val="0"/>
          <w:color w:val="auto"/>
          <w:sz w:val="30"/>
          <w:szCs w:val="30"/>
          <w:lang w:eastAsia="zh-CN"/>
        </w:rPr>
      </w:pPr>
    </w:p>
    <w:p>
      <w:pPr>
        <w:numPr>
          <w:ilvl w:val="0"/>
          <w:numId w:val="0"/>
        </w:numPr>
        <w:jc w:val="left"/>
        <w:rPr>
          <w:rFonts w:hint="eastAsia" w:ascii="仿宋" w:hAnsi="仿宋" w:eastAsia="仿宋" w:cs="仿宋"/>
          <w:b w:val="0"/>
          <w:bCs w:val="0"/>
          <w:color w:val="auto"/>
          <w:sz w:val="30"/>
          <w:szCs w:val="30"/>
          <w:lang w:eastAsia="zh-CN"/>
        </w:rPr>
      </w:pPr>
      <w:r>
        <w:rPr>
          <w:rFonts w:hint="eastAsia" w:ascii="仿宋_GB2312" w:hAnsi="Times New Roman" w:eastAsia="仿宋_GB2312" w:cs="仿宋_GB2312"/>
          <w:b w:val="0"/>
          <w:bCs w:val="0"/>
          <w:caps w:val="0"/>
          <w:color w:val="auto"/>
          <w:kern w:val="0"/>
          <w:sz w:val="32"/>
          <w:szCs w:val="32"/>
          <w:vertAlign w:val="baseline"/>
          <w:lang w:val="en-US" w:eastAsia="zh-CN" w:bidi="ar"/>
        </w:rPr>
        <w:t>　　（2）部分重点项目绩效自评情况：根据年初设定的绩效目标，</w:t>
      </w:r>
      <w:r>
        <w:rPr>
          <w:rFonts w:hint="eastAsia" w:ascii="仿宋" w:hAnsi="仿宋" w:eastAsia="仿宋" w:cs="仿宋"/>
          <w:b w:val="0"/>
          <w:bCs w:val="0"/>
          <w:sz w:val="30"/>
          <w:szCs w:val="30"/>
          <w:lang w:val="en-US" w:eastAsia="zh-CN"/>
        </w:rPr>
        <w:t>政协委员活动经费</w:t>
      </w:r>
      <w:r>
        <w:rPr>
          <w:rFonts w:hint="eastAsia" w:ascii="仿宋_GB2312" w:hAnsi="Times New Roman" w:eastAsia="仿宋_GB2312" w:cs="仿宋_GB2312"/>
          <w:b w:val="0"/>
          <w:bCs w:val="0"/>
          <w:caps w:val="0"/>
          <w:color w:val="auto"/>
          <w:kern w:val="0"/>
          <w:sz w:val="32"/>
          <w:szCs w:val="32"/>
          <w:vertAlign w:val="baseline"/>
          <w:lang w:val="en-US" w:eastAsia="zh-CN" w:bidi="ar"/>
        </w:rPr>
        <w:t>项目自评得分为100分，一等，项目全年预算数为</w:t>
      </w:r>
      <w:r>
        <w:rPr>
          <w:rFonts w:hint="eastAsia" w:ascii="仿宋_GB2312" w:eastAsia="仿宋_GB2312" w:cs="仿宋_GB2312"/>
          <w:kern w:val="0"/>
          <w:sz w:val="32"/>
          <w:szCs w:val="32"/>
          <w:lang w:val="en-US" w:eastAsia="zh-CN"/>
        </w:rPr>
        <w:t>45.32</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45.32</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%。项目绩效目标完成情况：项目所有绩效目标已完成。自评发现的主要问题及原因：</w:t>
      </w:r>
      <w:r>
        <w:rPr>
          <w:rFonts w:hint="eastAsia" w:ascii="仿宋" w:hAnsi="仿宋" w:eastAsia="仿宋" w:cs="仿宋"/>
          <w:b w:val="0"/>
          <w:bCs w:val="0"/>
          <w:color w:val="auto"/>
          <w:sz w:val="30"/>
          <w:szCs w:val="30"/>
        </w:rPr>
        <w:t>绩效</w:t>
      </w:r>
      <w:r>
        <w:rPr>
          <w:rFonts w:hint="eastAsia" w:ascii="仿宋" w:hAnsi="仿宋" w:eastAsia="仿宋" w:cs="仿宋"/>
          <w:b w:val="0"/>
          <w:bCs w:val="0"/>
          <w:color w:val="auto"/>
          <w:sz w:val="30"/>
          <w:szCs w:val="30"/>
          <w:lang w:eastAsia="zh-CN"/>
        </w:rPr>
        <w:t>指标</w:t>
      </w:r>
      <w:r>
        <w:rPr>
          <w:rFonts w:hint="eastAsia" w:ascii="仿宋" w:hAnsi="仿宋" w:eastAsia="仿宋" w:cs="仿宋"/>
          <w:b w:val="0"/>
          <w:bCs w:val="0"/>
          <w:color w:val="auto"/>
          <w:sz w:val="30"/>
          <w:szCs w:val="30"/>
        </w:rPr>
        <w:t>设置不能充分体现整年工作，可以</w:t>
      </w:r>
      <w:r>
        <w:rPr>
          <w:rFonts w:hint="eastAsia" w:ascii="仿宋" w:hAnsi="仿宋" w:eastAsia="仿宋" w:cs="仿宋"/>
          <w:b w:val="0"/>
          <w:bCs w:val="0"/>
          <w:color w:val="auto"/>
          <w:sz w:val="30"/>
          <w:szCs w:val="30"/>
          <w:lang w:eastAsia="zh-CN"/>
        </w:rPr>
        <w:t>再</w:t>
      </w:r>
      <w:r>
        <w:rPr>
          <w:rFonts w:hint="eastAsia" w:ascii="仿宋" w:hAnsi="仿宋" w:eastAsia="仿宋" w:cs="仿宋"/>
          <w:b w:val="0"/>
          <w:bCs w:val="0"/>
          <w:color w:val="auto"/>
          <w:sz w:val="30"/>
          <w:szCs w:val="30"/>
        </w:rPr>
        <w:t>细</w:t>
      </w:r>
      <w:r>
        <w:rPr>
          <w:rFonts w:hint="eastAsia" w:ascii="仿宋" w:hAnsi="仿宋" w:eastAsia="仿宋" w:cs="仿宋"/>
          <w:b w:val="0"/>
          <w:bCs w:val="0"/>
          <w:color w:val="auto"/>
          <w:sz w:val="30"/>
          <w:szCs w:val="30"/>
          <w:lang w:eastAsia="zh-CN"/>
        </w:rPr>
        <w:t>化</w:t>
      </w:r>
      <w:r>
        <w:rPr>
          <w:rFonts w:hint="eastAsia" w:ascii="仿宋" w:hAnsi="仿宋" w:eastAsia="仿宋" w:cs="仿宋"/>
          <w:b w:val="0"/>
          <w:bCs w:val="0"/>
          <w:color w:val="auto"/>
          <w:sz w:val="30"/>
          <w:szCs w:val="30"/>
        </w:rPr>
        <w:t>一些。下一步改进措施：</w:t>
      </w:r>
      <w:r>
        <w:rPr>
          <w:rFonts w:hint="eastAsia" w:ascii="仿宋" w:hAnsi="仿宋" w:eastAsia="仿宋" w:cs="仿宋"/>
          <w:b w:val="0"/>
          <w:bCs w:val="0"/>
          <w:color w:val="auto"/>
          <w:sz w:val="30"/>
          <w:szCs w:val="30"/>
          <w:lang w:eastAsia="zh-CN"/>
        </w:rPr>
        <w:t>合理细化预算绩效指标。</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3.部门绩效评价结果。</w:t>
      </w:r>
    </w:p>
    <w:p>
      <w:pPr>
        <w:numPr>
          <w:ilvl w:val="0"/>
          <w:numId w:val="0"/>
        </w:numPr>
        <w:ind w:firstLine="640"/>
        <w:jc w:val="left"/>
        <w:rPr>
          <w:rFonts w:hint="eastAsia" w:ascii="仿宋" w:hAnsi="仿宋" w:eastAsia="仿宋" w:cs="仿宋"/>
          <w:b w:val="0"/>
          <w:bCs w:val="0"/>
          <w:sz w:val="30"/>
          <w:szCs w:val="30"/>
          <w:lang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b w:val="0"/>
          <w:bCs w:val="0"/>
          <w:color w:val="000000" w:themeColor="text1"/>
          <w:sz w:val="30"/>
          <w:szCs w:val="30"/>
          <w:lang w:val="en-US" w:eastAsia="zh-CN"/>
          <w14:textFill>
            <w14:solidFill>
              <w14:schemeClr w14:val="tx1"/>
            </w14:solidFill>
          </w14:textFill>
        </w:rPr>
        <w:t>政协机关办公费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重点</w:t>
      </w:r>
      <w:r>
        <w:rPr>
          <w:rFonts w:hint="eastAsia" w:ascii="仿宋" w:hAnsi="仿宋" w:eastAsia="仿宋" w:cs="仿宋"/>
          <w:color w:val="000000" w:themeColor="text1"/>
          <w:sz w:val="32"/>
          <w:szCs w:val="32"/>
          <w14:textFill>
            <w14:solidFill>
              <w14:schemeClr w14:val="tx1"/>
            </w14:solidFill>
          </w14:textFill>
        </w:rPr>
        <w:t>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187.62</w:t>
      </w:r>
      <w:r>
        <w:rPr>
          <w:rFonts w:hint="eastAsia" w:ascii="仿宋" w:hAnsi="仿宋" w:eastAsia="仿宋" w:cs="仿宋"/>
          <w:color w:val="000000" w:themeColor="text1"/>
          <w:sz w:val="32"/>
          <w:szCs w:val="32"/>
          <w14:textFill>
            <w14:solidFill>
              <w14:schemeClr w14:val="tx1"/>
            </w14:solidFill>
          </w14:textFill>
        </w:rPr>
        <w:t>万元，政府性基金预算支出0万元，国有资本经营预算支出0万元。从评价情况来看，年初预算数</w:t>
      </w:r>
      <w:r>
        <w:rPr>
          <w:rFonts w:hint="eastAsia" w:ascii="仿宋" w:hAnsi="仿宋" w:eastAsia="仿宋" w:cs="仿宋"/>
          <w:color w:val="000000" w:themeColor="text1"/>
          <w:sz w:val="32"/>
          <w:szCs w:val="32"/>
          <w:lang w:val="en-US" w:eastAsia="zh-CN"/>
          <w14:textFill>
            <w14:solidFill>
              <w14:schemeClr w14:val="tx1"/>
            </w14:solidFill>
          </w14:textFill>
        </w:rPr>
        <w:t>101.77</w:t>
      </w:r>
      <w:r>
        <w:rPr>
          <w:rFonts w:hint="eastAsia" w:ascii="仿宋" w:hAnsi="仿宋" w:eastAsia="仿宋" w:cs="仿宋"/>
          <w:color w:val="000000" w:themeColor="text1"/>
          <w:sz w:val="32"/>
          <w:szCs w:val="32"/>
          <w14:textFill>
            <w14:solidFill>
              <w14:schemeClr w14:val="tx1"/>
            </w14:solidFill>
          </w14:textFill>
        </w:rPr>
        <w:t>万元，当年预算数</w:t>
      </w:r>
      <w:r>
        <w:rPr>
          <w:rFonts w:hint="eastAsia" w:ascii="仿宋" w:hAnsi="仿宋" w:eastAsia="仿宋" w:cs="仿宋"/>
          <w:color w:val="000000" w:themeColor="text1"/>
          <w:sz w:val="32"/>
          <w:szCs w:val="32"/>
          <w:lang w:val="en-US" w:eastAsia="zh-CN"/>
          <w14:textFill>
            <w14:solidFill>
              <w14:schemeClr w14:val="tx1"/>
            </w14:solidFill>
          </w14:textFill>
        </w:rPr>
        <w:t>187.62</w:t>
      </w:r>
      <w:r>
        <w:rPr>
          <w:rFonts w:hint="eastAsia" w:ascii="仿宋" w:hAnsi="仿宋" w:eastAsia="仿宋" w:cs="仿宋"/>
          <w:color w:val="000000" w:themeColor="text1"/>
          <w:sz w:val="32"/>
          <w:szCs w:val="32"/>
          <w14:textFill>
            <w14:solidFill>
              <w14:schemeClr w14:val="tx1"/>
            </w14:solidFill>
          </w14:textFill>
        </w:rPr>
        <w:t>万元，全年执行数</w:t>
      </w:r>
      <w:r>
        <w:rPr>
          <w:rFonts w:hint="eastAsia" w:ascii="仿宋" w:hAnsi="仿宋" w:eastAsia="仿宋" w:cs="仿宋"/>
          <w:color w:val="000000" w:themeColor="text1"/>
          <w:sz w:val="32"/>
          <w:szCs w:val="32"/>
          <w:lang w:val="en-US" w:eastAsia="zh-CN"/>
          <w14:textFill>
            <w14:solidFill>
              <w14:schemeClr w14:val="tx1"/>
            </w14:solidFill>
          </w14:textFill>
        </w:rPr>
        <w:t>180.51</w:t>
      </w:r>
      <w:r>
        <w:rPr>
          <w:rFonts w:hint="eastAsia" w:ascii="仿宋" w:hAnsi="仿宋" w:eastAsia="仿宋" w:cs="仿宋"/>
          <w:color w:val="000000" w:themeColor="text1"/>
          <w:sz w:val="32"/>
          <w:szCs w:val="32"/>
          <w14:textFill>
            <w14:solidFill>
              <w14:schemeClr w14:val="tx1"/>
            </w14:solidFill>
          </w14:textFill>
        </w:rPr>
        <w:t>万元，完成执行率</w:t>
      </w:r>
      <w:r>
        <w:rPr>
          <w:rFonts w:hint="eastAsia" w:ascii="仿宋" w:hAnsi="仿宋" w:eastAsia="仿宋" w:cs="仿宋"/>
          <w:color w:val="000000" w:themeColor="text1"/>
          <w:sz w:val="32"/>
          <w:szCs w:val="32"/>
          <w:lang w:val="en-US" w:eastAsia="zh-CN"/>
          <w14:textFill>
            <w14:solidFill>
              <w14:schemeClr w14:val="tx1"/>
            </w14:solidFill>
          </w14:textFill>
        </w:rPr>
        <w:t>96.21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绩效评价结果</w:t>
      </w:r>
      <w:r>
        <w:rPr>
          <w:rFonts w:hint="eastAsia" w:ascii="仿宋" w:hAnsi="仿宋" w:eastAsia="仿宋" w:cs="仿宋"/>
          <w:color w:val="000000" w:themeColor="text1"/>
          <w:sz w:val="32"/>
          <w:szCs w:val="32"/>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br w:type="textWrapping"/>
      </w:r>
      <w:r>
        <w:rPr>
          <w:rFonts w:hint="eastAsia" w:ascii="仿宋" w:hAnsi="仿宋" w:eastAsia="仿宋" w:cs="仿宋"/>
          <w:b w:val="0"/>
          <w:bCs w:val="0"/>
          <w:sz w:val="30"/>
          <w:szCs w:val="30"/>
          <w:lang w:eastAsia="zh-CN"/>
        </w:rPr>
        <w:t>　　部门绩效评价</w:t>
      </w:r>
      <w:r>
        <w:rPr>
          <w:rFonts w:hint="eastAsia" w:ascii="仿宋" w:hAnsi="仿宋" w:eastAsia="仿宋" w:cs="仿宋"/>
          <w:sz w:val="32"/>
          <w:szCs w:val="32"/>
          <w:lang w:eastAsia="zh-CN"/>
        </w:rPr>
        <w:t>具体情况详见附件：</w:t>
      </w:r>
      <w:r>
        <w:rPr>
          <w:rFonts w:hint="eastAsia" w:ascii="仿宋" w:hAnsi="仿宋" w:eastAsia="仿宋" w:cs="仿宋"/>
          <w:b w:val="0"/>
          <w:bCs w:val="0"/>
          <w:sz w:val="30"/>
          <w:szCs w:val="30"/>
          <w:lang w:eastAsia="zh-CN"/>
        </w:rPr>
        <w:t>202</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lang w:eastAsia="zh-CN"/>
        </w:rPr>
        <w:t>年度预算项目绩效自评表（共</w:t>
      </w:r>
      <w:r>
        <w:rPr>
          <w:rFonts w:hint="eastAsia" w:ascii="仿宋" w:hAnsi="仿宋" w:eastAsia="仿宋" w:cs="仿宋"/>
          <w:b w:val="0"/>
          <w:bCs w:val="0"/>
          <w:sz w:val="30"/>
          <w:szCs w:val="30"/>
          <w:lang w:val="en-US" w:eastAsia="zh-CN"/>
        </w:rPr>
        <w:t>11张，</w:t>
      </w:r>
      <w:r>
        <w:rPr>
          <w:rFonts w:hint="eastAsia" w:ascii="仿宋" w:hAnsi="仿宋" w:eastAsia="仿宋" w:cs="仿宋"/>
          <w:b w:val="0"/>
          <w:bCs w:val="0"/>
          <w:sz w:val="30"/>
          <w:szCs w:val="30"/>
        </w:rPr>
        <w:t>均</w:t>
      </w:r>
      <w:r>
        <w:rPr>
          <w:rFonts w:hint="eastAsia" w:ascii="仿宋" w:hAnsi="仿宋" w:eastAsia="仿宋" w:cs="仿宋"/>
          <w:b w:val="0"/>
          <w:bCs w:val="0"/>
          <w:sz w:val="30"/>
          <w:szCs w:val="30"/>
          <w:lang w:eastAsia="zh-CN"/>
        </w:rPr>
        <w:t>从预算一体化系统导出）。</w:t>
      </w:r>
    </w:p>
    <w:p>
      <w:pPr>
        <w:numPr>
          <w:ilvl w:val="0"/>
          <w:numId w:val="0"/>
        </w:numPr>
        <w:ind w:firstLine="640"/>
        <w:jc w:val="left"/>
        <w:rPr>
          <w:rFonts w:hint="eastAsia" w:ascii="仿宋" w:hAnsi="仿宋" w:eastAsia="仿宋" w:cs="仿宋"/>
          <w:b w:val="0"/>
          <w:bCs w:val="0"/>
          <w:sz w:val="30"/>
          <w:szCs w:val="30"/>
          <w:lang w:eastAsia="zh-CN"/>
        </w:rPr>
      </w:pPr>
    </w:p>
    <w:p>
      <w:pPr>
        <w:numPr>
          <w:ilvl w:val="0"/>
          <w:numId w:val="0"/>
        </w:numPr>
        <w:ind w:firstLine="640"/>
        <w:jc w:val="left"/>
        <w:rPr>
          <w:rFonts w:hint="eastAsia" w:ascii="仿宋" w:hAnsi="仿宋" w:eastAsia="仿宋" w:cs="仿宋"/>
          <w:b w:val="0"/>
          <w:bCs w:val="0"/>
          <w:sz w:val="30"/>
          <w:szCs w:val="30"/>
          <w:lang w:eastAsia="zh-CN"/>
        </w:rPr>
      </w:pPr>
    </w:p>
    <w:p>
      <w:pPr>
        <w:numPr>
          <w:ilvl w:val="0"/>
          <w:numId w:val="0"/>
        </w:numPr>
        <w:ind w:firstLine="640"/>
        <w:jc w:val="left"/>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object>
          <v:shape id="_x0000_i1025" o:spt="75" type="#_x0000_t75" style="height:40.25pt;width:124.95pt;" o:ole="t" filled="f" o:preferrelative="t" stroked="f" coordsize="21600,21600">
            <v:fill on="f" focussize="0,0"/>
            <v:stroke on="f"/>
            <v:imagedata r:id="rId20" o:title=""/>
            <o:lock v:ext="edit" aspectratio="t"/>
            <w10:wrap type="none"/>
            <w10:anchorlock/>
          </v:shape>
          <o:OLEObject Type="Embed" ProgID="Package" ShapeID="_x0000_i1025" DrawAspect="Content" ObjectID="_1468075725" r:id="rId19">
            <o:LockedField>false</o:LockedField>
          </o:OLEObject>
        </w:object>
      </w:r>
      <w:bookmarkStart w:id="4" w:name="_GoBack"/>
      <w:bookmarkEnd w:id="4"/>
    </w:p>
    <w:p>
      <w:pPr>
        <w:numPr>
          <w:ilvl w:val="0"/>
          <w:numId w:val="0"/>
        </w:numPr>
        <w:ind w:firstLine="640"/>
        <w:jc w:val="left"/>
        <w:rPr>
          <w:rFonts w:hint="eastAsia" w:ascii="仿宋" w:hAnsi="仿宋" w:eastAsia="仿宋" w:cs="仿宋"/>
          <w:b w:val="0"/>
          <w:bCs w:val="0"/>
          <w:sz w:val="30"/>
          <w:szCs w:val="30"/>
          <w:lang w:eastAsia="zh-CN"/>
        </w:rPr>
      </w:pPr>
    </w:p>
    <w:p>
      <w:pPr>
        <w:numPr>
          <w:ilvl w:val="0"/>
          <w:numId w:val="0"/>
        </w:numPr>
        <w:ind w:firstLine="640"/>
        <w:jc w:val="left"/>
        <w:rPr>
          <w:rFonts w:hint="eastAsia" w:ascii="仿宋" w:hAnsi="仿宋" w:eastAsia="仿宋" w:cs="仿宋"/>
          <w:b w:val="0"/>
          <w:bCs w:val="0"/>
          <w:sz w:val="30"/>
          <w:szCs w:val="30"/>
          <w:lang w:eastAsia="zh-CN"/>
        </w:rPr>
      </w:pPr>
    </w:p>
    <w:p>
      <w:pPr>
        <w:numPr>
          <w:ilvl w:val="0"/>
          <w:numId w:val="0"/>
        </w:numPr>
        <w:ind w:firstLine="640"/>
        <w:jc w:val="left"/>
        <w:rPr>
          <w:rFonts w:hint="eastAsia" w:ascii="仿宋" w:hAnsi="仿宋" w:eastAsia="仿宋" w:cs="仿宋"/>
          <w:b w:val="0"/>
          <w:bCs w:val="0"/>
          <w:sz w:val="30"/>
          <w:szCs w:val="30"/>
          <w:lang w:eastAsia="zh-CN"/>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 PAGE  \* MERGEFORMAT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 PAGE  \* MERGEFORMAT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3E175971"/>
    <w:multiLevelType w:val="singleLevel"/>
    <w:tmpl w:val="3E17597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59E0"/>
    <w:rsid w:val="00776E0B"/>
    <w:rsid w:val="007A0641"/>
    <w:rsid w:val="007C52E7"/>
    <w:rsid w:val="007C54EA"/>
    <w:rsid w:val="007C776D"/>
    <w:rsid w:val="007D7CE3"/>
    <w:rsid w:val="007E2F6C"/>
    <w:rsid w:val="00817C69"/>
    <w:rsid w:val="00823A94"/>
    <w:rsid w:val="00824151"/>
    <w:rsid w:val="008315A9"/>
    <w:rsid w:val="00834354"/>
    <w:rsid w:val="008D5A78"/>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0FF122F"/>
    <w:rsid w:val="01234E98"/>
    <w:rsid w:val="015F1951"/>
    <w:rsid w:val="01D44476"/>
    <w:rsid w:val="020C171D"/>
    <w:rsid w:val="0216715F"/>
    <w:rsid w:val="02E0291A"/>
    <w:rsid w:val="02E90185"/>
    <w:rsid w:val="02FB40C6"/>
    <w:rsid w:val="03B0290B"/>
    <w:rsid w:val="04CA1F03"/>
    <w:rsid w:val="04E54546"/>
    <w:rsid w:val="05992762"/>
    <w:rsid w:val="061D58D0"/>
    <w:rsid w:val="07441231"/>
    <w:rsid w:val="07B0770E"/>
    <w:rsid w:val="08157D0A"/>
    <w:rsid w:val="0942143F"/>
    <w:rsid w:val="094C7564"/>
    <w:rsid w:val="0B4B53F6"/>
    <w:rsid w:val="0C3F4ACE"/>
    <w:rsid w:val="0C694B0F"/>
    <w:rsid w:val="0CD165F3"/>
    <w:rsid w:val="0CDF14A3"/>
    <w:rsid w:val="0D100297"/>
    <w:rsid w:val="0D202B45"/>
    <w:rsid w:val="0D676F26"/>
    <w:rsid w:val="0D9D443F"/>
    <w:rsid w:val="0DBB0313"/>
    <w:rsid w:val="0DE10E99"/>
    <w:rsid w:val="0EB368CC"/>
    <w:rsid w:val="0F8D4C87"/>
    <w:rsid w:val="10292A53"/>
    <w:rsid w:val="10505FAA"/>
    <w:rsid w:val="105F7E7E"/>
    <w:rsid w:val="106C3797"/>
    <w:rsid w:val="10790217"/>
    <w:rsid w:val="10B4201D"/>
    <w:rsid w:val="10F00EC4"/>
    <w:rsid w:val="11E56B5B"/>
    <w:rsid w:val="12192A59"/>
    <w:rsid w:val="125C77AB"/>
    <w:rsid w:val="12607D1F"/>
    <w:rsid w:val="12E64874"/>
    <w:rsid w:val="13A8070C"/>
    <w:rsid w:val="13AE38F6"/>
    <w:rsid w:val="14480E42"/>
    <w:rsid w:val="14CB726E"/>
    <w:rsid w:val="17BA1AFE"/>
    <w:rsid w:val="17E92249"/>
    <w:rsid w:val="18D304F1"/>
    <w:rsid w:val="192F7E79"/>
    <w:rsid w:val="19353BEE"/>
    <w:rsid w:val="19810695"/>
    <w:rsid w:val="19F32577"/>
    <w:rsid w:val="19F45B80"/>
    <w:rsid w:val="1B0C078D"/>
    <w:rsid w:val="1B275D87"/>
    <w:rsid w:val="1B2B31E2"/>
    <w:rsid w:val="1B397E34"/>
    <w:rsid w:val="1B4C295A"/>
    <w:rsid w:val="1B7549F6"/>
    <w:rsid w:val="1B973C63"/>
    <w:rsid w:val="1BA1001E"/>
    <w:rsid w:val="1C3C4D04"/>
    <w:rsid w:val="1C4714D0"/>
    <w:rsid w:val="1D317259"/>
    <w:rsid w:val="1D5020A4"/>
    <w:rsid w:val="1E116C7E"/>
    <w:rsid w:val="1E664F5B"/>
    <w:rsid w:val="1EB34BE1"/>
    <w:rsid w:val="1ECD0317"/>
    <w:rsid w:val="1ED0396F"/>
    <w:rsid w:val="1EE45D3E"/>
    <w:rsid w:val="1EF22AD5"/>
    <w:rsid w:val="1EFD0E7E"/>
    <w:rsid w:val="1F453378"/>
    <w:rsid w:val="1FCF5244"/>
    <w:rsid w:val="1FEC1443"/>
    <w:rsid w:val="20B60C69"/>
    <w:rsid w:val="210B5343"/>
    <w:rsid w:val="215E639F"/>
    <w:rsid w:val="21BC2F68"/>
    <w:rsid w:val="21EC3183"/>
    <w:rsid w:val="22571571"/>
    <w:rsid w:val="225E72CD"/>
    <w:rsid w:val="226E4F8A"/>
    <w:rsid w:val="23D81FDE"/>
    <w:rsid w:val="246E2F77"/>
    <w:rsid w:val="251D72EC"/>
    <w:rsid w:val="254B4E2B"/>
    <w:rsid w:val="26494873"/>
    <w:rsid w:val="26906E65"/>
    <w:rsid w:val="2795205E"/>
    <w:rsid w:val="27B02913"/>
    <w:rsid w:val="28112CC9"/>
    <w:rsid w:val="283D7C94"/>
    <w:rsid w:val="284465F2"/>
    <w:rsid w:val="28521A93"/>
    <w:rsid w:val="287603DB"/>
    <w:rsid w:val="28C41D57"/>
    <w:rsid w:val="29285FF3"/>
    <w:rsid w:val="29480E03"/>
    <w:rsid w:val="2983634D"/>
    <w:rsid w:val="29FE3F85"/>
    <w:rsid w:val="2B8778F7"/>
    <w:rsid w:val="2B8C0380"/>
    <w:rsid w:val="2BB02055"/>
    <w:rsid w:val="2C575A56"/>
    <w:rsid w:val="2D3E16EE"/>
    <w:rsid w:val="2D41674C"/>
    <w:rsid w:val="2D653489"/>
    <w:rsid w:val="2D760F49"/>
    <w:rsid w:val="2DE47F8D"/>
    <w:rsid w:val="2E003688"/>
    <w:rsid w:val="2E2D5450"/>
    <w:rsid w:val="2EAE6E61"/>
    <w:rsid w:val="2EEA6295"/>
    <w:rsid w:val="2F257714"/>
    <w:rsid w:val="2F3275E5"/>
    <w:rsid w:val="2FAB7E62"/>
    <w:rsid w:val="30AA08EF"/>
    <w:rsid w:val="30D23D1C"/>
    <w:rsid w:val="31152915"/>
    <w:rsid w:val="31221CF5"/>
    <w:rsid w:val="31400178"/>
    <w:rsid w:val="31450846"/>
    <w:rsid w:val="31911923"/>
    <w:rsid w:val="31D04050"/>
    <w:rsid w:val="31FD12DF"/>
    <w:rsid w:val="321E3342"/>
    <w:rsid w:val="327759C8"/>
    <w:rsid w:val="32C12EB0"/>
    <w:rsid w:val="32F0569E"/>
    <w:rsid w:val="3303586E"/>
    <w:rsid w:val="33185FE3"/>
    <w:rsid w:val="344A16FB"/>
    <w:rsid w:val="348C2DB3"/>
    <w:rsid w:val="34A65AF3"/>
    <w:rsid w:val="34EE2E36"/>
    <w:rsid w:val="34FD6DF9"/>
    <w:rsid w:val="35046710"/>
    <w:rsid w:val="36777241"/>
    <w:rsid w:val="368F170C"/>
    <w:rsid w:val="371E78D5"/>
    <w:rsid w:val="37934BD1"/>
    <w:rsid w:val="37E63190"/>
    <w:rsid w:val="384E4D17"/>
    <w:rsid w:val="38A951DB"/>
    <w:rsid w:val="38B31605"/>
    <w:rsid w:val="39003F4F"/>
    <w:rsid w:val="391F4534"/>
    <w:rsid w:val="3AA30BD9"/>
    <w:rsid w:val="3B48408B"/>
    <w:rsid w:val="3BD43D6B"/>
    <w:rsid w:val="3BFD61DA"/>
    <w:rsid w:val="3C07002B"/>
    <w:rsid w:val="3CC009D7"/>
    <w:rsid w:val="3D0D152A"/>
    <w:rsid w:val="3D466081"/>
    <w:rsid w:val="3DF62756"/>
    <w:rsid w:val="3E435064"/>
    <w:rsid w:val="3E4C1343"/>
    <w:rsid w:val="3E641245"/>
    <w:rsid w:val="3F1B7587"/>
    <w:rsid w:val="3F89606A"/>
    <w:rsid w:val="3F9E779B"/>
    <w:rsid w:val="3FF22CF9"/>
    <w:rsid w:val="3FF7787D"/>
    <w:rsid w:val="40D36F56"/>
    <w:rsid w:val="413E6F1A"/>
    <w:rsid w:val="41E57B4F"/>
    <w:rsid w:val="41FD6251"/>
    <w:rsid w:val="42430E61"/>
    <w:rsid w:val="42752ABD"/>
    <w:rsid w:val="432F26F6"/>
    <w:rsid w:val="433F0CA0"/>
    <w:rsid w:val="43802E72"/>
    <w:rsid w:val="43880F63"/>
    <w:rsid w:val="43BB6C43"/>
    <w:rsid w:val="43C43565"/>
    <w:rsid w:val="440B0EDD"/>
    <w:rsid w:val="441C5A6F"/>
    <w:rsid w:val="44C44FCC"/>
    <w:rsid w:val="44CC7369"/>
    <w:rsid w:val="44DE5073"/>
    <w:rsid w:val="44FD4773"/>
    <w:rsid w:val="457F5108"/>
    <w:rsid w:val="45CC270F"/>
    <w:rsid w:val="46271629"/>
    <w:rsid w:val="46951B6B"/>
    <w:rsid w:val="46D11FBC"/>
    <w:rsid w:val="47435BCA"/>
    <w:rsid w:val="48210C25"/>
    <w:rsid w:val="49064EA8"/>
    <w:rsid w:val="49143FB4"/>
    <w:rsid w:val="49206389"/>
    <w:rsid w:val="4922188C"/>
    <w:rsid w:val="49291217"/>
    <w:rsid w:val="495F731C"/>
    <w:rsid w:val="496F0025"/>
    <w:rsid w:val="49853456"/>
    <w:rsid w:val="498E69BD"/>
    <w:rsid w:val="49A34401"/>
    <w:rsid w:val="49E076C1"/>
    <w:rsid w:val="49E4194A"/>
    <w:rsid w:val="49FC2714"/>
    <w:rsid w:val="4A3E30AB"/>
    <w:rsid w:val="4A64571C"/>
    <w:rsid w:val="4A696166"/>
    <w:rsid w:val="4AC14DAC"/>
    <w:rsid w:val="4AE07264"/>
    <w:rsid w:val="4B8640FF"/>
    <w:rsid w:val="4C0A12CF"/>
    <w:rsid w:val="4C773E82"/>
    <w:rsid w:val="4D154C85"/>
    <w:rsid w:val="4D66335C"/>
    <w:rsid w:val="4D811DB6"/>
    <w:rsid w:val="4E8F44F1"/>
    <w:rsid w:val="4EB35ECE"/>
    <w:rsid w:val="4F241610"/>
    <w:rsid w:val="508F4E24"/>
    <w:rsid w:val="51322546"/>
    <w:rsid w:val="51461E90"/>
    <w:rsid w:val="51463753"/>
    <w:rsid w:val="51932220"/>
    <w:rsid w:val="51DC28CF"/>
    <w:rsid w:val="52553A93"/>
    <w:rsid w:val="5256713B"/>
    <w:rsid w:val="52AF1A23"/>
    <w:rsid w:val="53521F8B"/>
    <w:rsid w:val="537D27BB"/>
    <w:rsid w:val="53972781"/>
    <w:rsid w:val="53E22F47"/>
    <w:rsid w:val="53EA467D"/>
    <w:rsid w:val="53ED2302"/>
    <w:rsid w:val="54522FF8"/>
    <w:rsid w:val="55450629"/>
    <w:rsid w:val="56692963"/>
    <w:rsid w:val="568B0F48"/>
    <w:rsid w:val="56E576DD"/>
    <w:rsid w:val="574A04A7"/>
    <w:rsid w:val="5786217B"/>
    <w:rsid w:val="57DB5C9A"/>
    <w:rsid w:val="58455E50"/>
    <w:rsid w:val="5864454A"/>
    <w:rsid w:val="58B41658"/>
    <w:rsid w:val="58EC4721"/>
    <w:rsid w:val="59123B0D"/>
    <w:rsid w:val="59231D52"/>
    <w:rsid w:val="59337A15"/>
    <w:rsid w:val="59810274"/>
    <w:rsid w:val="5A696437"/>
    <w:rsid w:val="5AC47E7A"/>
    <w:rsid w:val="5ACF1E92"/>
    <w:rsid w:val="5B4B7F05"/>
    <w:rsid w:val="5B7F23A2"/>
    <w:rsid w:val="5BD92FA3"/>
    <w:rsid w:val="5C0D541A"/>
    <w:rsid w:val="5CA96A00"/>
    <w:rsid w:val="5CEE6205"/>
    <w:rsid w:val="5CF730BC"/>
    <w:rsid w:val="5CF74EA3"/>
    <w:rsid w:val="5D0164F6"/>
    <w:rsid w:val="5D9E25CA"/>
    <w:rsid w:val="5E5F0DCE"/>
    <w:rsid w:val="5EFF4342"/>
    <w:rsid w:val="5F9100A0"/>
    <w:rsid w:val="5FA40A7B"/>
    <w:rsid w:val="5FCF62BD"/>
    <w:rsid w:val="5FD56D29"/>
    <w:rsid w:val="5FEC7F3F"/>
    <w:rsid w:val="60056797"/>
    <w:rsid w:val="60410C81"/>
    <w:rsid w:val="607E46E1"/>
    <w:rsid w:val="60F74BC3"/>
    <w:rsid w:val="6111632D"/>
    <w:rsid w:val="617D3BF8"/>
    <w:rsid w:val="61841F6A"/>
    <w:rsid w:val="61E35D28"/>
    <w:rsid w:val="623007A9"/>
    <w:rsid w:val="63601881"/>
    <w:rsid w:val="637D7558"/>
    <w:rsid w:val="63D050DC"/>
    <w:rsid w:val="644F19AC"/>
    <w:rsid w:val="647414DA"/>
    <w:rsid w:val="649545F0"/>
    <w:rsid w:val="64D7377C"/>
    <w:rsid w:val="64DA02AC"/>
    <w:rsid w:val="653247EB"/>
    <w:rsid w:val="654E3963"/>
    <w:rsid w:val="65AA4920"/>
    <w:rsid w:val="65E31D0B"/>
    <w:rsid w:val="65FF661D"/>
    <w:rsid w:val="66070306"/>
    <w:rsid w:val="665E5B82"/>
    <w:rsid w:val="67694F1E"/>
    <w:rsid w:val="684734A4"/>
    <w:rsid w:val="689617CF"/>
    <w:rsid w:val="69597934"/>
    <w:rsid w:val="697600E1"/>
    <w:rsid w:val="699F55CE"/>
    <w:rsid w:val="69A34DC7"/>
    <w:rsid w:val="69DC7A22"/>
    <w:rsid w:val="6A17402B"/>
    <w:rsid w:val="6A2D245D"/>
    <w:rsid w:val="6A953FED"/>
    <w:rsid w:val="6A961336"/>
    <w:rsid w:val="6AC72890"/>
    <w:rsid w:val="6B062FAD"/>
    <w:rsid w:val="6B964DDC"/>
    <w:rsid w:val="6C453FC6"/>
    <w:rsid w:val="6C652A63"/>
    <w:rsid w:val="6C783074"/>
    <w:rsid w:val="6D850E3D"/>
    <w:rsid w:val="6D85303B"/>
    <w:rsid w:val="6D9E65C6"/>
    <w:rsid w:val="6DA81947"/>
    <w:rsid w:val="6DAC6C48"/>
    <w:rsid w:val="6DB0501A"/>
    <w:rsid w:val="6E0C6B1E"/>
    <w:rsid w:val="6E2C7300"/>
    <w:rsid w:val="6EA34E13"/>
    <w:rsid w:val="6EB66DE2"/>
    <w:rsid w:val="6ED3075F"/>
    <w:rsid w:val="6F2A2D4B"/>
    <w:rsid w:val="6F7E7F0B"/>
    <w:rsid w:val="6F8A0C1E"/>
    <w:rsid w:val="6FBB582B"/>
    <w:rsid w:val="703F45D4"/>
    <w:rsid w:val="7048033C"/>
    <w:rsid w:val="70D9705A"/>
    <w:rsid w:val="715D6546"/>
    <w:rsid w:val="71BE069E"/>
    <w:rsid w:val="73953409"/>
    <w:rsid w:val="73A664A3"/>
    <w:rsid w:val="73E069A3"/>
    <w:rsid w:val="74727416"/>
    <w:rsid w:val="74B27425"/>
    <w:rsid w:val="76F75952"/>
    <w:rsid w:val="7704010E"/>
    <w:rsid w:val="773B7AF1"/>
    <w:rsid w:val="77A96BEA"/>
    <w:rsid w:val="78104AA8"/>
    <w:rsid w:val="78650A4B"/>
    <w:rsid w:val="78E257C5"/>
    <w:rsid w:val="78F008DC"/>
    <w:rsid w:val="794B35BE"/>
    <w:rsid w:val="79585F52"/>
    <w:rsid w:val="79A803FE"/>
    <w:rsid w:val="79F42021"/>
    <w:rsid w:val="7A2C2F4C"/>
    <w:rsid w:val="7A376404"/>
    <w:rsid w:val="7A3A0597"/>
    <w:rsid w:val="7A3C0C8D"/>
    <w:rsid w:val="7AF661D7"/>
    <w:rsid w:val="7AF6660F"/>
    <w:rsid w:val="7B0A3A31"/>
    <w:rsid w:val="7B3360ED"/>
    <w:rsid w:val="7B6479D9"/>
    <w:rsid w:val="7BDF037E"/>
    <w:rsid w:val="7BF50948"/>
    <w:rsid w:val="7C7F4CA9"/>
    <w:rsid w:val="7CE66A78"/>
    <w:rsid w:val="7D23564C"/>
    <w:rsid w:val="7D493466"/>
    <w:rsid w:val="7D5E062D"/>
    <w:rsid w:val="7DF76CD8"/>
    <w:rsid w:val="7F2A6C54"/>
    <w:rsid w:val="7F695C26"/>
    <w:rsid w:val="7FCF62D3"/>
    <w:rsid w:val="7FFC4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page number"/>
    <w:basedOn w:val="7"/>
    <w:qFormat/>
    <w:uiPriority w:val="0"/>
  </w:style>
  <w:style w:type="character" w:styleId="9">
    <w:name w:val="Emphasis"/>
    <w:basedOn w:val="7"/>
    <w:qFormat/>
    <w:uiPriority w:val="0"/>
    <w:rPr>
      <w:i/>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0.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9</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cp:lastPrinted>2024-12-24T08:22:00Z</cp:lastPrinted>
  <dcterms:modified xsi:type="dcterms:W3CDTF">2024-12-30T08:17:34Z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06202EE6B152489CAA5B92D569CA30EF</vt:lpwstr>
  </property>
</Properties>
</file>