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附件3</w:t>
      </w:r>
    </w:p>
    <w:p>
      <w:pPr>
        <w:spacing w:line="560" w:lineRule="exact"/>
        <w:rPr>
          <w:rFonts w:hint="eastAsia"/>
        </w:rPr>
      </w:pP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截至202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黑体" w:eastAsia="方正小标宋简体"/>
          <w:sz w:val="44"/>
          <w:szCs w:val="44"/>
        </w:rPr>
        <w:t>年末发行的新增政府一般债券</w:t>
      </w: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资金收支情况表</w:t>
      </w:r>
    </w:p>
    <w:p>
      <w:pPr>
        <w:widowControl/>
        <w:jc w:val="left"/>
        <w:rPr>
          <w:rFonts w:hint="eastAsia"/>
          <w:sz w:val="20"/>
          <w:szCs w:val="20"/>
        </w:rPr>
      </w:pPr>
    </w:p>
    <w:p>
      <w:pPr>
        <w:widowControl/>
        <w:jc w:val="right"/>
        <w:rPr>
          <w:rFonts w:hint="eastAsia"/>
          <w:sz w:val="20"/>
          <w:szCs w:val="20"/>
        </w:rPr>
      </w:pPr>
      <w:r>
        <w:rPr>
          <w:rFonts w:hint="eastAsia"/>
        </w:rPr>
        <w:t>单位：亿元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382"/>
        <w:gridCol w:w="1488"/>
        <w:gridCol w:w="2910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899" w:type="dxa"/>
            <w:vMerge w:val="restart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序号</w:t>
            </w:r>
          </w:p>
        </w:tc>
        <w:tc>
          <w:tcPr>
            <w:tcW w:w="3065" w:type="dxa"/>
            <w:gridSpan w:val="2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截至202</w:t>
            </w:r>
            <w:r>
              <w:rPr>
                <w:rFonts w:hint="eastAsia" w:hAnsi="黑体"/>
                <w:sz w:val="22"/>
                <w:szCs w:val="44"/>
                <w:lang w:val="en-US" w:eastAsia="zh-CN"/>
              </w:rPr>
              <w:t>4</w:t>
            </w:r>
            <w:r>
              <w:rPr>
                <w:rFonts w:hint="eastAsia" w:hAnsi="黑体"/>
                <w:sz w:val="22"/>
                <w:szCs w:val="44"/>
              </w:rPr>
              <w:t>年末新增一般债券资金收入</w:t>
            </w:r>
          </w:p>
        </w:tc>
        <w:tc>
          <w:tcPr>
            <w:tcW w:w="5152" w:type="dxa"/>
            <w:gridSpan w:val="2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截至202</w:t>
            </w:r>
            <w:r>
              <w:rPr>
                <w:rFonts w:hint="eastAsia" w:hAnsi="黑体"/>
                <w:sz w:val="22"/>
                <w:szCs w:val="44"/>
                <w:lang w:val="en-US" w:eastAsia="zh-CN"/>
              </w:rPr>
              <w:t>4</w:t>
            </w:r>
            <w:r>
              <w:rPr>
                <w:rFonts w:hint="eastAsia" w:hAnsi="黑体"/>
                <w:sz w:val="22"/>
                <w:szCs w:val="44"/>
              </w:rPr>
              <w:t>年末新增一般债券资金安排的支出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vMerge w:val="continue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</w:p>
        </w:tc>
        <w:tc>
          <w:tcPr>
            <w:tcW w:w="147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债券名称</w:t>
            </w:r>
          </w:p>
        </w:tc>
        <w:tc>
          <w:tcPr>
            <w:tcW w:w="1590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金额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支出功能分类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合计</w:t>
            </w:r>
          </w:p>
        </w:tc>
        <w:tc>
          <w:tcPr>
            <w:tcW w:w="147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/>
            <w:vAlign w:val="top"/>
          </w:tcPr>
          <w:p>
            <w:pPr>
              <w:rPr>
                <w:rFonts w:hint="default" w:hAnsi="黑体" w:eastAsia="仿宋_GB2312"/>
                <w:sz w:val="22"/>
                <w:szCs w:val="44"/>
                <w:lang w:val="en-US" w:eastAsia="zh-CN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  <w:r>
              <w:rPr>
                <w:rFonts w:hint="eastAsia" w:hAnsi="黑体"/>
                <w:sz w:val="22"/>
                <w:szCs w:val="44"/>
                <w:lang w:val="en-US" w:eastAsia="zh-CN"/>
              </w:rPr>
              <w:t>0.1274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int="default" w:hAnsi="黑体" w:eastAsia="仿宋_GB2312"/>
                <w:sz w:val="22"/>
                <w:szCs w:val="44"/>
                <w:lang w:val="en-US" w:eastAsia="zh-CN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  <w:r>
              <w:rPr>
                <w:rFonts w:hint="eastAsia" w:hAnsi="黑体"/>
                <w:sz w:val="22"/>
                <w:szCs w:val="44"/>
                <w:lang w:val="en-US" w:eastAsia="zh-CN"/>
              </w:rPr>
              <w:t>0.03004867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1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int="default" w:hAnsi="黑体" w:eastAsia="仿宋_GB2312"/>
                <w:sz w:val="22"/>
                <w:szCs w:val="44"/>
                <w:lang w:val="en-US" w:eastAsia="zh-CN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  <w:r>
              <w:rPr>
                <w:rFonts w:hint="eastAsia" w:hAnsi="黑体"/>
                <w:sz w:val="22"/>
                <w:szCs w:val="44"/>
                <w:lang w:val="en-US" w:eastAsia="zh-CN"/>
              </w:rPr>
              <w:t>2024年广西壮族自治区政府一般债券（三期）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int="default" w:hAnsi="黑体" w:eastAsia="仿宋_GB2312"/>
                <w:sz w:val="22"/>
                <w:szCs w:val="44"/>
                <w:lang w:val="en-US" w:eastAsia="zh-CN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  <w:r>
              <w:rPr>
                <w:rFonts w:hint="eastAsia" w:hAnsi="黑体"/>
                <w:sz w:val="22"/>
                <w:szCs w:val="44"/>
                <w:lang w:val="en-US" w:eastAsia="zh-CN"/>
              </w:rPr>
              <w:t>0.1274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201一般公共服务支出</w:t>
            </w:r>
          </w:p>
        </w:tc>
        <w:tc>
          <w:tcPr>
            <w:tcW w:w="2027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202外交支出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3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203国防支出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4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204公共安全支出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5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205教育支出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…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206科学技术支出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207文化旅游体育与传媒支出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208社会保障和就业支出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210卫生健康支出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211节能环保支出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212城乡社区支出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213农林水支出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int="default" w:hAnsi="黑体" w:eastAsia="仿宋_GB2312"/>
                <w:sz w:val="22"/>
                <w:szCs w:val="44"/>
                <w:lang w:val="en-US" w:eastAsia="zh-CN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  <w:r>
              <w:rPr>
                <w:rFonts w:hint="eastAsia" w:hAnsi="黑体"/>
                <w:sz w:val="22"/>
                <w:szCs w:val="44"/>
                <w:lang w:val="en-US" w:eastAsia="zh-CN"/>
              </w:rPr>
              <w:t>0.03004867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214交通运输支出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215资源勘探信息等支出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216商业服务业等支出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217金融支出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219援助其他地区支出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220自然资源海洋气象等支出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221住房保障支出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222粮油物资储备支出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224灾害防治及应急管理支出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5793C"/>
    <w:rsid w:val="0BF5793C"/>
    <w:rsid w:val="513F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898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2025-07-16T09:45:00Z</dcterms:created>
  <dc:creator>Administrator</dc:creator>
  <cp:lastModifiedBy>Administrator</cp:lastModifiedBy>
  <dcterms:modified xsi:type="dcterms:W3CDTF">2025-07-17T01:31:46Z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41EB0B5FAFDB4925933ACB92F465EBD5</vt:lpwstr>
  </property>
</Properties>
</file>