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Lines="0" w:afterLines="0" w:line="560" w:lineRule="exact"/>
        <w:jc w:val="left"/>
        <w:textAlignment w:val="auto"/>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eastAsia="zh-CN"/>
        </w:rPr>
        <w:t>附件</w:t>
      </w:r>
      <w:r>
        <w:rPr>
          <w:rFonts w:hint="eastAsia" w:ascii="黑体" w:hAnsi="黑体" w:eastAsia="黑体" w:cs="Times New Roman"/>
          <w:sz w:val="32"/>
          <w:szCs w:val="32"/>
          <w:highlight w:val="none"/>
          <w:lang w:val="en-US" w:eastAsia="zh-CN"/>
        </w:rPr>
        <w:t>4</w:t>
      </w:r>
    </w:p>
    <w:p>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textAlignment w:val="auto"/>
        <w:rPr>
          <w:rFonts w:hint="eastAsia" w:ascii="Times New Roman" w:hAnsi="Times New Roman" w:eastAsia="宋体" w:cs="Times New Roman"/>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2024年度环江毛南族自治县自然资源生态      修复中心部门预算绩效自评报告</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仿宋_GB2312" w:hAnsi="仿宋_GB2312" w:eastAsia="仿宋_GB2312" w:cs="仿宋_GB2312"/>
          <w:b w:val="0"/>
          <w:bCs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黑体" w:hAnsi="黑体" w:eastAsia="黑体" w:cs="Times New Roman"/>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黑体" w:hAnsi="黑体" w:eastAsia="黑体" w:cs="Times New Roman"/>
          <w:sz w:val="32"/>
          <w:szCs w:val="32"/>
          <w:highlight w:val="none"/>
        </w:rPr>
      </w:pPr>
      <w:r>
        <w:rPr>
          <w:rFonts w:hint="eastAsia" w:ascii="黑体" w:hAnsi="黑体" w:eastAsia="黑体" w:cs="Times New Roman"/>
          <w:sz w:val="32"/>
          <w:szCs w:val="32"/>
          <w:highlight w:val="none"/>
          <w:lang w:eastAsia="zh-CN"/>
        </w:rPr>
        <w:t>一、预算基本情况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4" w:lineRule="atLeast"/>
        <w:ind w:left="0" w:right="0" w:firstLine="516"/>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2024年全年收入预算275.25万元，其中一般公共预算拨款275.25万元。年中调整数260万元。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4" w:lineRule="atLeast"/>
        <w:ind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2024全年支出预算数为275.25万元。其中一般公共预算拨款支出275.25万元，占支出总预算100%。</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4" w:lineRule="atLeast"/>
        <w:ind w:right="0" w:firstLine="640" w:firstLineChars="200"/>
      </w:pPr>
      <w:r>
        <w:rPr>
          <w:rFonts w:hint="eastAsia" w:ascii="仿宋_GB2312" w:hAnsi="仿宋_GB2312" w:eastAsia="仿宋_GB2312" w:cs="仿宋_GB2312"/>
          <w:kern w:val="2"/>
          <w:sz w:val="32"/>
          <w:szCs w:val="32"/>
          <w:lang w:val="en-US" w:eastAsia="zh-CN" w:bidi="ar-SA"/>
        </w:rPr>
        <w:t>截至2024年12月31日预算支出执行数275.25万元， 执行率100%。现将自评情况汇报如下</w:t>
      </w:r>
      <w:r>
        <w:rPr>
          <w:rFonts w:hint="default" w:ascii="Calibri" w:hAnsi="Calibri" w:eastAsia="仿宋_GB2312" w:cs="Times New Roman"/>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黑体" w:hAnsi="黑体" w:eastAsia="黑体" w:cs="Times New Roman"/>
          <w:sz w:val="32"/>
          <w:szCs w:val="32"/>
          <w:highlight w:val="none"/>
        </w:rPr>
      </w:pPr>
      <w:r>
        <w:rPr>
          <w:rFonts w:hint="eastAsia" w:ascii="黑体" w:hAnsi="黑体" w:eastAsia="黑体" w:cs="Times New Roman"/>
          <w:sz w:val="32"/>
          <w:szCs w:val="32"/>
          <w:highlight w:val="none"/>
          <w:lang w:eastAsia="zh-CN"/>
        </w:rPr>
        <w:t>二、</w:t>
      </w:r>
      <w:r>
        <w:rPr>
          <w:rFonts w:hint="eastAsia" w:ascii="黑体" w:hAnsi="黑体" w:eastAsia="黑体" w:cs="Times New Roman"/>
          <w:sz w:val="32"/>
          <w:szCs w:val="32"/>
          <w:highlight w:val="none"/>
        </w:rPr>
        <w:t>自评工作开展情况</w:t>
      </w:r>
    </w:p>
    <w:p>
      <w:pPr>
        <w:pStyle w:val="11"/>
        <w:spacing w:line="560" w:lineRule="exact"/>
        <w:ind w:left="160" w:leftChars="76" w:firstLine="480" w:firstLineChars="150"/>
        <w:rPr>
          <w:rFonts w:hint="eastAsia"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本单位整体支出自评根据本单位年初预算、年中调整和预算执行情况开展，自评内容围绕单位职能及完成情况进行评价，本单位项目支出数量3个、自评数量3个、自评覆盖面100%，项目按照具体的项目绩效指标开展自评，一级指标：产出指标、效益指标、满意度指标；产出指标的二级指标含数量指标、质量指标、时效指标、成本指标，效益指标的二级指标含经济效益指标、社会效益指标、生活效益指标和可持续影响指标，通过以上具体指标全方位开展自评工作。</w:t>
      </w:r>
    </w:p>
    <w:p>
      <w:pPr>
        <w:pStyle w:val="11"/>
        <w:spacing w:line="560" w:lineRule="exact"/>
        <w:ind w:left="0" w:leftChars="0" w:firstLine="640" w:firstLineChars="200"/>
        <w:rPr>
          <w:rFonts w:hint="eastAsia" w:ascii="黑体" w:hAnsi="黑体" w:eastAsia="黑体" w:cs="Times New Roman"/>
          <w:sz w:val="32"/>
          <w:szCs w:val="32"/>
          <w:highlight w:val="none"/>
          <w:lang w:eastAsia="zh-CN"/>
        </w:rPr>
      </w:pPr>
      <w:r>
        <w:rPr>
          <w:rFonts w:hint="eastAsia" w:ascii="黑体" w:hAnsi="黑体" w:eastAsia="黑体" w:cs="Times New Roman"/>
          <w:kern w:val="2"/>
          <w:sz w:val="32"/>
          <w:szCs w:val="32"/>
          <w:highlight w:val="none"/>
          <w:lang w:val="en-US" w:eastAsia="zh-CN" w:bidi="ar-SA"/>
        </w:rPr>
        <w:t>三、</w:t>
      </w:r>
      <w:r>
        <w:rPr>
          <w:rFonts w:hint="eastAsia" w:ascii="黑体" w:hAnsi="黑体" w:eastAsia="黑体" w:cs="Times New Roman"/>
          <w:sz w:val="32"/>
          <w:szCs w:val="32"/>
          <w:highlight w:val="none"/>
          <w:lang w:eastAsia="zh-CN"/>
        </w:rPr>
        <w:t>项目支出绩效自评结果及分析</w:t>
      </w:r>
    </w:p>
    <w:p>
      <w:pPr>
        <w:pStyle w:val="11"/>
        <w:spacing w:line="560" w:lineRule="exact"/>
        <w:ind w:left="160" w:leftChars="76" w:firstLine="480" w:firstLineChars="150"/>
        <w:rPr>
          <w:rFonts w:hint="default"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1、</w:t>
      </w:r>
      <w:bookmarkStart w:id="0" w:name="OLE_LINK1"/>
      <w:r>
        <w:rPr>
          <w:rFonts w:hint="eastAsia" w:ascii="仿宋_GB2312" w:hAnsi="仿宋_GB2312" w:eastAsia="仿宋_GB2312" w:cs="Times New Roman"/>
          <w:color w:val="auto"/>
          <w:kern w:val="2"/>
          <w:sz w:val="32"/>
          <w:szCs w:val="32"/>
          <w:lang w:val="en-US" w:eastAsia="zh-CN" w:bidi="ar-SA"/>
        </w:rPr>
        <w:t>2024年修复中心公用经费，自评得分100分，主要产出：为履行工作职责，完成工作目标，项目支付开展修复中心工作所需</w:t>
      </w:r>
      <w:bookmarkEnd w:id="0"/>
      <w:r>
        <w:rPr>
          <w:rFonts w:hint="eastAsia" w:ascii="仿宋_GB2312" w:hAnsi="仿宋_GB2312" w:eastAsia="仿宋_GB2312" w:cs="Times New Roman"/>
          <w:color w:val="auto"/>
          <w:kern w:val="2"/>
          <w:sz w:val="32"/>
          <w:szCs w:val="32"/>
          <w:lang w:val="en-US" w:eastAsia="zh-CN" w:bidi="ar-SA"/>
        </w:rPr>
        <w:t>的差旅费、邮电费。2、2024年修复中心日常运转经费，自评得分100分，主要产出：为履行工作职责，完成工作目标，项目支付开展修复中心工作所需办公费、劳务费（保安费）、公务接待费、其他商品和服务支出等费用。3、旱改水指标收储项目，自评得分100分，该项目主要产出是提高耕地质量，主要成效是大力推进“旱改水”项目建设，实现了土地“小块并大块”“旱地变水田”“低产变高产”。</w:t>
      </w:r>
    </w:p>
    <w:p>
      <w:pPr>
        <w:keepNext w:val="0"/>
        <w:keepLines w:val="0"/>
        <w:pageBreakBefore w:val="0"/>
        <w:widowControl w:val="0"/>
        <w:numPr>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黑体" w:hAnsi="黑体" w:eastAsia="黑体" w:cs="Times New Roman"/>
          <w:sz w:val="32"/>
          <w:szCs w:val="32"/>
          <w:highlight w:val="none"/>
          <w:lang w:eastAsia="zh-CN"/>
        </w:rPr>
      </w:pPr>
      <w:r>
        <w:rPr>
          <w:rFonts w:hint="eastAsia" w:ascii="黑体" w:hAnsi="黑体" w:eastAsia="黑体" w:cs="Times New Roman"/>
          <w:kern w:val="2"/>
          <w:sz w:val="32"/>
          <w:szCs w:val="32"/>
          <w:highlight w:val="none"/>
          <w:lang w:val="en-US" w:eastAsia="zh-CN" w:bidi="ar-SA"/>
        </w:rPr>
        <w:t>三、</w:t>
      </w:r>
      <w:r>
        <w:rPr>
          <w:rFonts w:hint="eastAsia" w:ascii="黑体" w:hAnsi="黑体" w:eastAsia="黑体" w:cs="Times New Roman"/>
          <w:sz w:val="32"/>
          <w:szCs w:val="32"/>
          <w:highlight w:val="none"/>
          <w:lang w:eastAsia="zh-CN"/>
        </w:rPr>
        <w:t>自评发现的问题和改进措施</w:t>
      </w:r>
    </w:p>
    <w:p>
      <w:pPr>
        <w:keepNext w:val="0"/>
        <w:keepLines w:val="0"/>
        <w:widowControl/>
        <w:suppressLineNumbers w:val="0"/>
        <w:shd w:val="clear" w:fill="FFFFFF"/>
        <w:spacing w:before="450" w:beforeAutospacing="0" w:after="240" w:afterAutospacing="0" w:line="405" w:lineRule="atLeast"/>
        <w:ind w:left="0" w:firstLine="640" w:firstLineChars="200"/>
        <w:jc w:val="left"/>
        <w:rPr>
          <w:rFonts w:hint="default" w:ascii="仿宋_GB2312" w:hAnsi="仿宋_GB2312" w:eastAsia="仿宋_GB2312" w:cs="Times New Roman"/>
          <w:color w:val="auto"/>
          <w:kern w:val="2"/>
          <w:sz w:val="32"/>
          <w:szCs w:val="32"/>
          <w:lang w:val="en-US" w:eastAsia="zh-CN" w:bidi="ar-SA"/>
        </w:rPr>
      </w:pPr>
      <w:r>
        <w:rPr>
          <w:rFonts w:hint="eastAsia" w:ascii="仿宋_GB2312" w:hAnsi="仿宋_GB2312" w:eastAsia="仿宋_GB2312" w:cs="Times New Roman"/>
          <w:color w:val="auto"/>
          <w:kern w:val="2"/>
          <w:sz w:val="32"/>
          <w:szCs w:val="32"/>
          <w:lang w:val="en-US" w:eastAsia="zh-CN" w:bidi="ar-SA"/>
        </w:rPr>
        <w:t>1.加强财务管理，严格财务审核。2.细化预算编制工作，认真做好预算编制。3.</w:t>
      </w:r>
      <w:r>
        <w:rPr>
          <w:rFonts w:hint="default" w:ascii="仿宋_GB2312" w:hAnsi="仿宋_GB2312" w:eastAsia="仿宋_GB2312" w:cs="Times New Roman"/>
          <w:color w:val="auto"/>
          <w:kern w:val="2"/>
          <w:sz w:val="32"/>
          <w:szCs w:val="32"/>
          <w:lang w:val="en-US" w:eastAsia="zh-CN" w:bidi="ar-SA"/>
        </w:rPr>
        <w:t>自评人员专业能力不足</w:t>
      </w:r>
      <w:r>
        <w:rPr>
          <w:rFonts w:hint="eastAsia" w:ascii="仿宋_GB2312" w:hAnsi="仿宋_GB2312" w:eastAsia="仿宋_GB2312" w:cs="Times New Roman"/>
          <w:color w:val="auto"/>
          <w:kern w:val="2"/>
          <w:sz w:val="32"/>
          <w:szCs w:val="32"/>
          <w:lang w:val="en-US" w:eastAsia="zh-CN" w:bidi="ar-SA"/>
        </w:rPr>
        <w:t>，</w:t>
      </w:r>
      <w:r>
        <w:rPr>
          <w:rFonts w:hint="default" w:ascii="仿宋_GB2312" w:hAnsi="仿宋_GB2312" w:eastAsia="仿宋_GB2312" w:cs="Times New Roman"/>
          <w:color w:val="auto"/>
          <w:kern w:val="2"/>
          <w:sz w:val="32"/>
          <w:szCs w:val="32"/>
          <w:lang w:val="en-US" w:eastAsia="zh-CN" w:bidi="ar-SA"/>
        </w:rPr>
        <w:t>许多单位负责预算绩效自评的人员多为财务人员或项目管理人员兼职，缺乏系统的绩效评价知识和技能培训。在实际工作中，对绩效评价指标的理解和运用不准确，评价方法选择不当，导致自评报告质量不高，无法深入分析项目绩效问题，难以提出有针对性的改进建议。</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黑体" w:hAnsi="黑体" w:eastAsia="黑体" w:cs="Times New Roman"/>
          <w:sz w:val="32"/>
          <w:szCs w:val="32"/>
          <w:highlight w:val="none"/>
          <w:lang w:eastAsia="zh-CN"/>
        </w:rPr>
      </w:pPr>
      <w:r>
        <w:rPr>
          <w:rFonts w:hint="eastAsia" w:ascii="黑体" w:hAnsi="黑体" w:eastAsia="黑体" w:cs="Times New Roman"/>
          <w:sz w:val="32"/>
          <w:szCs w:val="32"/>
          <w:highlight w:val="none"/>
          <w:lang w:eastAsia="zh-CN"/>
        </w:rPr>
        <w:t>五、自评工作建议</w:t>
      </w:r>
    </w:p>
    <w:p>
      <w:pPr>
        <w:keepNext w:val="0"/>
        <w:keepLines w:val="0"/>
        <w:widowControl/>
        <w:numPr>
          <w:numId w:val="0"/>
        </w:numPr>
        <w:suppressLineNumbers w:val="0"/>
        <w:pBdr>
          <w:left w:val="none" w:color="auto" w:sz="0" w:space="0"/>
        </w:pBdr>
        <w:spacing w:before="0" w:beforeAutospacing="1" w:after="0" w:afterAutospacing="1"/>
        <w:ind w:left="360" w:leftChars="0" w:firstLine="640" w:firstLineChars="200"/>
        <w:rPr>
          <w:rFonts w:hint="default" w:eastAsia="仿宋_GB2312"/>
          <w:lang w:val="en-US" w:eastAsia="zh-CN"/>
        </w:rPr>
      </w:pPr>
      <w:r>
        <w:rPr>
          <w:rFonts w:hint="eastAsia" w:ascii="仿宋_GB2312" w:eastAsia="仿宋_GB2312"/>
          <w:bCs/>
          <w:sz w:val="32"/>
          <w:szCs w:val="32"/>
        </w:rPr>
        <w:t>1</w:t>
      </w:r>
      <w:r>
        <w:rPr>
          <w:rFonts w:hint="eastAsia" w:ascii="仿宋_GB2312" w:eastAsia="仿宋_GB2312"/>
          <w:sz w:val="32"/>
          <w:szCs w:val="32"/>
        </w:rPr>
        <w:t>.完善管理机制，明确责任。2.扩宽资金来源，积极向上级争取财政拨款资金。</w:t>
      </w:r>
      <w:r>
        <w:rPr>
          <w:rFonts w:hint="eastAsia" w:ascii="仿宋_GB2312" w:eastAsia="仿宋_GB2312"/>
          <w:sz w:val="32"/>
          <w:szCs w:val="32"/>
          <w:lang w:val="en-US" w:eastAsia="zh-CN"/>
        </w:rPr>
        <w:t>3.</w:t>
      </w:r>
      <w:r>
        <w:rPr>
          <w:rFonts w:hint="eastAsia" w:ascii="仿宋_GB2312" w:eastAsia="仿宋_GB2312"/>
          <w:sz w:val="32"/>
          <w:szCs w:val="32"/>
        </w:rPr>
        <w:t>鼓励交流实践</w:t>
      </w:r>
      <w:r>
        <w:rPr>
          <w:rFonts w:hint="default" w:ascii="仿宋_GB2312" w:eastAsia="仿宋_GB2312"/>
          <w:sz w:val="32"/>
          <w:szCs w:val="32"/>
        </w:rPr>
        <w:t>：创造机会让自评人员参与不同项目的绩效自评工作，通过实践积累经验。同时，搭建交流平台，让自评人员能够分享工作中的心得体会，共同解决遇到的问题。</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黑体" w:hAnsi="黑体" w:eastAsia="黑体" w:cs="Times New Roman"/>
          <w:sz w:val="32"/>
          <w:szCs w:val="32"/>
          <w:highlight w:val="none"/>
          <w:lang w:eastAsia="zh-CN"/>
        </w:rPr>
      </w:pPr>
      <w:r>
        <w:rPr>
          <w:rFonts w:hint="eastAsia" w:ascii="黑体" w:hAnsi="黑体" w:eastAsia="黑体" w:cs="Times New Roman"/>
          <w:sz w:val="32"/>
          <w:szCs w:val="32"/>
          <w:highlight w:val="none"/>
          <w:lang w:eastAsia="zh-CN"/>
        </w:rPr>
        <w:t>六、绩效自评结果</w:t>
      </w:r>
      <w:r>
        <w:rPr>
          <w:rFonts w:hint="eastAsia" w:ascii="黑体" w:hAnsi="黑体" w:eastAsia="黑体" w:cs="Times New Roman"/>
          <w:sz w:val="32"/>
          <w:szCs w:val="32"/>
          <w:highlight w:val="none"/>
          <w:lang w:val="en-US" w:eastAsia="zh-CN"/>
        </w:rPr>
        <w:t>拟</w:t>
      </w:r>
      <w:r>
        <w:rPr>
          <w:rFonts w:hint="eastAsia" w:ascii="黑体" w:hAnsi="黑体" w:eastAsia="黑体" w:cs="Times New Roman"/>
          <w:sz w:val="32"/>
          <w:szCs w:val="32"/>
          <w:highlight w:val="none"/>
          <w:lang w:eastAsia="zh-CN"/>
        </w:rPr>
        <w:t>应用和公开情况</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仿宋_GB2312" w:hAnsi="仿宋_GB2312" w:eastAsia="仿宋_GB2312" w:cs="Times New Roman"/>
          <w:sz w:val="32"/>
          <w:szCs w:val="32"/>
          <w:highlight w:val="none"/>
          <w:lang w:val="en-US" w:eastAsia="zh-CN"/>
        </w:rPr>
      </w:pPr>
      <w:r>
        <w:rPr>
          <w:rFonts w:hint="eastAsia" w:ascii="仿宋_GB2312" w:hAnsi="仿宋_GB2312" w:eastAsia="仿宋_GB2312" w:cs="Times New Roman"/>
          <w:sz w:val="32"/>
          <w:szCs w:val="32"/>
          <w:highlight w:val="none"/>
        </w:rPr>
        <w:t>（一）</w:t>
      </w:r>
      <w:r>
        <w:rPr>
          <w:rFonts w:hint="eastAsia" w:ascii="仿宋_GB2312" w:hAnsi="仿宋_GB2312" w:eastAsia="仿宋_GB2312" w:cs="仿宋_GB2312"/>
          <w:sz w:val="32"/>
          <w:szCs w:val="32"/>
          <w:highlight w:val="none"/>
        </w:rPr>
        <w:t>自评结果</w:t>
      </w:r>
      <w:r>
        <w:rPr>
          <w:rFonts w:hint="eastAsia" w:ascii="仿宋_GB2312" w:hAnsi="仿宋_GB2312" w:eastAsia="仿宋_GB2312" w:cs="仿宋_GB2312"/>
          <w:sz w:val="32"/>
          <w:szCs w:val="32"/>
          <w:highlight w:val="none"/>
          <w:lang w:eastAsia="zh-CN"/>
        </w:rPr>
        <w:t>拟</w:t>
      </w:r>
      <w:r>
        <w:rPr>
          <w:rFonts w:hint="eastAsia" w:ascii="仿宋_GB2312" w:hAnsi="仿宋_GB2312" w:eastAsia="仿宋_GB2312" w:cs="仿宋_GB2312"/>
          <w:sz w:val="32"/>
          <w:szCs w:val="32"/>
          <w:highlight w:val="none"/>
        </w:rPr>
        <w:t>应用</w:t>
      </w:r>
      <w:r>
        <w:rPr>
          <w:rFonts w:hint="eastAsia" w:ascii="仿宋_GB2312" w:hAnsi="仿宋_GB2312" w:eastAsia="仿宋_GB2312" w:cs="仿宋_GB2312"/>
          <w:sz w:val="32"/>
          <w:szCs w:val="32"/>
          <w:highlight w:val="none"/>
          <w:lang w:eastAsia="zh-CN"/>
        </w:rPr>
        <w:t>情况</w:t>
      </w:r>
      <w:r>
        <w:rPr>
          <w:rFonts w:hint="eastAsia" w:ascii="仿宋_GB2312" w:hAnsi="仿宋_GB2312" w:eastAsia="仿宋_GB2312" w:cs="Times New Roman"/>
          <w:sz w:val="32"/>
          <w:szCs w:val="32"/>
          <w:highlight w:val="none"/>
        </w:rPr>
        <w:t>。</w:t>
      </w:r>
      <w:r>
        <w:rPr>
          <w:rFonts w:hint="eastAsia" w:ascii="仿宋_GB2312" w:hAnsi="仿宋_GB2312" w:eastAsia="仿宋_GB2312" w:cs="Times New Roman"/>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Times New Roman"/>
          <w:sz w:val="32"/>
          <w:szCs w:val="32"/>
          <w:highlight w:val="none"/>
        </w:rPr>
        <w:t>（二）</w:t>
      </w:r>
      <w:r>
        <w:rPr>
          <w:rFonts w:hint="eastAsia" w:ascii="仿宋_GB2312" w:hAnsi="仿宋_GB2312" w:eastAsia="仿宋_GB2312" w:cs="仿宋_GB2312"/>
          <w:sz w:val="32"/>
          <w:szCs w:val="32"/>
          <w:highlight w:val="none"/>
        </w:rPr>
        <w:t>自评结果</w:t>
      </w:r>
      <w:r>
        <w:rPr>
          <w:rFonts w:hint="eastAsia" w:ascii="仿宋_GB2312" w:hAnsi="仿宋_GB2312" w:eastAsia="仿宋_GB2312" w:cs="仿宋_GB2312"/>
          <w:sz w:val="32"/>
          <w:szCs w:val="32"/>
          <w:highlight w:val="none"/>
          <w:lang w:val="en-US" w:eastAsia="zh-CN"/>
        </w:rPr>
        <w:t>拟</w:t>
      </w:r>
      <w:r>
        <w:rPr>
          <w:rFonts w:hint="eastAsia" w:ascii="仿宋_GB2312" w:hAnsi="仿宋_GB2312" w:eastAsia="仿宋_GB2312" w:cs="仿宋_GB2312"/>
          <w:sz w:val="32"/>
          <w:szCs w:val="32"/>
          <w:highlight w:val="none"/>
        </w:rPr>
        <w:t>公开情况</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无</w:t>
      </w:r>
    </w:p>
    <w:p>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textAlignment w:val="auto"/>
        <w:rPr>
          <w:rFonts w:hint="eastAsia" w:ascii="方正黑体_GBK" w:hAnsi="方正黑体_GBK" w:eastAsia="方正黑体_GBK" w:cs="方正黑体_GBK"/>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r>
        <w:rPr>
          <w:rFonts w:hint="eastAsia" w:ascii="方正黑体_GBK" w:hAnsi="方正黑体_GBK" w:eastAsia="方正黑体_GBK" w:cs="方正黑体_GBK"/>
          <w:sz w:val="32"/>
          <w:szCs w:val="32"/>
          <w:highlight w:val="none"/>
          <w:lang w:val="en-US" w:eastAsia="zh-CN"/>
        </w:rPr>
        <w:t xml:space="preserve">七、其他需要说明的问题  </w:t>
      </w:r>
    </w:p>
    <w:p>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1280" w:firstLineChars="400"/>
        <w:textAlignment w:val="auto"/>
        <w:rPr>
          <w:rFonts w:hint="default" w:ascii="方正黑体_GBK" w:hAnsi="方正黑体_GBK" w:eastAsia="方正黑体_GBK" w:cs="方正黑体_GBK"/>
          <w:highlight w:val="none"/>
          <w:lang w:val="en-US" w:eastAsia="zh-CN"/>
        </w:rPr>
      </w:pPr>
      <w:r>
        <w:rPr>
          <w:rFonts w:hint="eastAsia" w:ascii="仿宋_GB2312" w:hAnsi="仿宋_GB2312" w:eastAsia="仿宋_GB2312" w:cs="仿宋_GB2312"/>
          <w:kern w:val="2"/>
          <w:sz w:val="32"/>
          <w:szCs w:val="32"/>
          <w:highlight w:val="none"/>
          <w:lang w:val="en-US" w:eastAsia="zh-CN" w:bidi="ar-SA"/>
        </w:rPr>
        <w:t>无。</w:t>
      </w:r>
    </w:p>
    <w:p>
      <w:pPr>
        <w:pStyle w:val="6"/>
        <w:spacing w:line="560" w:lineRule="exact"/>
        <w:ind w:left="0" w:leftChars="0" w:firstLine="0" w:firstLineChars="0"/>
        <w:rPr>
          <w:rFonts w:hint="eastAsia" w:ascii="黑体" w:hAnsi="黑体" w:eastAsia="黑体" w:cs="方正小标宋简体"/>
          <w:sz w:val="32"/>
          <w:szCs w:val="32"/>
        </w:rPr>
      </w:pPr>
    </w:p>
    <w:p>
      <w:pPr>
        <w:pStyle w:val="6"/>
        <w:spacing w:line="560" w:lineRule="exact"/>
        <w:ind w:firstLine="3200" w:firstLineChars="1000"/>
        <w:rPr>
          <w:rFonts w:hint="eastAsia" w:ascii="黑体" w:hAnsi="黑体" w:eastAsia="黑体" w:cs="方正小标宋简体"/>
          <w:sz w:val="32"/>
          <w:szCs w:val="32"/>
        </w:rPr>
      </w:pPr>
    </w:p>
    <w:p>
      <w:pPr>
        <w:pStyle w:val="6"/>
        <w:spacing w:line="560" w:lineRule="exact"/>
        <w:ind w:firstLine="3200" w:firstLineChars="1000"/>
        <w:rPr>
          <w:rFonts w:hint="default" w:ascii="黑体" w:hAnsi="黑体" w:eastAsia="黑体" w:cs="方正小标宋简体"/>
          <w:sz w:val="32"/>
          <w:szCs w:val="32"/>
          <w:lang w:val="en-US" w:eastAsia="zh-CN"/>
        </w:rPr>
      </w:pPr>
      <w:r>
        <w:rPr>
          <w:rFonts w:hint="eastAsia" w:ascii="黑体" w:hAnsi="黑体" w:eastAsia="黑体" w:cs="方正小标宋简体"/>
          <w:sz w:val="32"/>
          <w:szCs w:val="32"/>
        </w:rPr>
        <w:t>环江毛南族自治县</w:t>
      </w:r>
      <w:r>
        <w:rPr>
          <w:rFonts w:hint="eastAsia" w:ascii="黑体" w:hAnsi="黑体" w:eastAsia="黑体" w:cs="方正小标宋简体"/>
          <w:sz w:val="32"/>
          <w:szCs w:val="32"/>
          <w:lang w:val="en-US" w:eastAsia="zh-CN"/>
        </w:rPr>
        <w:t>自然资源生态修复中心</w:t>
      </w:r>
    </w:p>
    <w:p>
      <w:pPr>
        <w:pStyle w:val="6"/>
        <w:spacing w:line="560" w:lineRule="exact"/>
        <w:ind w:firstLine="4320" w:firstLineChars="1350"/>
        <w:rPr>
          <w:rFonts w:ascii="黑体" w:hAnsi="黑体" w:eastAsia="黑体" w:cs="仿宋_GB2312"/>
          <w:sz w:val="32"/>
          <w:szCs w:val="32"/>
        </w:rPr>
      </w:pPr>
      <w:r>
        <w:rPr>
          <w:rFonts w:hint="eastAsia" w:ascii="黑体" w:hAnsi="黑体" w:eastAsia="黑体" w:cs="方正小标宋简体"/>
          <w:sz w:val="32"/>
          <w:szCs w:val="32"/>
        </w:rPr>
        <w:t>202</w:t>
      </w:r>
      <w:r>
        <w:rPr>
          <w:rFonts w:hint="eastAsia" w:ascii="黑体" w:hAnsi="黑体" w:eastAsia="黑体" w:cs="方正小标宋简体"/>
          <w:sz w:val="32"/>
          <w:szCs w:val="32"/>
          <w:lang w:val="en-US" w:eastAsia="zh-CN"/>
        </w:rPr>
        <w:t>5</w:t>
      </w:r>
      <w:r>
        <w:rPr>
          <w:rFonts w:hint="eastAsia" w:ascii="黑体" w:hAnsi="黑体" w:eastAsia="黑体" w:cs="方正小标宋简体"/>
          <w:sz w:val="32"/>
          <w:szCs w:val="32"/>
        </w:rPr>
        <w:t>年</w:t>
      </w:r>
      <w:r>
        <w:rPr>
          <w:rFonts w:hint="eastAsia" w:ascii="黑体" w:hAnsi="黑体" w:eastAsia="黑体" w:cs="方正小标宋简体"/>
          <w:sz w:val="32"/>
          <w:szCs w:val="32"/>
          <w:lang w:val="en-US" w:eastAsia="zh-CN"/>
        </w:rPr>
        <w:t>4</w:t>
      </w:r>
      <w:r>
        <w:rPr>
          <w:rFonts w:hint="eastAsia" w:ascii="黑体" w:hAnsi="黑体" w:eastAsia="黑体" w:cs="方正小标宋简体"/>
          <w:sz w:val="32"/>
          <w:szCs w:val="32"/>
        </w:rPr>
        <w:t>月</w:t>
      </w:r>
      <w:r>
        <w:rPr>
          <w:rFonts w:hint="eastAsia" w:ascii="黑体" w:hAnsi="黑体" w:eastAsia="黑体" w:cs="方正小标宋简体"/>
          <w:sz w:val="32"/>
          <w:szCs w:val="32"/>
          <w:lang w:val="en-US" w:eastAsia="zh-CN"/>
        </w:rPr>
        <w:t>23</w:t>
      </w:r>
      <w:r>
        <w:rPr>
          <w:rFonts w:hint="eastAsia" w:ascii="黑体" w:hAnsi="黑体" w:eastAsia="黑体" w:cs="方正小标宋简体"/>
          <w:sz w:val="32"/>
          <w:szCs w:val="32"/>
        </w:rPr>
        <w:t>日</w:t>
      </w:r>
    </w:p>
    <w:p>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firstLine="0" w:firstLineChars="0"/>
        <w:textAlignment w:val="auto"/>
        <w:rPr>
          <w:rFonts w:hint="eastAsia" w:ascii="仿宋_GB2312" w:hAnsi="仿宋_GB2312" w:eastAsia="仿宋_GB2312" w:cs="仿宋_GB2312"/>
          <w:sz w:val="32"/>
          <w:szCs w:val="32"/>
          <w:highlight w:val="none"/>
          <w:lang w:eastAsia="zh-CN"/>
        </w:rPr>
      </w:pPr>
    </w:p>
    <w:p>
      <w:pPr>
        <w:pStyle w:val="6"/>
        <w:keepNext w:val="0"/>
        <w:keepLines w:val="0"/>
        <w:pageBreakBefore w:val="0"/>
        <w:widowControl w:val="0"/>
        <w:kinsoku/>
        <w:wordWrap/>
        <w:overflowPunct/>
        <w:topLinePunct w:val="0"/>
        <w:autoSpaceDE/>
        <w:autoSpaceDN/>
        <w:bidi w:val="0"/>
        <w:adjustRightInd/>
        <w:snapToGrid/>
        <w:spacing w:beforeLines="0" w:after="0" w:afterLines="0"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附：</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项目自评汇总表（格式附后）</w:t>
      </w:r>
    </w:p>
    <w:p>
      <w:pPr>
        <w:pStyle w:val="6"/>
        <w:ind w:left="0" w:leftChars="0" w:firstLine="0" w:firstLineChars="0"/>
        <w:rPr>
          <w:rFonts w:hint="eastAsia" w:ascii="黑体" w:hAnsi="黑体" w:eastAsia="黑体" w:cs="黑体"/>
          <w:sz w:val="32"/>
          <w:szCs w:val="32"/>
          <w:highlight w:val="none"/>
          <w:lang w:val="en-US" w:eastAsia="zh-CN"/>
        </w:rPr>
        <w:sectPr>
          <w:pgSz w:w="11850" w:h="16840"/>
          <w:pgMar w:top="1474" w:right="1134" w:bottom="1474" w:left="1134" w:header="851" w:footer="992" w:gutter="0"/>
          <w:cols w:space="720" w:num="1"/>
          <w:docGrid w:type="lines" w:linePitch="312" w:charSpace="0"/>
        </w:sectPr>
      </w:pPr>
      <w:bookmarkStart w:id="2" w:name="_GoBack"/>
      <w:bookmarkEnd w:id="2"/>
    </w:p>
    <w:p>
      <w:pPr>
        <w:pStyle w:val="6"/>
        <w:ind w:left="0" w:leftChars="0" w:firstLine="0" w:firstLineChars="0"/>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附6</w:t>
      </w:r>
    </w:p>
    <w:p>
      <w:pPr>
        <w:pStyle w:val="6"/>
        <w:ind w:left="0" w:leftChars="0" w:firstLine="0" w:firstLineChars="0"/>
        <w:jc w:val="center"/>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lang w:val="en-US" w:eastAsia="zh-CN"/>
        </w:rPr>
        <w:t>项目自评汇总表</w:t>
      </w:r>
    </w:p>
    <w:tbl>
      <w:tblPr>
        <w:tblStyle w:val="7"/>
        <w:tblW w:w="1416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8"/>
        <w:gridCol w:w="938"/>
        <w:gridCol w:w="844"/>
        <w:gridCol w:w="1567"/>
        <w:gridCol w:w="709"/>
        <w:gridCol w:w="1291"/>
        <w:gridCol w:w="1388"/>
        <w:gridCol w:w="1112"/>
        <w:gridCol w:w="1125"/>
        <w:gridCol w:w="1188"/>
        <w:gridCol w:w="1306"/>
        <w:gridCol w:w="1265"/>
        <w:gridCol w:w="7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序号</w:t>
            </w:r>
          </w:p>
        </w:tc>
        <w:tc>
          <w:tcPr>
            <w:tcW w:w="93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项目编码</w:t>
            </w:r>
          </w:p>
        </w:tc>
        <w:tc>
          <w:tcPr>
            <w:tcW w:w="844"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项目名称</w:t>
            </w:r>
          </w:p>
        </w:tc>
        <w:tc>
          <w:tcPr>
            <w:tcW w:w="1567"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预算单位</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预算年度</w:t>
            </w:r>
          </w:p>
        </w:tc>
        <w:tc>
          <w:tcPr>
            <w:tcW w:w="1291"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调整后预算数</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全年执行数</w:t>
            </w:r>
          </w:p>
        </w:tc>
        <w:tc>
          <w:tcPr>
            <w:tcW w:w="1112"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预算执行率（%）</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财政拨款预算调整率</w:t>
            </w:r>
            <w:r>
              <w:rPr>
                <w:rFonts w:hint="default" w:ascii="仿宋_GB2312" w:hAnsi="仿宋_GB2312" w:eastAsia="仿宋_GB2312" w:cs="仿宋_GB2312"/>
                <w:b/>
                <w:bCs/>
                <w:sz w:val="21"/>
                <w:szCs w:val="21"/>
                <w:highlight w:val="none"/>
                <w:lang w:val="en-US" w:eastAsia="zh-CN"/>
              </w:rPr>
              <w:t>（%）</w:t>
            </w:r>
          </w:p>
        </w:tc>
        <w:tc>
          <w:tcPr>
            <w:tcW w:w="118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eastAsia"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自评</w:t>
            </w:r>
            <w:r>
              <w:rPr>
                <w:rFonts w:hint="default" w:ascii="仿宋_GB2312" w:hAnsi="仿宋_GB2312" w:eastAsia="仿宋_GB2312" w:cs="仿宋_GB2312"/>
                <w:b/>
                <w:bCs/>
                <w:sz w:val="21"/>
                <w:szCs w:val="21"/>
                <w:highlight w:val="none"/>
                <w:lang w:val="en-US" w:eastAsia="zh-CN"/>
              </w:rPr>
              <w:t>得分</w:t>
            </w:r>
          </w:p>
        </w:tc>
        <w:tc>
          <w:tcPr>
            <w:tcW w:w="1306"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自评结论</w:t>
            </w:r>
            <w:r>
              <w:rPr>
                <w:rFonts w:hint="eastAsia" w:ascii="仿宋_GB2312" w:hAnsi="仿宋_GB2312" w:eastAsia="仿宋_GB2312" w:cs="仿宋_GB2312"/>
                <w:b/>
                <w:bCs/>
                <w:sz w:val="21"/>
                <w:szCs w:val="21"/>
                <w:highlight w:val="none"/>
                <w:lang w:val="en-US" w:eastAsia="zh-CN"/>
              </w:rPr>
              <w:t>（等级）</w:t>
            </w:r>
          </w:p>
        </w:tc>
        <w:tc>
          <w:tcPr>
            <w:tcW w:w="126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主要原因分析</w:t>
            </w: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jc w:val="center"/>
              <w:textAlignment w:val="auto"/>
              <w:rPr>
                <w:rFonts w:hint="default" w:ascii="仿宋_GB2312" w:hAnsi="仿宋_GB2312" w:eastAsia="仿宋_GB2312" w:cs="仿宋_GB2312"/>
                <w:b/>
                <w:bCs/>
                <w:sz w:val="21"/>
                <w:szCs w:val="21"/>
                <w:highlight w:val="none"/>
                <w:lang w:val="en-US" w:eastAsia="zh-CN"/>
              </w:rPr>
            </w:pPr>
            <w:r>
              <w:rPr>
                <w:rFonts w:hint="default" w:ascii="仿宋_GB2312" w:hAnsi="仿宋_GB2312" w:eastAsia="仿宋_GB2312" w:cs="仿宋_GB2312"/>
                <w:b/>
                <w:bCs/>
                <w:sz w:val="21"/>
                <w:szCs w:val="21"/>
                <w:highlight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63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451226230430600007396</w:t>
            </w: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旱改水指标收储</w:t>
            </w:r>
          </w:p>
        </w:tc>
        <w:tc>
          <w:tcPr>
            <w:tcW w:w="15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306002-环江毛南族自治县自然资源生态修复中心</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2024</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2600000.00</w:t>
            </w:r>
          </w:p>
        </w:tc>
        <w:tc>
          <w:tcPr>
            <w:tcW w:w="13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2600000.00</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11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306"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一等</w:t>
            </w:r>
          </w:p>
        </w:tc>
        <w:tc>
          <w:tcPr>
            <w:tcW w:w="126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仿宋_GB2312" w:hAnsi="仿宋_GB2312" w:eastAsia="仿宋_GB2312" w:cs="仿宋_GB2312"/>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63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w:t>
            </w:r>
          </w:p>
        </w:tc>
        <w:tc>
          <w:tcPr>
            <w:tcW w:w="9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451226240330600008784</w:t>
            </w: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修复中心日常运转经费</w:t>
            </w:r>
          </w:p>
        </w:tc>
        <w:tc>
          <w:tcPr>
            <w:tcW w:w="15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306002-环江毛南族自治县自然资源生态修复中心</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2024</w:t>
            </w: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72530.00</w:t>
            </w:r>
          </w:p>
        </w:tc>
        <w:tc>
          <w:tcPr>
            <w:tcW w:w="13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72530.00</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118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306"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一等</w:t>
            </w:r>
          </w:p>
        </w:tc>
        <w:tc>
          <w:tcPr>
            <w:tcW w:w="126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仿宋_GB2312" w:hAnsi="仿宋_GB2312" w:eastAsia="仿宋_GB2312" w:cs="仿宋_GB2312"/>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63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3</w:t>
            </w:r>
          </w:p>
        </w:tc>
        <w:tc>
          <w:tcPr>
            <w:tcW w:w="93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451226230330600006701</w:t>
            </w:r>
          </w:p>
        </w:tc>
        <w:tc>
          <w:tcPr>
            <w:tcW w:w="844"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修复中心公用经费</w:t>
            </w:r>
          </w:p>
        </w:tc>
        <w:tc>
          <w:tcPr>
            <w:tcW w:w="1567"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306002-环江毛南族自治县自然资源生态修复中心</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2024</w:t>
            </w:r>
          </w:p>
        </w:tc>
        <w:tc>
          <w:tcPr>
            <w:tcW w:w="1291"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bookmarkStart w:id="1" w:name="OLE_LINK2"/>
            <w:r>
              <w:rPr>
                <w:rFonts w:hint="eastAsia" w:ascii="楷体" w:hAnsi="楷体" w:eastAsia="楷体" w:cs="楷体"/>
                <w:kern w:val="2"/>
                <w:sz w:val="21"/>
                <w:szCs w:val="22"/>
                <w:lang w:val="en-US" w:eastAsia="zh-CN" w:bidi="ar-SA"/>
              </w:rPr>
              <w:t>79920.00</w:t>
            </w:r>
            <w:bookmarkEnd w:id="1"/>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79920.00</w:t>
            </w:r>
          </w:p>
        </w:tc>
        <w:tc>
          <w:tcPr>
            <w:tcW w:w="1112"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118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306"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一等</w:t>
            </w:r>
          </w:p>
        </w:tc>
        <w:tc>
          <w:tcPr>
            <w:tcW w:w="126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仿宋_GB2312" w:hAnsi="仿宋_GB2312" w:eastAsia="仿宋_GB2312" w:cs="仿宋_GB2312"/>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3987" w:type="dxa"/>
            <w:gridSpan w:val="4"/>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合计：</w:t>
            </w:r>
          </w:p>
        </w:tc>
        <w:tc>
          <w:tcPr>
            <w:tcW w:w="709"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129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right"/>
              <w:textAlignment w:val="center"/>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2752450.00</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2752450.00</w:t>
            </w:r>
          </w:p>
        </w:tc>
        <w:tc>
          <w:tcPr>
            <w:tcW w:w="1112"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12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1188"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r>
              <w:rPr>
                <w:rFonts w:hint="eastAsia" w:ascii="楷体" w:hAnsi="楷体" w:eastAsia="楷体" w:cs="楷体"/>
                <w:kern w:val="2"/>
                <w:sz w:val="21"/>
                <w:szCs w:val="22"/>
                <w:lang w:val="en-US" w:eastAsia="zh-CN" w:bidi="ar-SA"/>
              </w:rPr>
              <w:t>100</w:t>
            </w:r>
          </w:p>
        </w:tc>
        <w:tc>
          <w:tcPr>
            <w:tcW w:w="1306"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eastAsia" w:ascii="楷体" w:hAnsi="楷体" w:eastAsia="楷体" w:cs="楷体"/>
                <w:kern w:val="2"/>
                <w:sz w:val="21"/>
                <w:szCs w:val="22"/>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jc w:val="center"/>
              <w:textAlignment w:val="auto"/>
              <w:rPr>
                <w:rFonts w:hint="default" w:ascii="仿宋_GB2312" w:hAnsi="仿宋_GB2312" w:eastAsia="仿宋_GB2312" w:cs="仿宋_GB2312"/>
                <w:sz w:val="21"/>
                <w:szCs w:val="21"/>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简体" w:eastAsia="方正小标宋简体"/>
          <w:sz w:val="44"/>
          <w:szCs w:val="44"/>
          <w:highlight w:val="none"/>
        </w:rPr>
        <w:sectPr>
          <w:pgSz w:w="16840" w:h="11850" w:orient="landscape"/>
          <w:pgMar w:top="1134" w:right="1474" w:bottom="1134" w:left="1474" w:header="851" w:footer="992" w:gutter="0"/>
          <w:cols w:space="720" w:num="1"/>
          <w:docGrid w:type="lines" w:linePitch="312" w:charSpace="0"/>
        </w:sectPr>
      </w:pPr>
      <w:r>
        <w:rPr>
          <w:rFonts w:hint="eastAsia" w:ascii="仿宋_GB2312" w:hAnsi="仿宋_GB2312" w:eastAsia="仿宋_GB2312" w:cs="仿宋_GB2312"/>
          <w:sz w:val="24"/>
          <w:szCs w:val="24"/>
          <w:highlight w:val="none"/>
          <w:lang w:val="en-US" w:eastAsia="zh-CN"/>
        </w:rPr>
        <w:t>注：1.通过“广西预算管理一体化系统”报送材料的项目可使用系统“导出列表”功能导出相关数据。2.自评（结论）等级：90—100分为一等等级；80—90分（不含90分）为二等等级；60—80分（不含80分）为三等等级；60分以下（不含60分）为四等等级。3.主要原因分析填写被评为“三等”“四等”等级的项目、</w:t>
      </w:r>
      <w:r>
        <w:rPr>
          <w:rFonts w:hint="eastAsia" w:ascii="仿宋_GB2312" w:hAnsi="仿宋_GB2312" w:eastAsia="仿宋_GB2312" w:cs="仿宋_GB2312"/>
          <w:sz w:val="24"/>
          <w:szCs w:val="24"/>
          <w:highlight w:val="none"/>
        </w:rPr>
        <w:t>财政拨款预算调整率（%）</w:t>
      </w:r>
      <w:r>
        <w:rPr>
          <w:rFonts w:hint="eastAsia" w:ascii="仿宋_GB2312" w:hAnsi="仿宋_GB2312" w:eastAsia="仿宋_GB2312" w:cs="仿宋_GB2312"/>
          <w:sz w:val="24"/>
          <w:szCs w:val="24"/>
          <w:highlight w:val="none"/>
          <w:lang w:eastAsia="zh-CN"/>
        </w:rPr>
        <w:t>大于等于</w:t>
      </w:r>
      <w:r>
        <w:rPr>
          <w:rFonts w:hint="eastAsia" w:ascii="仿宋_GB2312" w:hAnsi="仿宋_GB2312" w:eastAsia="仿宋_GB2312" w:cs="仿宋_GB2312"/>
          <w:sz w:val="24"/>
          <w:szCs w:val="24"/>
          <w:highlight w:val="none"/>
          <w:lang w:val="en-US" w:eastAsia="zh-CN"/>
        </w:rPr>
        <w:t>30%的项目存在问题及原因。4.本表报送时应同时报电子表格格式文件</w:t>
      </w:r>
    </w:p>
    <w:p>
      <w:pPr>
        <w:tabs>
          <w:tab w:val="left" w:pos="711"/>
        </w:tabs>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ZTE1MTkyY2M3NTkwZjJhNDhhN2FiOTBjMWIwODIifQ=="/>
  </w:docVars>
  <w:rsids>
    <w:rsidRoot w:val="0D0F1121"/>
    <w:rsid w:val="017C621D"/>
    <w:rsid w:val="0C733962"/>
    <w:rsid w:val="0D0F1121"/>
    <w:rsid w:val="1039155A"/>
    <w:rsid w:val="11CF0AA5"/>
    <w:rsid w:val="1EB02F65"/>
    <w:rsid w:val="1F3A4DCF"/>
    <w:rsid w:val="1FDF1A34"/>
    <w:rsid w:val="22863638"/>
    <w:rsid w:val="272F56A6"/>
    <w:rsid w:val="2C8727E0"/>
    <w:rsid w:val="2FF1555A"/>
    <w:rsid w:val="36F60E1D"/>
    <w:rsid w:val="3FFD455E"/>
    <w:rsid w:val="431073CA"/>
    <w:rsid w:val="480068CB"/>
    <w:rsid w:val="4C8201BD"/>
    <w:rsid w:val="4D49385D"/>
    <w:rsid w:val="4DCE5621"/>
    <w:rsid w:val="5330128D"/>
    <w:rsid w:val="577B622B"/>
    <w:rsid w:val="5C5C308B"/>
    <w:rsid w:val="5C715103"/>
    <w:rsid w:val="64D03BF7"/>
    <w:rsid w:val="724A3704"/>
    <w:rsid w:val="785D0C2B"/>
    <w:rsid w:val="7879543E"/>
    <w:rsid w:val="78A44DEA"/>
    <w:rsid w:val="7ACA4869"/>
    <w:rsid w:val="7DE31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eastAsia="宋体" w:cs="Times New Roman"/>
    </w:rPr>
  </w:style>
  <w:style w:type="paragraph" w:styleId="4">
    <w:name w:val="footer"/>
    <w:basedOn w:val="1"/>
    <w:qFormat/>
    <w:uiPriority w:val="0"/>
    <w:pPr>
      <w:tabs>
        <w:tab w:val="center" w:pos="4153"/>
        <w:tab w:val="right" w:pos="8306"/>
      </w:tabs>
      <w:snapToGrid w:val="0"/>
      <w:jc w:val="left"/>
    </w:pPr>
    <w:rPr>
      <w:rFonts w:ascii="Times New Roman" w:hAnsi="Times New Roman" w:eastAsia="宋体" w:cs="Times New Roman"/>
      <w:kern w:val="0"/>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 w:type="paragraph" w:styleId="6">
    <w:name w:val="Body Text First Indent"/>
    <w:basedOn w:val="3"/>
    <w:qFormat/>
    <w:uiPriority w:val="0"/>
    <w:pPr>
      <w:ind w:firstLine="420" w:firstLineChars="100"/>
    </w:pPr>
    <w:rPr>
      <w:rFonts w:ascii="Times New Roman" w:hAnsi="Times New Roman" w:eastAsia="宋体" w:cs="Times New Roma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5154</Words>
  <Characters>5371</Characters>
  <Lines>0</Lines>
  <Paragraphs>0</Paragraphs>
  <TotalTime>3</TotalTime>
  <ScaleCrop>false</ScaleCrop>
  <LinksUpToDate>false</LinksUpToDate>
  <CharactersWithSpaces>5613</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2024-04-01T08:32:00Z</dcterms:created>
  <dc:creator>lenovo</dc:creator>
  <cp:lastModifiedBy>北沐゛</cp:lastModifiedBy>
  <cp:lastPrinted>2024-07-03T00:39:00Z</cp:lastPrinted>
  <dcterms:modified xsi:type="dcterms:W3CDTF">2025-05-07T10:51:08Z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ABDEEC5AE92B4FCFBA652376C610D295</vt:lpwstr>
  </property>
</Properties>
</file>