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58AD9">
      <w:pPr>
        <w:spacing w:line="560" w:lineRule="exact"/>
        <w:rPr>
          <w:rFonts w:hint="default" w:ascii="黑体" w:hAnsi="黑体" w:eastAsia="黑体" w:cs="Times New Roman"/>
          <w:sz w:val="32"/>
          <w:szCs w:val="32"/>
          <w:highlight w:val="none"/>
          <w:lang w:val="en-US" w:eastAsia="zh-CN"/>
        </w:rPr>
      </w:pPr>
      <w:bookmarkStart w:id="0" w:name="OLE_LINK6"/>
      <w:r>
        <w:rPr>
          <w:rFonts w:hint="eastAsia" w:ascii="黑体" w:hAnsi="黑体" w:eastAsia="黑体" w:cs="Times New Roman"/>
          <w:sz w:val="32"/>
          <w:szCs w:val="32"/>
          <w:highlight w:val="none"/>
        </w:rPr>
        <w:t>附件</w:t>
      </w:r>
      <w:r>
        <w:rPr>
          <w:rFonts w:hint="eastAsia" w:ascii="黑体" w:hAnsi="黑体" w:eastAsia="黑体" w:cs="Times New Roman"/>
          <w:sz w:val="32"/>
          <w:szCs w:val="32"/>
          <w:highlight w:val="none"/>
          <w:lang w:val="en-US" w:eastAsia="zh-CN"/>
        </w:rPr>
        <w:t>5</w:t>
      </w:r>
    </w:p>
    <w:p w14:paraId="032ED6E1">
      <w:pPr>
        <w:spacing w:line="560" w:lineRule="exact"/>
        <w:jc w:val="both"/>
        <w:outlineLvl w:val="2"/>
        <w:rPr>
          <w:rFonts w:hint="eastAsia" w:ascii="方正小标宋简体" w:hAnsi="Calibri" w:eastAsia="方正小标宋简体" w:cs="Times New Roman"/>
          <w:sz w:val="44"/>
          <w:szCs w:val="44"/>
          <w:highlight w:val="none"/>
        </w:rPr>
      </w:pPr>
    </w:p>
    <w:p w14:paraId="78B60358">
      <w:pPr>
        <w:spacing w:line="560" w:lineRule="exact"/>
        <w:jc w:val="center"/>
        <w:outlineLvl w:val="2"/>
        <w:rPr>
          <w:rFonts w:hint="eastAsia" w:ascii="仿宋_GB2312" w:hAnsi="Calibri" w:eastAsia="仿宋_GB2312" w:cs="Times New Roman"/>
          <w:sz w:val="44"/>
          <w:szCs w:val="44"/>
          <w:highlight w:val="none"/>
        </w:rPr>
      </w:pPr>
      <w:r>
        <w:rPr>
          <w:rFonts w:hint="eastAsia" w:ascii="方正小标宋简体" w:hAnsi="Calibri" w:eastAsia="方正小标宋简体" w:cs="Times New Roman"/>
          <w:sz w:val="44"/>
          <w:szCs w:val="44"/>
          <w:highlight w:val="none"/>
        </w:rPr>
        <w:t>项目</w:t>
      </w:r>
      <w:r>
        <w:rPr>
          <w:rFonts w:hint="eastAsia" w:ascii="方正小标宋简体" w:hAnsi="Calibri" w:eastAsia="方正小标宋简体" w:cs="Times New Roman"/>
          <w:sz w:val="44"/>
          <w:szCs w:val="44"/>
          <w:highlight w:val="none"/>
          <w:lang w:eastAsia="zh-CN"/>
        </w:rPr>
        <w:t>支出</w:t>
      </w:r>
      <w:r>
        <w:rPr>
          <w:rFonts w:hint="eastAsia" w:ascii="方正小标宋简体" w:hAnsi="Calibri" w:eastAsia="方正小标宋简体" w:cs="Times New Roman"/>
          <w:sz w:val="44"/>
          <w:szCs w:val="44"/>
          <w:highlight w:val="none"/>
          <w:lang w:val="en-US" w:eastAsia="zh-CN"/>
        </w:rPr>
        <w:t>部门</w:t>
      </w:r>
      <w:r>
        <w:rPr>
          <w:rFonts w:hint="eastAsia" w:ascii="方正小标宋简体" w:hAnsi="Calibri" w:eastAsia="方正小标宋简体" w:cs="Times New Roman"/>
          <w:sz w:val="44"/>
          <w:szCs w:val="44"/>
          <w:highlight w:val="none"/>
        </w:rPr>
        <w:t>评价报告</w:t>
      </w:r>
    </w:p>
    <w:p w14:paraId="05048709">
      <w:pPr>
        <w:spacing w:line="560" w:lineRule="exact"/>
        <w:jc w:val="center"/>
        <w:outlineLvl w:val="0"/>
        <w:rPr>
          <w:rFonts w:hint="eastAsia" w:asciiTheme="majorEastAsia" w:hAnsiTheme="majorEastAsia" w:eastAsiaTheme="majorEastAsia" w:cstheme="majorEastAsia"/>
          <w:b/>
          <w:bCs/>
          <w:sz w:val="32"/>
          <w:szCs w:val="32"/>
          <w:highlight w:val="none"/>
          <w:lang w:val="en-US" w:eastAsia="zh-CN"/>
        </w:rPr>
      </w:pPr>
      <w:r>
        <w:rPr>
          <w:rFonts w:hint="eastAsia" w:ascii="方正小标宋简体" w:hAnsi="Calibri" w:eastAsia="方正小标宋简体" w:cs="Times New Roman"/>
          <w:sz w:val="32"/>
          <w:szCs w:val="32"/>
          <w:highlight w:val="none"/>
        </w:rPr>
        <w:t>——</w:t>
      </w:r>
      <w:r>
        <w:rPr>
          <w:rFonts w:hint="eastAsia" w:asciiTheme="majorEastAsia" w:hAnsiTheme="majorEastAsia" w:eastAsiaTheme="majorEastAsia" w:cstheme="majorEastAsia"/>
          <w:b/>
          <w:bCs/>
          <w:sz w:val="32"/>
          <w:szCs w:val="32"/>
          <w:highlight w:val="none"/>
        </w:rPr>
        <w:t>环江毛南族自治县</w:t>
      </w:r>
      <w:r>
        <w:rPr>
          <w:rFonts w:hint="eastAsia" w:asciiTheme="majorEastAsia" w:hAnsiTheme="majorEastAsia" w:eastAsiaTheme="majorEastAsia" w:cstheme="majorEastAsia"/>
          <w:b/>
          <w:bCs/>
          <w:sz w:val="32"/>
          <w:szCs w:val="32"/>
          <w:highlight w:val="none"/>
          <w:lang w:val="en-US" w:eastAsia="zh-CN"/>
        </w:rPr>
        <w:t>第四</w:t>
      </w:r>
      <w:r>
        <w:rPr>
          <w:rFonts w:hint="eastAsia" w:asciiTheme="majorEastAsia" w:hAnsiTheme="majorEastAsia" w:eastAsiaTheme="majorEastAsia" w:cstheme="majorEastAsia"/>
          <w:b/>
          <w:bCs/>
          <w:sz w:val="32"/>
          <w:szCs w:val="32"/>
          <w:highlight w:val="none"/>
        </w:rPr>
        <w:t>初级中学</w:t>
      </w:r>
      <w:r>
        <w:rPr>
          <w:rFonts w:hint="eastAsia" w:asciiTheme="majorEastAsia" w:hAnsiTheme="majorEastAsia" w:eastAsiaTheme="majorEastAsia" w:cstheme="majorEastAsia"/>
          <w:b/>
          <w:bCs/>
          <w:sz w:val="32"/>
          <w:szCs w:val="32"/>
          <w:highlight w:val="none"/>
          <w:lang w:val="en-US" w:eastAsia="zh-CN"/>
        </w:rPr>
        <w:t>全县校长</w:t>
      </w:r>
    </w:p>
    <w:p w14:paraId="7191B831">
      <w:pPr>
        <w:spacing w:line="560" w:lineRule="exact"/>
        <w:jc w:val="center"/>
        <w:outlineLvl w:val="0"/>
        <w:rPr>
          <w:rFonts w:hint="eastAsia" w:asciiTheme="majorEastAsia" w:hAnsiTheme="majorEastAsia" w:eastAsiaTheme="majorEastAsia" w:cstheme="majorEastAsia"/>
          <w:b/>
          <w:bCs/>
          <w:sz w:val="32"/>
          <w:szCs w:val="32"/>
          <w:highlight w:val="none"/>
          <w:lang w:val="en-US" w:eastAsia="zh-CN"/>
        </w:rPr>
      </w:pPr>
      <w:r>
        <w:rPr>
          <w:rFonts w:hint="eastAsia" w:asciiTheme="majorEastAsia" w:hAnsiTheme="majorEastAsia" w:eastAsiaTheme="majorEastAsia" w:cstheme="majorEastAsia"/>
          <w:b/>
          <w:bCs/>
          <w:sz w:val="32"/>
          <w:szCs w:val="32"/>
          <w:highlight w:val="none"/>
          <w:lang w:val="en-US" w:eastAsia="zh-CN"/>
        </w:rPr>
        <w:t>绩效工资</w:t>
      </w:r>
    </w:p>
    <w:p w14:paraId="7140A614">
      <w:pPr>
        <w:spacing w:line="560" w:lineRule="exact"/>
        <w:rPr>
          <w:rFonts w:hint="eastAsia" w:ascii="仿宋_GB2312" w:hAnsi="Calibri" w:eastAsia="仿宋_GB2312" w:cs="Times New Roman"/>
          <w:sz w:val="32"/>
          <w:szCs w:val="32"/>
          <w:highlight w:val="none"/>
        </w:rPr>
      </w:pPr>
    </w:p>
    <w:p w14:paraId="5515315B">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一、项目基本情况</w:t>
      </w:r>
    </w:p>
    <w:p w14:paraId="629CEC57">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（一）项目立项情况。</w:t>
      </w:r>
    </w:p>
    <w:p w14:paraId="1347A798">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Calibri" w:eastAsia="仿宋_GB2312" w:cs="Times New Roman"/>
          <w:sz w:val="32"/>
          <w:szCs w:val="32"/>
          <w:highlight w:val="none"/>
        </w:rPr>
        <w:t>1.项目立项背景。</w:t>
      </w:r>
    </w:p>
    <w:p w14:paraId="05C0D649">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为提升学校教育教学管理水平，激发校长的工作积极性和创造力，进而提高学校整体教育教学质量，满足人民群众对优质教育的需求，环江毛南族自治县决定实施全县校长绩效工资项目。该项目旨在通过合理的绩效工资分配，激励校长更好地履行职责，带领学校实现高质量发展。</w:t>
      </w:r>
    </w:p>
    <w:p w14:paraId="126F8F4B">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Calibri" w:eastAsia="仿宋_GB2312" w:cs="Times New Roman"/>
          <w:sz w:val="32"/>
          <w:szCs w:val="32"/>
          <w:highlight w:val="none"/>
        </w:rPr>
        <w:t>2.资金用途及目的。</w:t>
      </w:r>
    </w:p>
    <w:p w14:paraId="092420BA">
      <w:pPr>
        <w:spacing w:line="560" w:lineRule="exact"/>
        <w:ind w:firstLine="640" w:firstLineChars="200"/>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全县校长绩效工资项目资金专项用于发放校长绩效工资。其核心目的在于通过提高校长工资收入，增强校长的幸福感和工作积极性，激励校长更好地履行管理职责，提高学校教育教学水平，努力满足人民群众对优质教育的需求。</w:t>
      </w:r>
    </w:p>
    <w:p w14:paraId="5989FC39">
      <w:pPr>
        <w:spacing w:line="560" w:lineRule="exact"/>
        <w:ind w:firstLine="640" w:firstLineChars="200"/>
        <w:outlineLvl w:val="2"/>
        <w:rPr>
          <w:rFonts w:hint="eastAsia" w:ascii="楷体_GB2312" w:hAnsi="仿宋_GB2312" w:eastAsia="楷体_GB2312" w:cs="宋体"/>
          <w:color w:val="000000"/>
          <w:sz w:val="32"/>
          <w:szCs w:val="24"/>
          <w:highlight w:val="none"/>
          <w:shd w:val="clear" w:color="auto" w:fill="FFFFFF"/>
        </w:rPr>
      </w:pPr>
      <w:r>
        <w:rPr>
          <w:rFonts w:hint="eastAsia" w:ascii="楷体_GB2312" w:hAnsi="仿宋_GB2312" w:eastAsia="楷体_GB2312" w:cs="宋体"/>
          <w:color w:val="000000"/>
          <w:sz w:val="32"/>
          <w:szCs w:val="24"/>
          <w:highlight w:val="none"/>
          <w:shd w:val="clear" w:color="auto" w:fill="FFFFFF"/>
        </w:rPr>
        <w:t>（二）项目资金管理使用情况。</w:t>
      </w:r>
    </w:p>
    <w:p w14:paraId="364A171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Calibri" w:eastAsia="仿宋_GB2312" w:cs="Times New Roman"/>
          <w:sz w:val="32"/>
          <w:szCs w:val="32"/>
          <w:highlight w:val="none"/>
        </w:rPr>
        <w:t>1.</w:t>
      </w:r>
      <w:r>
        <w:rPr>
          <w:rFonts w:hint="eastAsia" w:ascii="仿宋_GB2312" w:hAnsi="仿宋_GB2312" w:eastAsia="仿宋_GB2312" w:cs="宋体"/>
          <w:color w:val="000000"/>
          <w:sz w:val="32"/>
          <w:szCs w:val="24"/>
          <w:highlight w:val="none"/>
          <w:shd w:val="clear" w:color="auto" w:fill="FFFFFF"/>
        </w:rPr>
        <w:t>项目资金（包括财政资金、自筹资金等）安排落实、总投入等情况。</w:t>
      </w:r>
    </w:p>
    <w:p w14:paraId="65635866">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2024 年，环江毛南族自治县</w:t>
      </w:r>
      <w:r>
        <w:rPr>
          <w:rFonts w:hint="eastAsia" w:ascii="仿宋_GB2312" w:hAnsi="仿宋_GB2312" w:eastAsia="仿宋_GB2312" w:cs="宋体"/>
          <w:color w:val="000000"/>
          <w:sz w:val="32"/>
          <w:szCs w:val="24"/>
          <w:highlight w:val="none"/>
          <w:shd w:val="clear" w:color="auto" w:fill="FFFFFF"/>
          <w:lang w:val="en-US" w:eastAsia="zh-CN"/>
        </w:rPr>
        <w:t>第四</w:t>
      </w:r>
      <w:r>
        <w:rPr>
          <w:rFonts w:hint="eastAsia" w:ascii="仿宋_GB2312" w:hAnsi="仿宋_GB2312" w:eastAsia="仿宋_GB2312" w:cs="宋体"/>
          <w:color w:val="000000"/>
          <w:sz w:val="32"/>
          <w:szCs w:val="24"/>
          <w:highlight w:val="none"/>
          <w:shd w:val="clear" w:color="auto" w:fill="FFFFFF"/>
        </w:rPr>
        <w:t>初级中学全县校长绩效工资项目资金全部来源于本级财政拨款，共计</w:t>
      </w:r>
      <w:r>
        <w:rPr>
          <w:rFonts w:hint="eastAsia" w:ascii="仿宋_GB2312" w:hAnsi="仿宋_GB2312" w:eastAsia="仿宋_GB2312" w:cs="宋体"/>
          <w:color w:val="000000"/>
          <w:sz w:val="32"/>
          <w:szCs w:val="24"/>
          <w:highlight w:val="none"/>
          <w:shd w:val="clear" w:color="auto" w:fill="FFFFFF"/>
          <w:lang w:val="en-US" w:eastAsia="zh-CN"/>
        </w:rPr>
        <w:t>13511</w:t>
      </w:r>
      <w:r>
        <w:rPr>
          <w:rFonts w:hint="eastAsia" w:ascii="仿宋_GB2312" w:hAnsi="仿宋_GB2312" w:eastAsia="仿宋_GB2312" w:cs="宋体"/>
          <w:color w:val="000000"/>
          <w:sz w:val="32"/>
          <w:szCs w:val="24"/>
          <w:highlight w:val="none"/>
          <w:shd w:val="clear" w:color="auto" w:fill="FFFFFF"/>
        </w:rPr>
        <w:t xml:space="preserve"> 元。学校未安排自筹资金用于该项目。所有资金均已按照计划安排落实到位，确保了项目顺利实施。</w:t>
      </w:r>
    </w:p>
    <w:p w14:paraId="65E1047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2.项目资金（主要是指财政资金）实际使用情况，包括项目主要内容和涉及范围。</w:t>
      </w:r>
    </w:p>
    <w:p w14:paraId="0553D0E7">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 xml:space="preserve">项目资金主要用于发放校长绩效工资，具体包括校长、书记和副校长的绩效工资。本年度，项目资金实际支出 </w:t>
      </w:r>
      <w:r>
        <w:rPr>
          <w:rFonts w:hint="eastAsia" w:ascii="仿宋_GB2312" w:hAnsi="仿宋_GB2312" w:eastAsia="仿宋_GB2312" w:cs="宋体"/>
          <w:color w:val="000000"/>
          <w:sz w:val="32"/>
          <w:szCs w:val="24"/>
          <w:highlight w:val="none"/>
          <w:shd w:val="clear" w:color="auto" w:fill="FFFFFF"/>
          <w:lang w:val="en-US" w:eastAsia="zh-CN"/>
        </w:rPr>
        <w:t>13511</w:t>
      </w:r>
      <w:r>
        <w:rPr>
          <w:rFonts w:hint="eastAsia" w:ascii="仿宋_GB2312" w:hAnsi="仿宋_GB2312" w:eastAsia="仿宋_GB2312" w:cs="宋体"/>
          <w:color w:val="000000"/>
          <w:sz w:val="32"/>
          <w:szCs w:val="24"/>
          <w:highlight w:val="none"/>
          <w:shd w:val="clear" w:color="auto" w:fill="FFFFFF"/>
        </w:rPr>
        <w:t xml:space="preserve"> 元，主要用于以下方面：</w:t>
      </w:r>
    </w:p>
    <w:p w14:paraId="625EE4E5">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享受校长绩效工资人数：4 人，包括校长 1 人、书记 1 人、副校长 2 人。</w:t>
      </w:r>
    </w:p>
    <w:p w14:paraId="17128E85">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绩效工资发放：严格按照国家和地方的相关政策，按时足额发放绩效工资，确保校长能够获得稳定且合理的收入</w:t>
      </w:r>
    </w:p>
    <w:p w14:paraId="0B4D823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3.项目资金管理情况（包括管理制度、办法的制订及执行情况）。</w:t>
      </w:r>
    </w:p>
    <w:p w14:paraId="3E8D3B8E">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为确保项目资金的合理使用和管理，学校制定了《全县校长绩效工资专项资金管理制度》，明确了资金的使用范围、审批流程、报销要求等。在执行过程中，严格按照制度要求进行操作，确保每一笔资金的使用都有据可依、有章可循。同时，学校定期对资金使用情况进行内部审计和检查，及时发现并纠正存在的问题，保障资金的安全和合规使用。</w:t>
      </w:r>
    </w:p>
    <w:p w14:paraId="1833DB05">
      <w:pPr>
        <w:spacing w:line="560" w:lineRule="exact"/>
        <w:ind w:firstLine="640" w:firstLineChars="200"/>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4.项目资金支出及拨付合规性情况。</w:t>
      </w:r>
    </w:p>
    <w:p w14:paraId="6296F4F1">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资金支出及拨付过程中，学校严格遵守国家相关法律法规和财务管理制度，确保资金支出的合规性。所有资金支出均经过严格的审批程序，由经办人、部门负责人、财务负责人及学校领导逐级审核签字后方能支付。同时，学校按照财政部门的要求，及时准确地报送资金使用情况报表，确保资金拨付的及时性和准确性。经自查，本年度项目资金支出及拨付均符合相关规定，未发现违规行为。</w:t>
      </w:r>
    </w:p>
    <w:p w14:paraId="7AB2D560">
      <w:pPr>
        <w:numPr>
          <w:ilvl w:val="0"/>
          <w:numId w:val="1"/>
        </w:num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年初绩效目标及其衡量指标设定情况。</w:t>
      </w:r>
    </w:p>
    <w:p w14:paraId="7231442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年初，学校根据全县校长绩效工资项目的实际情况，设定了以下绩效目标及衡量指标：</w:t>
      </w:r>
    </w:p>
    <w:p w14:paraId="2CD74C3B">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绩效目标：通过发放校长绩效工资，提高校长工资收入，增强幸福感，同时激发校长工作热情和激情，带好班子，做表率，提高学校教育教学水平，努力满足人民群众对优质教育的需求。</w:t>
      </w:r>
    </w:p>
    <w:p w14:paraId="1974182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衡量指标：</w:t>
      </w:r>
    </w:p>
    <w:p w14:paraId="389F3F7B">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数量指标：享受校长绩效工资人数=4 人。</w:t>
      </w:r>
    </w:p>
    <w:p w14:paraId="68EB01F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质量指标：校长绩效发放合规率=100%。</w:t>
      </w:r>
    </w:p>
    <w:p w14:paraId="4679B68C">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时效指标：项目完成时间在 2024 年 12 月 31 日前。</w:t>
      </w:r>
    </w:p>
    <w:p w14:paraId="74A1B13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成本指标：项目总成本≤13511 元。</w:t>
      </w:r>
    </w:p>
    <w:p w14:paraId="16ED118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效益指标：提高校长工作积极性，效果明显；提高校长领导能力，效果明显。</w:t>
      </w:r>
    </w:p>
    <w:p w14:paraId="3CDB3593">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满意度指标：享受校长绩效的校长书记满意度≥98%。</w:t>
      </w:r>
      <w:r>
        <w:rPr>
          <w:rFonts w:hint="eastAsia" w:ascii="楷体_GB2312" w:hAnsi="Calibri" w:eastAsia="楷体_GB2312" w:cs="Times New Roman"/>
          <w:sz w:val="32"/>
          <w:szCs w:val="32"/>
          <w:highlight w:val="none"/>
        </w:rPr>
        <w:t>（四）项目组织管理情况。</w:t>
      </w:r>
    </w:p>
    <w:p w14:paraId="5496B8BE">
      <w:pPr>
        <w:pStyle w:val="5"/>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1.项目组织情况（包括项目招投标情况、调整情况、完成验收等）。</w:t>
      </w:r>
    </w:p>
    <w:p w14:paraId="3AA7157E">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本项目未涉及招投标环节。在项目实施过程中，根据实际情况，学校对绩效工资的发放标准和范围进行了适当调整，以更好地满足项目目标。截至本年度末，项目已顺利完成验收，资金使用情况良好，各项绩效目标基本达成。</w:t>
      </w:r>
    </w:p>
    <w:p w14:paraId="04BFCE16">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2.项目管理情况（包括项目管理制度建设、日常检查监督管理等情况）。</w:t>
      </w:r>
    </w:p>
    <w:p w14:paraId="007814F7">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学校高度重视全县校长绩效工资项目的管理工作，建立健全了项目管理制度，明确了各部门及人员的职责分工，确保项目管理工作的有序开展。在日常管理中，学校定期对绩效工资的发放情况进行检查和监督，及时了解校长的工作需求和困难，并积极协调解决。同时，学校还建立了校长培训机制，定期组织校长参加各类培训活动，提升其领导能力和管理水平。</w:t>
      </w:r>
    </w:p>
    <w:p w14:paraId="14D89D43">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二、项目评价工作开展情况</w:t>
      </w:r>
    </w:p>
    <w:p w14:paraId="5B75ECCE">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（一）评价指标构建及细化情况</w:t>
      </w:r>
    </w:p>
    <w:p w14:paraId="28A0BF5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为全面、客观地评价全县校长绩效工资项目的绩效情况，学校构建了以下评价指标体系，并进行了细化：</w:t>
      </w:r>
    </w:p>
    <w:p w14:paraId="67A882E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资金管理指标：</w:t>
      </w:r>
    </w:p>
    <w:p w14:paraId="663EFB97">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资金落实情况：检查资金是否按时足额到位。</w:t>
      </w:r>
    </w:p>
    <w:p w14:paraId="6FA8F96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资金使用合规性：审核资金支出是否符合相关规定。</w:t>
      </w:r>
    </w:p>
    <w:p w14:paraId="2C6B7C7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资金使用效率：评估资金是否得到有效利用。</w:t>
      </w:r>
    </w:p>
    <w:p w14:paraId="3E22EC2C">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项目实施指标：</w:t>
      </w:r>
    </w:p>
    <w:p w14:paraId="78AE081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享受校长绩效工资人数：统计享受绩效工资的校长人数。</w:t>
      </w:r>
    </w:p>
    <w:p w14:paraId="7FF81F5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校长绩效发放合规率：评估绩效工资发放的合规性。</w:t>
      </w:r>
    </w:p>
    <w:p w14:paraId="043B9A2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项目完成时间：检查项目是否在规定时间内完成。</w:t>
      </w:r>
    </w:p>
    <w:p w14:paraId="6C1A802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项目总成本：评估项目实际支出是否符合预算。</w:t>
      </w:r>
    </w:p>
    <w:p w14:paraId="523E1AA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项目效益指标：</w:t>
      </w:r>
    </w:p>
    <w:p w14:paraId="7FC6281B">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提高校长工作积极性：评估项目对校长工作积极性的提升效果。</w:t>
      </w:r>
    </w:p>
    <w:p w14:paraId="54F07DB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提高校长领导能力：评估项目对校长领导能力的提升效果。</w:t>
      </w:r>
    </w:p>
    <w:p w14:paraId="1B61EF8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满意度指标：</w:t>
      </w:r>
    </w:p>
    <w:p w14:paraId="097127A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享受校长绩效的校长书记满意度：通过问卷调查等方式了解校长和书记对项目的满意度。</w:t>
      </w:r>
    </w:p>
    <w:p w14:paraId="7A71D33D">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（二）评价组织实施及流程</w:t>
      </w:r>
    </w:p>
    <w:p w14:paraId="27DAA4CB">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学校成立了全县校长绩效工资项目绩效评价工作小组，负责组织实施绩效评价工作。评价工作按照以下流程进行：</w:t>
      </w:r>
    </w:p>
    <w:p w14:paraId="4CFDE912">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前期准备：制定评价工作方案，明确评价指标、评价方法和评价时间安排。</w:t>
      </w:r>
    </w:p>
    <w:p w14:paraId="6E795772">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数据收集：通过财务报表、问卷调查、访谈等方式收集项目实施过程中的相关数据和资料。</w:t>
      </w:r>
    </w:p>
    <w:p w14:paraId="52FB8486">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数据分析：对收集到的数据进行整理和分析，对照评价指标进行评估。</w:t>
      </w:r>
    </w:p>
    <w:p w14:paraId="754A96EF">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撰写评价报告：根据数据分析结果，撰写项目绩效评价报告，总结项目实施情况，提出存在的问题及改进建议。</w:t>
      </w:r>
    </w:p>
    <w:p w14:paraId="303618D1">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结果反馈与应用：将评价结果反馈给相关部门和人员，作为今后项目改进和决策的依据。</w:t>
      </w:r>
    </w:p>
    <w:p w14:paraId="120EBDD2">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三、项目绩效情况</w:t>
      </w:r>
    </w:p>
    <w:p w14:paraId="63797DBA">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（一）绩效目标完成情况</w:t>
      </w:r>
    </w:p>
    <w:p w14:paraId="3B19EC9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经过一年的努力，全县校长绩效工资项目基本完成了年初设定的绩效目标：</w:t>
      </w:r>
    </w:p>
    <w:p w14:paraId="1BB17634">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享受校长绩效工资人数：4 人，完成率 100%。</w:t>
      </w:r>
    </w:p>
    <w:p w14:paraId="4911E264">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校长绩效发放合规率：100%。</w:t>
      </w:r>
    </w:p>
    <w:p w14:paraId="00D3153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项目完成时间：在 2024 年 12 月 31 日前完成。</w:t>
      </w:r>
    </w:p>
    <w:p w14:paraId="71FBA6B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项目总成本：13511 元，符合预算要求。</w:t>
      </w:r>
    </w:p>
    <w:p w14:paraId="316F030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提高校长工作积极性：项目有效提高了校长的工作积极性，校长在日常工作中表现出更高的热情和创造力。</w:t>
      </w:r>
    </w:p>
    <w:p w14:paraId="33340B4B">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提高校长领导能力：项目促进了校长领导能力的提升，校长在团队管理、教学指导等方面表现出色。</w:t>
      </w:r>
    </w:p>
    <w:p w14:paraId="6E6E53C8">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享受校长绩效的校长书记满意度：98%，达到预期目标。</w:t>
      </w:r>
      <w:r>
        <w:rPr>
          <w:rFonts w:hint="eastAsia" w:ascii="楷体_GB2312" w:hAnsi="Calibri" w:eastAsia="楷体_GB2312" w:cs="Times New Roman"/>
          <w:sz w:val="32"/>
          <w:szCs w:val="32"/>
          <w:highlight w:val="none"/>
        </w:rPr>
        <w:t>（二）绩效分析</w:t>
      </w:r>
    </w:p>
    <w:p w14:paraId="35F8C1A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1.资金管理方面：项目资金管理较为规范，资金落实及时，使用合规，未发现违规使用资金的情况。资金使用效率较高，基本满足了项目实施的需求。</w:t>
      </w:r>
    </w:p>
    <w:p w14:paraId="21FFC44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2.项目实施方面：在绩效工资的发放标准和范围调整、资金拨付等环节均按照计划顺利实施，各项绩效目标基本达成。通过定期监督检查，及时发现并解决了项目实施过程中存在的问题，保障了项目的顺利推进。</w:t>
      </w:r>
    </w:p>
    <w:p w14:paraId="706E510C">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3.项目效益方面：项目有效提高了校长的工作积极性和领导能力，促进了学校教育教学水平的提升，满足了人民群众对优质教育的需求。</w:t>
      </w:r>
    </w:p>
    <w:p w14:paraId="01DC0E76">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（三）总体评价</w:t>
      </w:r>
    </w:p>
    <w:p w14:paraId="5BC65FD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总体而言，2024 年环江毛南族自治县第四初级中学全县校长绩效工资项目实施效果良好，基本达到了预期的绩效目标。项目资金管理规范，项目实施顺利，取得了较好的社会效益，为校长提供了有力的支持，促进了学校的高质量发展。</w:t>
      </w:r>
    </w:p>
    <w:p w14:paraId="38DD2CFF">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四、主要经验做法、存在的问题和原因分析</w:t>
      </w:r>
    </w:p>
    <w:p w14:paraId="73B3322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（一）主要经验做法</w:t>
      </w:r>
    </w:p>
    <w:p w14:paraId="7153EE7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1.加强资金管理：建立健全项目资金管理制度，严格审批流程，确保资金使用合规、高效。</w:t>
      </w:r>
    </w:p>
    <w:p w14:paraId="02B0CE0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2.精准绩效发放：根据校长的工作表现和绩效考核结果，精准发放绩效工资，确保激励效果。</w:t>
      </w:r>
    </w:p>
    <w:p w14:paraId="2D6CBF9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3.强化监督检查：建立项目监督检查机制，定期对项目实施情况进行检查和评估，及时发现并解决问题，保障项目的顺利实施。</w:t>
      </w:r>
    </w:p>
    <w:p w14:paraId="1C48467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4.注重校长培训：定期组织校长参加各类培训活动，提升其领导能力和管理水平，增强校长队伍的稳定性。</w:t>
      </w:r>
    </w:p>
    <w:p w14:paraId="05CDE36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（二）存在的问题</w:t>
      </w:r>
    </w:p>
    <w:p w14:paraId="7C29F0B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1.绩效考核标准有待优化：部分校长反映，现有的绩效考核标准在一定程度上仍不够细化，建议进一步优化绩效考核标准，使其更具科学性和可操作性。</w:t>
      </w:r>
    </w:p>
    <w:p w14:paraId="2ACA92F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2.培训内容针对性不足：部分校长反映，培训内容与实际工作需求存在一定脱节，针对性不够强，未能充分满足其个性化发展需求。</w:t>
      </w:r>
    </w:p>
    <w:p w14:paraId="6D330B5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（三）原因分析</w:t>
      </w:r>
    </w:p>
    <w:p w14:paraId="56CBCE1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1.绩效考核标准有待优化：主要是由于在绩效考核标准制定过程中，未能充分考虑校长工作的多样性和复杂性，导致现有标准在实际应用中存在一定的局限性。</w:t>
      </w:r>
    </w:p>
    <w:p w14:paraId="28D4EE8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2.培训内容针对性不足：主要是由于在培训需求调研环节不够深入细致，未能充分了解校长的实际需求和工作现状，导致培训内容与实际需求存在一定偏差。</w:t>
      </w:r>
    </w:p>
    <w:p w14:paraId="0D5B5980">
      <w:pPr>
        <w:spacing w:line="560" w:lineRule="exact"/>
        <w:ind w:firstLine="640" w:firstLineChars="200"/>
        <w:outlineLvl w:val="1"/>
        <w:rPr>
          <w:rFonts w:hint="eastAsia"/>
        </w:rPr>
      </w:pPr>
      <w:r>
        <w:rPr>
          <w:rFonts w:hint="eastAsia" w:ascii="黑体" w:hAnsi="黑体" w:eastAsia="黑体" w:cs="Times New Roman"/>
          <w:sz w:val="32"/>
          <w:szCs w:val="32"/>
          <w:highlight w:val="none"/>
        </w:rPr>
        <w:t>五、工作改进建议</w:t>
      </w:r>
    </w:p>
    <w:bookmarkEnd w:id="0"/>
    <w:p w14:paraId="65D1452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1.优化绩效考核标准：进一步细化和完善绩效考核标准，使其更具科学性和可操作性，确保绩效考核能够准确反映校长的工作表现和贡献。</w:t>
      </w:r>
    </w:p>
    <w:p w14:paraId="22E6085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2.优化培训内容：进一步加强培训需求调研，深入了解校长的实际需求和工作现状，结合学校发展需求，制定更具针对性的培训计划，提高培训效果。</w:t>
      </w:r>
    </w:p>
    <w:p w14:paraId="1F70EF7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3.完善激励机制：建立多元化的激励机制，除了绩效工资外，还可以通过荣誉表彰、职务晋升等方式，进一步激发校长的工作积极性和创造力。</w:t>
      </w:r>
    </w:p>
    <w:p w14:paraId="5F2EDE9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4.加强沟通交流：进一步加强与校长的沟通交流，定期召开座谈会，及时了解其工作和生活中的困难和需求，积极协调解决，营造良好的工作氛围。</w:t>
      </w:r>
    </w:p>
    <w:p w14:paraId="62D5282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通过以上改进措施，进一步提升全县校长绩效工资项目的实施效果，为校长创造更好的工作环境，促进学校教育事业的持续健康发展。</w:t>
      </w:r>
    </w:p>
    <w:p w14:paraId="388A2CE3">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p>
    <w:p w14:paraId="0C99B22C">
      <w:pPr>
        <w:rPr>
          <w:rFonts w:hint="eastAsia"/>
          <w:lang w:val="en-US" w:eastAsia="zh-CN"/>
        </w:rPr>
      </w:pPr>
    </w:p>
    <w:p w14:paraId="64620E0E">
      <w:pPr>
        <w:spacing w:line="500" w:lineRule="exact"/>
        <w:ind w:firstLine="3520" w:firstLineChars="1100"/>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环江毛南族自治县第四初级中学</w:t>
      </w:r>
    </w:p>
    <w:p w14:paraId="4D5EB74A">
      <w:pPr>
        <w:spacing w:line="500" w:lineRule="exact"/>
        <w:ind w:firstLine="640" w:firstLineChars="200"/>
        <w:jc w:val="cente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 xml:space="preserve">                 </w:t>
      </w:r>
      <w:bookmarkStart w:id="1" w:name="_GoBack"/>
      <w:bookmarkEnd w:id="1"/>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2025年4月24日</w:t>
      </w:r>
    </w:p>
    <w:p w14:paraId="36FD427E">
      <w:pPr>
        <w:rPr>
          <w:rFonts w:hint="eastAsia"/>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F89C660-C0B1-4776-B636-F3BC14E1B99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30B573AA-1DD4-4428-B671-E2001A8F6675}"/>
  </w:font>
  <w:font w:name="仿宋">
    <w:panose1 w:val="02010609060101010101"/>
    <w:charset w:val="86"/>
    <w:family w:val="auto"/>
    <w:pitch w:val="default"/>
    <w:sig w:usb0="800002BF" w:usb1="38CF7CFA" w:usb2="00000016" w:usb3="00000000" w:csb0="00040001" w:csb1="00000000"/>
  </w:font>
  <w:font w:name="方正小标宋简体">
    <w:panose1 w:val="02010600010101010101"/>
    <w:charset w:val="86"/>
    <w:family w:val="auto"/>
    <w:pitch w:val="default"/>
    <w:sig w:usb0="00000001" w:usb1="080E0000" w:usb2="00000000" w:usb3="00000000" w:csb0="00040000" w:csb1="00000000"/>
    <w:embedRegular r:id="rId3" w:fontKey="{FBCD9CEC-73DE-40C7-A042-B534DAF80878}"/>
  </w:font>
  <w:font w:name="仿宋_GB2312">
    <w:altName w:val="仿宋"/>
    <w:panose1 w:val="02010609030101010101"/>
    <w:charset w:val="86"/>
    <w:family w:val="auto"/>
    <w:pitch w:val="default"/>
    <w:sig w:usb0="00000000" w:usb1="00000000" w:usb2="00000000" w:usb3="00000000" w:csb0="00040000" w:csb1="00000000"/>
    <w:embedRegular r:id="rId4" w:fontKey="{F464F493-7A39-41DB-B792-C6ED803B5ACE}"/>
  </w:font>
  <w:font w:name="楷体_GB2312">
    <w:altName w:val="楷体"/>
    <w:panose1 w:val="02010609030101010101"/>
    <w:charset w:val="86"/>
    <w:family w:val="auto"/>
    <w:pitch w:val="default"/>
    <w:sig w:usb0="00000000" w:usb1="00000000" w:usb2="00000000" w:usb3="00000000" w:csb0="00040000" w:csb1="00000000"/>
    <w:embedRegular r:id="rId5" w:fontKey="{ACCF9FA4-4964-4030-AC07-687940556365}"/>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61B9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DC8DE3">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FDC8DE3">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9E698E"/>
    <w:multiLevelType w:val="singleLevel"/>
    <w:tmpl w:val="699E698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E2D73"/>
    <w:rsid w:val="0EA27C68"/>
    <w:rsid w:val="2AA601D1"/>
    <w:rsid w:val="3F300D98"/>
    <w:rsid w:val="435761BF"/>
    <w:rsid w:val="4E244220"/>
    <w:rsid w:val="51D35744"/>
    <w:rsid w:val="5B781951"/>
    <w:rsid w:val="5D6021BA"/>
    <w:rsid w:val="7C7F2F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0"/>
    <w:pPr>
      <w:keepNext/>
      <w:keepLines/>
      <w:autoSpaceDE/>
      <w:autoSpaceDN/>
      <w:adjustRightInd/>
      <w:snapToGrid/>
      <w:spacing w:line="360" w:lineRule="auto"/>
      <w:ind w:firstLine="600" w:firstLineChars="200"/>
      <w:outlineLvl w:val="2"/>
    </w:pPr>
    <w:rPr>
      <w:rFonts w:ascii="Times New Roman" w:hAnsi="仿宋" w:eastAsia="黑体" w:cs="Times New Roman"/>
      <w:bCs/>
      <w:spacing w:val="0"/>
      <w:kern w:val="0"/>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3587</Words>
  <Characters>3661</Characters>
  <Lines>0</Lines>
  <Paragraphs>0</Paragraphs>
  <TotalTime>48</TotalTime>
  <ScaleCrop>false</ScaleCrop>
  <LinksUpToDate>false</LinksUpToDate>
  <CharactersWithSpaces>3712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2025-04-24T01:46:00Z</dcterms:created>
  <dc:creator>11973</dc:creator>
  <cp:lastModifiedBy>WPS_1740109420</cp:lastModifiedBy>
  <dcterms:modified xsi:type="dcterms:W3CDTF">2025-05-12T04:02:11Z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eyJoZGlkIjoiYjY5YTA0ZWQ1N2YwNDE3NzVkYWRkZjQyNWE1NjliOTUiLCJ1c2VySWQiOiIxNjc5OTYwNjkxIn0=</vt:lpwstr>
  </property>
  <property fmtid="{D5CDD505-2E9C-101B-9397-08002B2CF9AE}" pid="4" name="ICV">
    <vt:lpwstr>6D723C029EE64125AC2C425E59A7B85C_12</vt:lpwstr>
  </property>
</Properties>
</file>