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义务教育中央级公用经费</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义务教育中央级公用经费项目是国家为保障义务教育阶段学校正常运转、持续改善学校基本办学条件、促进教育健康发展而设立的专项资金项目。环江毛南族自治县第四初级中学作为一所义务教育阶段学校，积极响应国家政策，申请并获批该项目，旨在通过资金支持，优化学校资源配置，提升教育教学质量，满足学生日益增长的教育需求。</w:t>
      </w:r>
      <w:r>
        <w:rPr>
          <w:rFonts w:hint="eastAsia" w:ascii="仿宋_GB2312" w:hAnsi="Calibri" w:eastAsia="仿宋_GB2312" w:cs="Times New Roman"/>
          <w:sz w:val="32"/>
          <w:szCs w:val="32"/>
          <w:highlight w:val="none"/>
        </w:rPr>
        <w:t>2.资金用途及目的。</w:t>
      </w:r>
    </w:p>
    <w:p w14:paraId="309AE22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保障学校的日常运转，包括但不限于教学设备购置、教学设施维护、办公用品采购、教师培训等。其核心目的在于通过合理分配和使用资金，持续改善学校基本办学条件，提升教育教学质量，促进学校教育事业的健康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34E61F1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 年，环江毛南族自治</w:t>
      </w:r>
      <w:r>
        <w:rPr>
          <w:rFonts w:hint="eastAsia" w:ascii="仿宋_GB2312" w:hAnsi="仿宋_GB2312" w:eastAsia="仿宋_GB2312" w:cs="宋体"/>
          <w:color w:val="000000"/>
          <w:sz w:val="32"/>
          <w:szCs w:val="24"/>
          <w:highlight w:val="none"/>
          <w:shd w:val="clear" w:color="auto" w:fill="FFFFFF"/>
          <w:lang w:val="en-US" w:eastAsia="zh-CN"/>
        </w:rPr>
        <w:t>县第四</w:t>
      </w:r>
      <w:r>
        <w:rPr>
          <w:rFonts w:hint="eastAsia" w:ascii="仿宋_GB2312" w:hAnsi="仿宋_GB2312" w:eastAsia="仿宋_GB2312" w:cs="宋体"/>
          <w:color w:val="000000"/>
          <w:sz w:val="32"/>
          <w:szCs w:val="24"/>
          <w:highlight w:val="none"/>
          <w:shd w:val="clear" w:color="auto" w:fill="FFFFFF"/>
        </w:rPr>
        <w:t xml:space="preserve">初级中学义务教育中央级公用经费项目资金全部来源于上级财政拨款，共计 </w:t>
      </w:r>
      <w:r>
        <w:rPr>
          <w:rFonts w:hint="eastAsia" w:ascii="仿宋_GB2312" w:hAnsi="仿宋_GB2312" w:eastAsia="仿宋_GB2312" w:cs="宋体"/>
          <w:color w:val="000000"/>
          <w:sz w:val="32"/>
          <w:szCs w:val="24"/>
          <w:highlight w:val="none"/>
          <w:shd w:val="clear" w:color="auto" w:fill="FFFFFF"/>
          <w:lang w:val="en-US" w:eastAsia="zh-CN"/>
        </w:rPr>
        <w:t>1470314</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45D3D7AA">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项目资金主要用于保障学校的日常运转，具体包括：</w:t>
      </w:r>
    </w:p>
    <w:p w14:paraId="71EC8EC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教学设备购置：购置必要的教学设备，如多媒体设备、实验室器材等，提升教学现代化水平。</w:t>
      </w:r>
    </w:p>
    <w:p w14:paraId="2A86E1D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教学设施维护：对学校的教学楼、实验室、操场等教学设施进行定期维护和修缮，确保设施安全可用。</w:t>
      </w:r>
    </w:p>
    <w:p w14:paraId="4DECA4AA">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办公用品采购：采购日常办公用品，保障学校行政管理工作的正常开展。</w:t>
      </w:r>
    </w:p>
    <w:p w14:paraId="6F3FE871">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教师培训：组织教师参加各类培训活动，提升教师的专业素养和教学能力。</w:t>
      </w:r>
    </w:p>
    <w:p w14:paraId="17128E8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本年度，项目资金实际支出 </w:t>
      </w:r>
      <w:r>
        <w:rPr>
          <w:rFonts w:hint="eastAsia" w:ascii="仿宋_GB2312" w:hAnsi="仿宋_GB2312" w:eastAsia="仿宋_GB2312" w:cs="宋体"/>
          <w:color w:val="000000"/>
          <w:sz w:val="32"/>
          <w:szCs w:val="24"/>
          <w:highlight w:val="none"/>
          <w:shd w:val="clear" w:color="auto" w:fill="FFFFFF"/>
          <w:lang w:val="en-US" w:eastAsia="zh-CN"/>
        </w:rPr>
        <w:t>1470314</w:t>
      </w:r>
      <w:r>
        <w:rPr>
          <w:rFonts w:hint="eastAsia" w:ascii="仿宋_GB2312" w:hAnsi="仿宋_GB2312" w:eastAsia="仿宋_GB2312" w:cs="宋体"/>
          <w:color w:val="000000"/>
          <w:sz w:val="32"/>
          <w:szCs w:val="24"/>
          <w:highlight w:val="none"/>
          <w:shd w:val="clear" w:color="auto" w:fill="FFFFFF"/>
        </w:rPr>
        <w:t xml:space="preserve">元，主要用于上述方面，覆盖了学校全体师生，涉及学生人数 </w:t>
      </w:r>
      <w:r>
        <w:rPr>
          <w:rFonts w:hint="eastAsia" w:ascii="仿宋_GB2312" w:hAnsi="仿宋_GB2312" w:eastAsia="仿宋_GB2312" w:cs="宋体"/>
          <w:color w:val="000000"/>
          <w:sz w:val="32"/>
          <w:szCs w:val="24"/>
          <w:highlight w:val="none"/>
          <w:shd w:val="clear" w:color="auto" w:fill="FFFFFF"/>
          <w:lang w:val="en-US" w:eastAsia="zh-CN"/>
        </w:rPr>
        <w:t>1683</w:t>
      </w:r>
      <w:r>
        <w:rPr>
          <w:rFonts w:hint="eastAsia" w:ascii="仿宋_GB2312" w:hAnsi="仿宋_GB2312" w:eastAsia="仿宋_GB2312" w:cs="宋体"/>
          <w:color w:val="000000"/>
          <w:sz w:val="32"/>
          <w:szCs w:val="24"/>
          <w:highlight w:val="none"/>
          <w:shd w:val="clear" w:color="auto" w:fill="FFFFFF"/>
        </w:rPr>
        <w:t xml:space="preserve"> 人。</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3E8D3B8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中央级公用经费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1833DB0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7C4770C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年初，学校根据义务教育中央级公用经费项目的实际情况，设定了以下绩效目标及衡量指标：</w:t>
      </w:r>
    </w:p>
    <w:p w14:paraId="7F068CC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绩效目标：保障学校正常运转，持续改善学校基本办学条件，促进教育健康发展。</w:t>
      </w:r>
    </w:p>
    <w:p w14:paraId="31F7EDD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7D59D2F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数量指标：学生人数≥1683 人。</w:t>
      </w:r>
    </w:p>
    <w:p w14:paraId="798E0F8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质量指标：支持合规率=100%。</w:t>
      </w:r>
    </w:p>
    <w:p w14:paraId="6DA426C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4EC50CF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成本指标：补助标准=425 元/生/学期；项目总成本≤1470314 元。</w:t>
      </w:r>
    </w:p>
    <w:p w14:paraId="00FB7EC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效益指标：保障学校各项工作正常运转，效果明显；保障学校办公经费，提升教育服务质量，效果明显。</w:t>
      </w:r>
    </w:p>
    <w:p w14:paraId="7BAE881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满意度指标：在校师生满意度≥98%。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校日常运转和发展的需求。截至本年度末，项目已顺利完成验收，资金使用情况良好，各项绩效目标基本达成。2.项目管理情况（包括项目管理制度建设、日常检查监督管理等情况）。</w:t>
      </w:r>
    </w:p>
    <w:p w14:paraId="723FC267">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中央级公用经费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1B31AAE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为全面、客观地评价义务教育中央级公用经费项目的绩效情况，学校构建了以下评价指标体系，并进行了细化：</w:t>
      </w:r>
    </w:p>
    <w:p w14:paraId="4DB42DB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4268D65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2480D07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026C13C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194B12E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316EFA0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学生人数：统计享受项目支持的学生人数。</w:t>
      </w:r>
    </w:p>
    <w:p w14:paraId="7E13AF2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支持合规率：评估项目资金使用的合规性。</w:t>
      </w:r>
    </w:p>
    <w:p w14:paraId="747E885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251516E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补助标准：评估项目资金分配是否符合标准。</w:t>
      </w:r>
    </w:p>
    <w:p w14:paraId="3F39B48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0CF737B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0745CDD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保障学校各项工作正常运转：评估项目对学校日常运转的保障效果。</w:t>
      </w:r>
    </w:p>
    <w:p w14:paraId="7E3E367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保障学校办公经费，提升教育服务质量：评估项目对教育服务质量的提升效果。</w:t>
      </w:r>
    </w:p>
    <w:p w14:paraId="6C5343B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58B3043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在校师生满意度：通过问卷调查等方式了解在校师生对项目的满意度。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04C16B6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学校成立了义务教育中央级公用经费项目绩效评价工作小组，负责组织实施绩效评价工作。评价工作按照以下流程进行：</w:t>
      </w:r>
    </w:p>
    <w:p w14:paraId="4FAF84E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203AEF1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4F6109C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5563EE2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6735CC4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539F407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经过一年的努力，义务教育中央级公用经费项目基本完成了年初设定的绩效目标：</w:t>
      </w:r>
    </w:p>
    <w:p w14:paraId="724647D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学生人数：1683人，完成率 100%。</w:t>
      </w:r>
    </w:p>
    <w:p w14:paraId="5A89E10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支持合规率：100%。</w:t>
      </w:r>
    </w:p>
    <w:p w14:paraId="6EBF648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1132048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补助标准：425 元/生/学期，符合标准。</w:t>
      </w:r>
    </w:p>
    <w:p w14:paraId="16ACF2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项目总成本：1458181 元，符合预算要求。</w:t>
      </w:r>
    </w:p>
    <w:p w14:paraId="3F33E81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保障学校各项工作正常运转：项目有效保障了学校各项工作正常运转，学校日常教学、管理等活动顺利开展。</w:t>
      </w:r>
    </w:p>
    <w:p w14:paraId="12BE031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保障学校办公经费，提升教育服务质量：项目促进了学校办公经费的保障，提升了教育服务质量，优化了学校资源配置。</w:t>
      </w:r>
    </w:p>
    <w:p w14:paraId="600A804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60F6CAF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1.资金管理方面：项目资金管理较为规范，资金落实及时，使用合规，未发现违规使用资金的情况。资金使用效率较高，基本满足了项目实施的需求。</w:t>
      </w:r>
    </w:p>
    <w:p w14:paraId="4E66A1F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2.项目实施方面：在资金使用方向调整、资金拨付等环节均按照计划顺利实施，各项绩效目标基本达成。通过定期监督检查，及时发现并解决了项目实施过程中存在的问题，保障了项目的顺利推进。</w:t>
      </w:r>
    </w:p>
    <w:p w14:paraId="400E33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3.项目效益方面：项目有效保障了学校各项工作正常运转，促进了学校办公经费的保障，提升了教育服务质量，优化了学校资源配置，促进了学校教育事业的健康发展。</w:t>
      </w:r>
    </w:p>
    <w:p w14:paraId="01DC0E76">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25D1E8C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第四初级中学义务教育中央级公用经费项目实施效果良好，基本达到了预期的绩效目标。项目资金管理规范，项目实施顺利，取得了较好的社会效益，为学校教育事业的健康发展提供了有力支持。</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5E8E3FF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47BD3DF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1.加强资金管理：建立健全项目资金管理制度，严格审批流程，确保资金使用合规、高效。</w:t>
      </w:r>
    </w:p>
    <w:p w14:paraId="4788450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2.精准资金分配：根据学校实际需求，合理分配资金，确保资金使用方向符合学校发展需求。</w:t>
      </w:r>
    </w:p>
    <w:p w14:paraId="0B71428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3.强化监督检查：建立项目监督检查机制，定期对项目实施情况进行检查和评估，及时发现并解决问题，保障项目的顺利实施。</w:t>
      </w:r>
    </w:p>
    <w:p w14:paraId="3A66B8D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4.注重师生需求：通过问卷调查等方式，了解师生对项目的需求和建议，及时调整项目实施方向，确保项目实施效果。</w:t>
      </w:r>
    </w:p>
    <w:p w14:paraId="3BCEEA3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44D1F2B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1.资金使用精度不足：由于办公用品价格存在差异，支付票据无法完成精确到整数，导致项目资金使用存在细微偏差。</w:t>
      </w:r>
    </w:p>
    <w:p w14:paraId="539BEF9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2.项目宣传力度不足：部分师生对项目的具体内容和目标了解不够深入，建议进一步加大宣传力度，提高师生对项目的知晓度。</w:t>
      </w:r>
    </w:p>
    <w:p w14:paraId="2772F04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57F4067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1.资金使用精度不足：主要是由于办公用品市场价格波动较大，且采购过程中存在零头费用，导致支付金额无法完全精确到整数。</w:t>
      </w:r>
    </w:p>
    <w:p w14:paraId="76C8C7F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2.项目宣传力度不足：主要是由于宣传渠道有限，部分师生未能及时获取项目信息。此外，部分师生对项目政策的理解存在偏差，导致宣传效果不佳。</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3D88B7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1.优化资金使用管理：进一步优化资金使用管理流程，提高资金使用精度，减少因市场价格波动等因素导致的资金使用偏差。</w:t>
      </w:r>
    </w:p>
    <w:p w14:paraId="754DBC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2.加大项目宣传力度：拓宽宣传渠道，通过学校官网、微信公众号、家长会等多种方式，加强对项目政策的宣传，提高师生对项目的知晓度和满意度。</w:t>
      </w:r>
    </w:p>
    <w:p w14:paraId="704404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3.加强沟通交流：定期与师生进行沟通交流，及时了解他们的需求和建议，不断优化项目实施过程，提高项目实施效果。</w:t>
      </w:r>
    </w:p>
    <w:p w14:paraId="3DF226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4.完善监督检查机制：进一步完善项目监督检查机制，定期对项目实施情况进行全面检查和评估，及时发现并解决问题，确保项目资金使用安全、合规、高效。</w:t>
      </w:r>
    </w:p>
    <w:p w14:paraId="62D528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通过以上改进措施，进一步提升义务教育中央级公用经费项目的实施效果，为学校教育事业的健康发展提供更好的支持，促进教育公平和均衡发展。</w:t>
      </w:r>
    </w:p>
    <w:p w14:paraId="388A2CE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0C99B22C">
      <w:pPr>
        <w:rPr>
          <w:rFonts w:hint="eastAsia"/>
          <w:lang w:val="en-US" w:eastAsia="zh-CN"/>
        </w:rPr>
      </w:pPr>
    </w:p>
    <w:p w14:paraId="64620E0E">
      <w:pPr>
        <w:spacing w:line="500" w:lineRule="exact"/>
        <w:ind w:firstLine="3520" w:firstLineChars="11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00" w:lineRule="exact"/>
        <w:ind w:firstLine="640" w:firstLineChars="200"/>
        <w:jc w:val="cente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2025年4月24日</w:t>
      </w:r>
    </w:p>
    <w:p w14:paraId="36FD427E">
      <w:pPr>
        <w:rPr>
          <w:rFonts w:hint="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95D0BC-1BEA-498D-A8FA-49870CA259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001E9F5-D4A4-415C-9CEC-66C9D8CFAD6E}"/>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895A012F-A380-4553-BA9B-5A4D012273FE}"/>
  </w:font>
  <w:font w:name="仿宋_GB2312">
    <w:altName w:val="仿宋"/>
    <w:panose1 w:val="02010609030101010101"/>
    <w:charset w:val="86"/>
    <w:family w:val="auto"/>
    <w:pitch w:val="default"/>
    <w:sig w:usb0="00000000" w:usb1="00000000" w:usb2="00000000" w:usb3="00000000" w:csb0="00040000" w:csb1="00000000"/>
    <w:embedRegular r:id="rId4" w:fontKey="{A4546160-ECDC-4C0C-AB6A-0BBDEE1E6CC3}"/>
  </w:font>
  <w:font w:name="楷体_GB2312">
    <w:altName w:val="楷体"/>
    <w:panose1 w:val="02010609030101010101"/>
    <w:charset w:val="86"/>
    <w:family w:val="auto"/>
    <w:pitch w:val="default"/>
    <w:sig w:usb0="00000000" w:usb1="00000000" w:usb2="00000000" w:usb3="00000000" w:csb0="00040000" w:csb1="00000000"/>
    <w:embedRegular r:id="rId5" w:fontKey="{B5241FEA-5F65-4BC8-8EED-EAFBF13AE7F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EA27C68"/>
    <w:rsid w:val="21A27164"/>
    <w:rsid w:val="3F300D98"/>
    <w:rsid w:val="4E244220"/>
    <w:rsid w:val="51D35744"/>
    <w:rsid w:val="53745930"/>
    <w:rsid w:val="5B781951"/>
    <w:rsid w:val="5EBE1EAF"/>
    <w:rsid w:val="7C7F2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3701</Words>
  <Characters>3795</Characters>
  <Lines>0</Lines>
  <Paragraphs>0</Paragraphs>
  <TotalTime>55</TotalTime>
  <ScaleCrop>false</ScaleCrop>
  <LinksUpToDate>false</LinksUpToDate>
  <CharactersWithSpaces>3843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2025-05-12T07:36:27Z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