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F58AD9">
      <w:pPr>
        <w:spacing w:line="560" w:lineRule="exact"/>
        <w:rPr>
          <w:rFonts w:hint="default" w:ascii="黑体" w:hAnsi="黑体" w:eastAsia="黑体" w:cs="Times New Roman"/>
          <w:sz w:val="32"/>
          <w:szCs w:val="32"/>
          <w:highlight w:val="none"/>
          <w:lang w:val="en-US" w:eastAsia="zh-CN"/>
        </w:rPr>
      </w:pPr>
      <w:bookmarkStart w:id="0" w:name="OLE_LINK6"/>
      <w:r>
        <w:rPr>
          <w:rFonts w:hint="eastAsia" w:ascii="黑体" w:hAnsi="黑体" w:eastAsia="黑体" w:cs="Times New Roman"/>
          <w:sz w:val="32"/>
          <w:szCs w:val="32"/>
          <w:highlight w:val="none"/>
        </w:rPr>
        <w:t>附件</w:t>
      </w:r>
      <w:r>
        <w:rPr>
          <w:rFonts w:hint="eastAsia" w:ascii="黑体" w:hAnsi="黑体" w:eastAsia="黑体" w:cs="Times New Roman"/>
          <w:sz w:val="32"/>
          <w:szCs w:val="32"/>
          <w:highlight w:val="none"/>
          <w:lang w:val="en-US" w:eastAsia="zh-CN"/>
        </w:rPr>
        <w:t>5</w:t>
      </w:r>
    </w:p>
    <w:p w14:paraId="032ED6E1">
      <w:pPr>
        <w:spacing w:line="560" w:lineRule="exact"/>
        <w:jc w:val="both"/>
        <w:outlineLvl w:val="2"/>
        <w:rPr>
          <w:rFonts w:hint="eastAsia" w:ascii="方正小标宋简体" w:hAnsi="Calibri" w:eastAsia="方正小标宋简体" w:cs="Times New Roman"/>
          <w:sz w:val="44"/>
          <w:szCs w:val="44"/>
          <w:highlight w:val="none"/>
        </w:rPr>
      </w:pPr>
    </w:p>
    <w:p w14:paraId="78B60358">
      <w:pPr>
        <w:spacing w:line="560" w:lineRule="exact"/>
        <w:jc w:val="center"/>
        <w:outlineLvl w:val="2"/>
        <w:rPr>
          <w:rFonts w:hint="eastAsia" w:ascii="仿宋_GB2312" w:hAnsi="Calibri" w:eastAsia="仿宋_GB2312" w:cs="Times New Roman"/>
          <w:sz w:val="44"/>
          <w:szCs w:val="44"/>
          <w:highlight w:val="none"/>
        </w:rPr>
      </w:pPr>
      <w:r>
        <w:rPr>
          <w:rFonts w:hint="eastAsia" w:ascii="方正小标宋简体" w:hAnsi="Calibri" w:eastAsia="方正小标宋简体" w:cs="Times New Roman"/>
          <w:sz w:val="44"/>
          <w:szCs w:val="44"/>
          <w:highlight w:val="none"/>
        </w:rPr>
        <w:t>项目</w:t>
      </w:r>
      <w:r>
        <w:rPr>
          <w:rFonts w:hint="eastAsia" w:ascii="方正小标宋简体" w:hAnsi="Calibri" w:eastAsia="方正小标宋简体" w:cs="Times New Roman"/>
          <w:sz w:val="44"/>
          <w:szCs w:val="44"/>
          <w:highlight w:val="none"/>
          <w:lang w:eastAsia="zh-CN"/>
        </w:rPr>
        <w:t>支出</w:t>
      </w:r>
      <w:r>
        <w:rPr>
          <w:rFonts w:hint="eastAsia" w:ascii="方正小标宋简体" w:hAnsi="Calibri" w:eastAsia="方正小标宋简体" w:cs="Times New Roman"/>
          <w:sz w:val="44"/>
          <w:szCs w:val="44"/>
          <w:highlight w:val="none"/>
          <w:lang w:val="en-US" w:eastAsia="zh-CN"/>
        </w:rPr>
        <w:t>部门</w:t>
      </w:r>
      <w:r>
        <w:rPr>
          <w:rFonts w:hint="eastAsia" w:ascii="方正小标宋简体" w:hAnsi="Calibri" w:eastAsia="方正小标宋简体" w:cs="Times New Roman"/>
          <w:sz w:val="44"/>
          <w:szCs w:val="44"/>
          <w:highlight w:val="none"/>
        </w:rPr>
        <w:t>评价报告</w:t>
      </w:r>
    </w:p>
    <w:p w14:paraId="7191B831">
      <w:pPr>
        <w:spacing w:line="560" w:lineRule="exact"/>
        <w:jc w:val="center"/>
        <w:outlineLvl w:val="0"/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方正小标宋简体" w:hAnsi="Calibri" w:eastAsia="方正小标宋简体" w:cs="Times New Roman"/>
          <w:sz w:val="32"/>
          <w:szCs w:val="32"/>
          <w:highlight w:val="none"/>
        </w:rPr>
        <w:t>——</w:t>
      </w: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highlight w:val="none"/>
        </w:rPr>
        <w:t>环江毛南族自治县</w:t>
      </w: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highlight w:val="none"/>
          <w:lang w:val="en-US" w:eastAsia="zh-CN"/>
        </w:rPr>
        <w:t>第四</w:t>
      </w: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highlight w:val="none"/>
        </w:rPr>
        <w:t>初级中学</w:t>
      </w: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highlight w:val="none"/>
          <w:lang w:val="en-US" w:eastAsia="zh-CN"/>
        </w:rPr>
        <w:t>公用经费(特教)中央补助</w:t>
      </w:r>
    </w:p>
    <w:p w14:paraId="7140A614">
      <w:pPr>
        <w:spacing w:line="560" w:lineRule="exact"/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highlight w:val="none"/>
        </w:rPr>
      </w:pPr>
    </w:p>
    <w:p w14:paraId="5515315B">
      <w:pPr>
        <w:spacing w:line="560" w:lineRule="exact"/>
        <w:ind w:firstLine="640" w:firstLineChars="200"/>
        <w:outlineLvl w:val="1"/>
        <w:rPr>
          <w:rFonts w:hint="eastAsia" w:ascii="黑体" w:hAnsi="黑体" w:eastAsia="黑体" w:cs="Times New Roman"/>
          <w:sz w:val="32"/>
          <w:szCs w:val="32"/>
          <w:highlight w:val="none"/>
        </w:rPr>
      </w:pPr>
      <w:r>
        <w:rPr>
          <w:rFonts w:hint="eastAsia" w:ascii="黑体" w:hAnsi="黑体" w:eastAsia="黑体" w:cs="Times New Roman"/>
          <w:sz w:val="32"/>
          <w:szCs w:val="32"/>
          <w:highlight w:val="none"/>
        </w:rPr>
        <w:t>一、项目基本情况</w:t>
      </w:r>
    </w:p>
    <w:p w14:paraId="629CEC57">
      <w:pPr>
        <w:spacing w:line="560" w:lineRule="exact"/>
        <w:ind w:firstLine="640" w:firstLineChars="200"/>
        <w:outlineLvl w:val="2"/>
        <w:rPr>
          <w:rFonts w:hint="eastAsia" w:ascii="楷体_GB2312" w:hAnsi="Calibri" w:eastAsia="楷体_GB2312" w:cs="Times New Roman"/>
          <w:sz w:val="32"/>
          <w:szCs w:val="32"/>
          <w:highlight w:val="none"/>
        </w:rPr>
      </w:pPr>
      <w:r>
        <w:rPr>
          <w:rFonts w:hint="eastAsia" w:ascii="楷体_GB2312" w:hAnsi="Calibri" w:eastAsia="楷体_GB2312" w:cs="Times New Roman"/>
          <w:sz w:val="32"/>
          <w:szCs w:val="32"/>
          <w:highlight w:val="none"/>
        </w:rPr>
        <w:t>（一）项目立项情况。</w:t>
      </w:r>
    </w:p>
    <w:p w14:paraId="1347A798"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  <w:highlight w:val="none"/>
        </w:rPr>
      </w:pPr>
      <w:r>
        <w:rPr>
          <w:rFonts w:hint="eastAsia" w:ascii="仿宋_GB2312" w:hAnsi="Calibri" w:eastAsia="仿宋_GB2312" w:cs="Times New Roman"/>
          <w:sz w:val="32"/>
          <w:szCs w:val="32"/>
          <w:highlight w:val="none"/>
        </w:rPr>
        <w:t>1.项目立项背景。</w:t>
      </w:r>
    </w:p>
    <w:p w14:paraId="79F2C613">
      <w:pPr>
        <w:spacing w:line="560" w:lineRule="exact"/>
        <w:ind w:firstLine="640" w:firstLineChars="200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为保障特殊教育学生的教育权益，改善特殊教育学校的办学条件，提升特殊教育质量，环江毛南族自治县第四初级中学根据国家相关政策，申请并获批了公用经费(特教)中央补助项目。该项目旨在通过中央财政资金支持，保障学校正常运转，持续改善学校基本办学条件，促进教育健康发展，让残疾学生感受到温暖，充满希望。</w:t>
      </w:r>
    </w:p>
    <w:p w14:paraId="126F8F4B"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  <w:highlight w:val="none"/>
        </w:rPr>
      </w:pPr>
      <w:r>
        <w:rPr>
          <w:rFonts w:hint="eastAsia" w:ascii="仿宋_GB2312" w:hAnsi="Calibri" w:eastAsia="仿宋_GB2312" w:cs="Times New Roman"/>
          <w:sz w:val="32"/>
          <w:szCs w:val="32"/>
          <w:highlight w:val="none"/>
        </w:rPr>
        <w:t>2.资金用途及目的。</w:t>
      </w:r>
    </w:p>
    <w:p w14:paraId="4ED12F78">
      <w:pPr>
        <w:spacing w:line="560" w:lineRule="exact"/>
        <w:ind w:firstLine="640" w:firstLineChars="200"/>
        <w:outlineLvl w:val="2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该项目资金专项用于保障特殊教育学校的日常运转，包括但不限于教学设备购置、教学设施维护、办公用品采购、教师培训等。其核心目的在于通过合理分配和使用资金，持续改善学校基本办学条件，提升教育教学质量，促进特殊教育事业的健康发展。</w:t>
      </w:r>
    </w:p>
    <w:p w14:paraId="5989FC39">
      <w:pPr>
        <w:spacing w:line="560" w:lineRule="exact"/>
        <w:ind w:firstLine="640" w:firstLineChars="200"/>
        <w:outlineLvl w:val="2"/>
        <w:rPr>
          <w:rFonts w:hint="eastAsia" w:ascii="楷体_GB2312" w:hAnsi="仿宋_GB2312" w:eastAsia="楷体_GB2312" w:cs="宋体"/>
          <w:color w:val="000000"/>
          <w:sz w:val="32"/>
          <w:szCs w:val="24"/>
          <w:highlight w:val="none"/>
          <w:shd w:val="clear" w:color="auto" w:fill="FFFFFF"/>
        </w:rPr>
      </w:pPr>
      <w:r>
        <w:rPr>
          <w:rFonts w:hint="eastAsia" w:ascii="楷体_GB2312" w:hAnsi="仿宋_GB2312" w:eastAsia="楷体_GB2312" w:cs="宋体"/>
          <w:color w:val="000000"/>
          <w:sz w:val="32"/>
          <w:szCs w:val="24"/>
          <w:highlight w:val="none"/>
          <w:shd w:val="clear" w:color="auto" w:fill="FFFFFF"/>
        </w:rPr>
        <w:t>（二）项目资金管理使用情况。</w:t>
      </w:r>
    </w:p>
    <w:p w14:paraId="364A1710">
      <w:pPr>
        <w:pStyle w:val="5"/>
        <w:widowControl w:val="0"/>
        <w:shd w:val="clear" w:color="auto" w:fill="FFFFFF"/>
        <w:spacing w:before="0" w:beforeAutospacing="0" w:after="0" w:afterAutospacing="0" w:line="560" w:lineRule="exact"/>
        <w:ind w:firstLine="640" w:firstLineChars="200"/>
        <w:jc w:val="both"/>
        <w:rPr>
          <w:rFonts w:hint="eastAsia" w:ascii="仿宋_GB2312" w:hAnsi="仿宋_GB2312" w:eastAsia="仿宋_GB2312" w:cs="宋体"/>
          <w:color w:val="000000"/>
          <w:sz w:val="32"/>
          <w:szCs w:val="24"/>
          <w:highlight w:val="none"/>
          <w:shd w:val="clear" w:color="auto" w:fill="FFFFFF"/>
        </w:rPr>
      </w:pPr>
      <w:r>
        <w:rPr>
          <w:rFonts w:hint="eastAsia" w:ascii="仿宋_GB2312" w:hAnsi="Calibri" w:eastAsia="仿宋_GB2312" w:cs="Times New Roman"/>
          <w:sz w:val="32"/>
          <w:szCs w:val="32"/>
          <w:highlight w:val="none"/>
        </w:rPr>
        <w:t>1.</w:t>
      </w:r>
      <w:r>
        <w:rPr>
          <w:rFonts w:hint="eastAsia" w:ascii="仿宋_GB2312" w:hAnsi="仿宋_GB2312" w:eastAsia="仿宋_GB2312" w:cs="宋体"/>
          <w:color w:val="000000"/>
          <w:sz w:val="32"/>
          <w:szCs w:val="24"/>
          <w:highlight w:val="none"/>
          <w:shd w:val="clear" w:color="auto" w:fill="FFFFFF"/>
        </w:rPr>
        <w:t>项目资金（包括财政资金、自筹资金等）安排落实、总投入等情况。</w:t>
      </w:r>
    </w:p>
    <w:p w14:paraId="4DF3D138">
      <w:pPr>
        <w:pStyle w:val="5"/>
        <w:widowControl w:val="0"/>
        <w:shd w:val="clear" w:color="auto" w:fill="FFFFFF"/>
        <w:spacing w:before="0" w:beforeAutospacing="0" w:after="0" w:afterAutospacing="0" w:line="560" w:lineRule="exact"/>
        <w:ind w:firstLine="640" w:firstLineChars="200"/>
        <w:jc w:val="both"/>
        <w:rPr>
          <w:rFonts w:hint="eastAsia" w:ascii="仿宋_GB2312" w:hAnsi="仿宋_GB2312" w:eastAsia="仿宋_GB2312" w:cs="宋体"/>
          <w:color w:val="000000"/>
          <w:sz w:val="32"/>
          <w:szCs w:val="24"/>
          <w:highlight w:val="none"/>
          <w:shd w:val="clear" w:color="auto" w:fill="FFFFFF"/>
        </w:rPr>
      </w:pPr>
      <w:r>
        <w:rPr>
          <w:rFonts w:hint="eastAsia" w:ascii="仿宋_GB2312" w:hAnsi="仿宋_GB2312" w:eastAsia="仿宋_GB2312" w:cs="宋体"/>
          <w:color w:val="000000"/>
          <w:sz w:val="32"/>
          <w:szCs w:val="24"/>
          <w:highlight w:val="none"/>
          <w:shd w:val="clear" w:color="auto" w:fill="FFFFFF"/>
        </w:rPr>
        <w:t>2024年，环江毛南族自治县</w:t>
      </w:r>
      <w:r>
        <w:rPr>
          <w:rFonts w:hint="eastAsia" w:ascii="仿宋_GB2312" w:hAnsi="仿宋_GB2312" w:eastAsia="仿宋_GB2312" w:cs="宋体"/>
          <w:color w:val="000000"/>
          <w:sz w:val="32"/>
          <w:szCs w:val="24"/>
          <w:highlight w:val="none"/>
          <w:shd w:val="clear" w:color="auto" w:fill="FFFFFF"/>
          <w:lang w:val="en-US" w:eastAsia="zh-CN"/>
        </w:rPr>
        <w:t>第四</w:t>
      </w:r>
      <w:r>
        <w:rPr>
          <w:rFonts w:hint="eastAsia" w:ascii="仿宋_GB2312" w:hAnsi="仿宋_GB2312" w:eastAsia="仿宋_GB2312" w:cs="宋体"/>
          <w:color w:val="000000"/>
          <w:sz w:val="32"/>
          <w:szCs w:val="24"/>
          <w:highlight w:val="none"/>
          <w:shd w:val="clear" w:color="auto" w:fill="FFFFFF"/>
        </w:rPr>
        <w:t xml:space="preserve">初级中学公用经费(特教)中央补助项目资金全部来源于上级财政拨款，共计 </w:t>
      </w:r>
      <w:r>
        <w:rPr>
          <w:rFonts w:hint="eastAsia" w:ascii="仿宋_GB2312" w:hAnsi="仿宋_GB2312" w:eastAsia="仿宋_GB2312" w:cs="宋体"/>
          <w:color w:val="000000"/>
          <w:sz w:val="32"/>
          <w:szCs w:val="24"/>
          <w:highlight w:val="none"/>
          <w:shd w:val="clear" w:color="auto" w:fill="FFFFFF"/>
          <w:lang w:val="en-US" w:eastAsia="zh-CN"/>
        </w:rPr>
        <w:t>31350</w:t>
      </w:r>
      <w:r>
        <w:rPr>
          <w:rFonts w:hint="eastAsia" w:ascii="仿宋_GB2312" w:hAnsi="仿宋_GB2312" w:eastAsia="仿宋_GB2312" w:cs="宋体"/>
          <w:color w:val="000000"/>
          <w:sz w:val="32"/>
          <w:szCs w:val="24"/>
          <w:highlight w:val="none"/>
          <w:shd w:val="clear" w:color="auto" w:fill="FFFFFF"/>
        </w:rPr>
        <w:t>元。学校未安排自筹资金用于该项目。所有资金均已按照计划安排落实到位，确保了项目顺利实施。</w:t>
      </w:r>
    </w:p>
    <w:p w14:paraId="65E10470">
      <w:pPr>
        <w:pStyle w:val="5"/>
        <w:widowControl w:val="0"/>
        <w:shd w:val="clear" w:color="auto" w:fill="FFFFFF"/>
        <w:spacing w:before="0" w:beforeAutospacing="0" w:after="0" w:afterAutospacing="0" w:line="560" w:lineRule="exact"/>
        <w:ind w:firstLine="640" w:firstLineChars="200"/>
        <w:jc w:val="both"/>
        <w:rPr>
          <w:rFonts w:hint="eastAsia" w:ascii="仿宋_GB2312" w:hAnsi="仿宋_GB2312" w:eastAsia="仿宋_GB2312" w:cs="宋体"/>
          <w:color w:val="000000"/>
          <w:sz w:val="32"/>
          <w:szCs w:val="24"/>
          <w:highlight w:val="none"/>
          <w:shd w:val="clear" w:color="auto" w:fill="FFFFFF"/>
        </w:rPr>
      </w:pPr>
      <w:r>
        <w:rPr>
          <w:rFonts w:hint="eastAsia" w:ascii="仿宋_GB2312" w:hAnsi="仿宋_GB2312" w:eastAsia="仿宋_GB2312" w:cs="宋体"/>
          <w:color w:val="000000"/>
          <w:sz w:val="32"/>
          <w:szCs w:val="24"/>
          <w:highlight w:val="none"/>
          <w:shd w:val="clear" w:color="auto" w:fill="FFFFFF"/>
        </w:rPr>
        <w:t>2.项目资金（主要是指财政资金）实际使用情况，包括项目主要内容和涉及范围。</w:t>
      </w:r>
    </w:p>
    <w:p w14:paraId="6DB2643B">
      <w:pPr>
        <w:pStyle w:val="5"/>
        <w:widowControl w:val="0"/>
        <w:shd w:val="clear" w:color="auto" w:fill="FFFFFF"/>
        <w:spacing w:before="0" w:beforeAutospacing="0" w:after="0" w:afterAutospacing="0" w:line="560" w:lineRule="exact"/>
        <w:ind w:firstLine="640" w:firstLineChars="200"/>
        <w:jc w:val="both"/>
        <w:rPr>
          <w:rFonts w:hint="eastAsia" w:ascii="仿宋_GB2312" w:hAnsi="仿宋_GB2312" w:eastAsia="仿宋_GB2312" w:cs="宋体"/>
          <w:color w:val="000000"/>
          <w:sz w:val="32"/>
          <w:szCs w:val="24"/>
          <w:highlight w:val="none"/>
          <w:shd w:val="clear" w:color="auto" w:fill="FFFFFF"/>
        </w:rPr>
      </w:pPr>
      <w:r>
        <w:rPr>
          <w:rFonts w:hint="eastAsia" w:ascii="仿宋_GB2312" w:hAnsi="仿宋_GB2312" w:eastAsia="仿宋_GB2312" w:cs="宋体"/>
          <w:color w:val="000000"/>
          <w:sz w:val="32"/>
          <w:szCs w:val="24"/>
          <w:highlight w:val="none"/>
          <w:shd w:val="clear" w:color="auto" w:fill="FFFFFF"/>
        </w:rPr>
        <w:t>项目资金主要用于保障学校的日常运转，具体包括：</w:t>
      </w:r>
    </w:p>
    <w:p w14:paraId="75C868D6">
      <w:pPr>
        <w:pStyle w:val="5"/>
        <w:widowControl w:val="0"/>
        <w:shd w:val="clear" w:color="auto" w:fill="FFFFFF"/>
        <w:spacing w:before="0" w:beforeAutospacing="0" w:after="0" w:afterAutospacing="0" w:line="560" w:lineRule="exact"/>
        <w:ind w:firstLine="640" w:firstLineChars="200"/>
        <w:jc w:val="both"/>
        <w:rPr>
          <w:rFonts w:hint="eastAsia" w:ascii="仿宋_GB2312" w:hAnsi="仿宋_GB2312" w:eastAsia="仿宋_GB2312" w:cs="宋体"/>
          <w:color w:val="000000"/>
          <w:sz w:val="32"/>
          <w:szCs w:val="24"/>
          <w:highlight w:val="none"/>
          <w:shd w:val="clear" w:color="auto" w:fill="FFFFFF"/>
        </w:rPr>
      </w:pPr>
      <w:r>
        <w:rPr>
          <w:rFonts w:hint="eastAsia" w:ascii="仿宋_GB2312" w:hAnsi="仿宋_GB2312" w:eastAsia="仿宋_GB2312" w:cs="宋体"/>
          <w:color w:val="000000"/>
          <w:sz w:val="32"/>
          <w:szCs w:val="24"/>
          <w:highlight w:val="none"/>
          <w:shd w:val="clear" w:color="auto" w:fill="FFFFFF"/>
        </w:rPr>
        <w:t>教学设备购置：购置必要的教学设备，如多媒体设备、实验室器材等，提升教学现代化水平。</w:t>
      </w:r>
    </w:p>
    <w:p w14:paraId="440C09E4">
      <w:pPr>
        <w:pStyle w:val="5"/>
        <w:widowControl w:val="0"/>
        <w:shd w:val="clear" w:color="auto" w:fill="FFFFFF"/>
        <w:spacing w:before="0" w:beforeAutospacing="0" w:after="0" w:afterAutospacing="0" w:line="560" w:lineRule="exact"/>
        <w:ind w:firstLine="640" w:firstLineChars="200"/>
        <w:jc w:val="both"/>
        <w:rPr>
          <w:rFonts w:hint="eastAsia" w:ascii="仿宋_GB2312" w:hAnsi="仿宋_GB2312" w:eastAsia="仿宋_GB2312" w:cs="宋体"/>
          <w:color w:val="000000"/>
          <w:sz w:val="32"/>
          <w:szCs w:val="24"/>
          <w:highlight w:val="none"/>
          <w:shd w:val="clear" w:color="auto" w:fill="FFFFFF"/>
        </w:rPr>
      </w:pPr>
      <w:r>
        <w:rPr>
          <w:rFonts w:hint="eastAsia" w:ascii="仿宋_GB2312" w:hAnsi="仿宋_GB2312" w:eastAsia="仿宋_GB2312" w:cs="宋体"/>
          <w:color w:val="000000"/>
          <w:sz w:val="32"/>
          <w:szCs w:val="24"/>
          <w:highlight w:val="none"/>
          <w:shd w:val="clear" w:color="auto" w:fill="FFFFFF"/>
        </w:rPr>
        <w:t>教学设施维护：对学校的教学楼、实验室、操场等教学设施进行定期维护和修缮，确保设施安全可用。</w:t>
      </w:r>
    </w:p>
    <w:p w14:paraId="14B7375A">
      <w:pPr>
        <w:pStyle w:val="5"/>
        <w:widowControl w:val="0"/>
        <w:shd w:val="clear" w:color="auto" w:fill="FFFFFF"/>
        <w:spacing w:before="0" w:beforeAutospacing="0" w:after="0" w:afterAutospacing="0" w:line="560" w:lineRule="exact"/>
        <w:ind w:firstLine="640" w:firstLineChars="200"/>
        <w:jc w:val="both"/>
        <w:rPr>
          <w:rFonts w:hint="eastAsia" w:ascii="仿宋_GB2312" w:hAnsi="仿宋_GB2312" w:eastAsia="仿宋_GB2312" w:cs="宋体"/>
          <w:color w:val="000000"/>
          <w:sz w:val="32"/>
          <w:szCs w:val="24"/>
          <w:highlight w:val="none"/>
          <w:shd w:val="clear" w:color="auto" w:fill="FFFFFF"/>
        </w:rPr>
      </w:pPr>
      <w:r>
        <w:rPr>
          <w:rFonts w:hint="eastAsia" w:ascii="仿宋_GB2312" w:hAnsi="仿宋_GB2312" w:eastAsia="仿宋_GB2312" w:cs="宋体"/>
          <w:color w:val="000000"/>
          <w:sz w:val="32"/>
          <w:szCs w:val="24"/>
          <w:highlight w:val="none"/>
          <w:shd w:val="clear" w:color="auto" w:fill="FFFFFF"/>
        </w:rPr>
        <w:t>办公用品采购：采购日常办公用品，保障学校行政管理工作的正常开展。</w:t>
      </w:r>
    </w:p>
    <w:p w14:paraId="27D303AD">
      <w:pPr>
        <w:pStyle w:val="5"/>
        <w:widowControl w:val="0"/>
        <w:shd w:val="clear" w:color="auto" w:fill="FFFFFF"/>
        <w:spacing w:before="0" w:beforeAutospacing="0" w:after="0" w:afterAutospacing="0" w:line="560" w:lineRule="exact"/>
        <w:ind w:firstLine="640" w:firstLineChars="200"/>
        <w:jc w:val="both"/>
        <w:rPr>
          <w:rFonts w:hint="eastAsia" w:ascii="仿宋_GB2312" w:hAnsi="仿宋_GB2312" w:eastAsia="仿宋_GB2312" w:cs="宋体"/>
          <w:color w:val="000000"/>
          <w:sz w:val="32"/>
          <w:szCs w:val="24"/>
          <w:highlight w:val="none"/>
          <w:shd w:val="clear" w:color="auto" w:fill="FFFFFF"/>
        </w:rPr>
      </w:pPr>
      <w:r>
        <w:rPr>
          <w:rFonts w:hint="eastAsia" w:ascii="仿宋_GB2312" w:hAnsi="仿宋_GB2312" w:eastAsia="仿宋_GB2312" w:cs="宋体"/>
          <w:color w:val="000000"/>
          <w:sz w:val="32"/>
          <w:szCs w:val="24"/>
          <w:highlight w:val="none"/>
          <w:shd w:val="clear" w:color="auto" w:fill="FFFFFF"/>
        </w:rPr>
        <w:t>教师培训：组织教师参加各类培训活动，提升教师的专业素养和教学能力。</w:t>
      </w:r>
    </w:p>
    <w:p w14:paraId="6B63A16E">
      <w:pPr>
        <w:pStyle w:val="5"/>
        <w:widowControl w:val="0"/>
        <w:shd w:val="clear" w:color="auto" w:fill="FFFFFF"/>
        <w:spacing w:before="0" w:beforeAutospacing="0" w:after="0" w:afterAutospacing="0" w:line="560" w:lineRule="exact"/>
        <w:ind w:firstLine="640" w:firstLineChars="200"/>
        <w:jc w:val="both"/>
        <w:rPr>
          <w:rFonts w:hint="eastAsia" w:ascii="仿宋_GB2312" w:hAnsi="仿宋_GB2312" w:eastAsia="仿宋_GB2312" w:cs="宋体"/>
          <w:color w:val="000000"/>
          <w:sz w:val="32"/>
          <w:szCs w:val="24"/>
          <w:highlight w:val="none"/>
          <w:shd w:val="clear" w:color="auto" w:fill="FFFFFF"/>
        </w:rPr>
      </w:pPr>
      <w:r>
        <w:rPr>
          <w:rFonts w:hint="eastAsia" w:ascii="仿宋_GB2312" w:hAnsi="仿宋_GB2312" w:eastAsia="仿宋_GB2312" w:cs="宋体"/>
          <w:color w:val="000000"/>
          <w:sz w:val="32"/>
          <w:szCs w:val="24"/>
          <w:highlight w:val="none"/>
          <w:shd w:val="clear" w:color="auto" w:fill="FFFFFF"/>
        </w:rPr>
        <w:t xml:space="preserve">本年度，项目资金实际支出 </w:t>
      </w:r>
      <w:r>
        <w:rPr>
          <w:rFonts w:hint="eastAsia" w:ascii="仿宋_GB2312" w:hAnsi="仿宋_GB2312" w:eastAsia="仿宋_GB2312" w:cs="宋体"/>
          <w:color w:val="000000"/>
          <w:sz w:val="32"/>
          <w:szCs w:val="24"/>
          <w:highlight w:val="none"/>
          <w:shd w:val="clear" w:color="auto" w:fill="FFFFFF"/>
          <w:lang w:val="en-US" w:eastAsia="zh-CN"/>
        </w:rPr>
        <w:t>31350</w:t>
      </w:r>
      <w:r>
        <w:rPr>
          <w:rFonts w:hint="eastAsia" w:ascii="仿宋_GB2312" w:hAnsi="仿宋_GB2312" w:eastAsia="仿宋_GB2312" w:cs="宋体"/>
          <w:color w:val="000000"/>
          <w:sz w:val="32"/>
          <w:szCs w:val="24"/>
          <w:highlight w:val="none"/>
          <w:shd w:val="clear" w:color="auto" w:fill="FFFFFF"/>
        </w:rPr>
        <w:t xml:space="preserve"> 元，主要用于上述方面，覆盖了学校全体师生，涉及残疾学生人数 </w:t>
      </w:r>
      <w:r>
        <w:rPr>
          <w:rFonts w:hint="eastAsia" w:ascii="仿宋_GB2312" w:hAnsi="仿宋_GB2312" w:eastAsia="仿宋_GB2312" w:cs="宋体"/>
          <w:color w:val="000000"/>
          <w:sz w:val="32"/>
          <w:szCs w:val="24"/>
          <w:highlight w:val="none"/>
          <w:shd w:val="clear" w:color="auto" w:fill="FFFFFF"/>
          <w:lang w:val="en-US" w:eastAsia="zh-CN"/>
        </w:rPr>
        <w:t>7</w:t>
      </w:r>
      <w:r>
        <w:rPr>
          <w:rFonts w:hint="eastAsia" w:ascii="仿宋_GB2312" w:hAnsi="仿宋_GB2312" w:eastAsia="仿宋_GB2312" w:cs="宋体"/>
          <w:color w:val="000000"/>
          <w:sz w:val="32"/>
          <w:szCs w:val="24"/>
          <w:highlight w:val="none"/>
          <w:shd w:val="clear" w:color="auto" w:fill="FFFFFF"/>
        </w:rPr>
        <w:t xml:space="preserve"> 人。</w:t>
      </w:r>
    </w:p>
    <w:p w14:paraId="0B4D8230">
      <w:pPr>
        <w:pStyle w:val="5"/>
        <w:widowControl w:val="0"/>
        <w:shd w:val="clear" w:color="auto" w:fill="FFFFFF"/>
        <w:spacing w:before="0" w:beforeAutospacing="0" w:after="0" w:afterAutospacing="0" w:line="560" w:lineRule="exact"/>
        <w:ind w:firstLine="640" w:firstLineChars="200"/>
        <w:jc w:val="both"/>
        <w:rPr>
          <w:rFonts w:hint="eastAsia" w:ascii="仿宋_GB2312" w:hAnsi="仿宋_GB2312" w:eastAsia="仿宋_GB2312" w:cs="宋体"/>
          <w:color w:val="000000"/>
          <w:sz w:val="32"/>
          <w:szCs w:val="24"/>
          <w:highlight w:val="none"/>
          <w:shd w:val="clear" w:color="auto" w:fill="FFFFFF"/>
        </w:rPr>
      </w:pPr>
      <w:r>
        <w:rPr>
          <w:rFonts w:hint="eastAsia" w:ascii="仿宋_GB2312" w:hAnsi="仿宋_GB2312" w:eastAsia="仿宋_GB2312" w:cs="宋体"/>
          <w:color w:val="000000"/>
          <w:sz w:val="32"/>
          <w:szCs w:val="24"/>
          <w:highlight w:val="none"/>
          <w:shd w:val="clear" w:color="auto" w:fill="FFFFFF"/>
        </w:rPr>
        <w:t>3.项目资金管理情况（包括管理制度、办法的制订及执行情况）。</w:t>
      </w:r>
    </w:p>
    <w:p w14:paraId="698B7F6F">
      <w:pPr>
        <w:spacing w:line="560" w:lineRule="exact"/>
        <w:ind w:firstLine="640" w:firstLineChars="200"/>
        <w:rPr>
          <w:rFonts w:hint="eastAsia" w:ascii="仿宋_GB2312" w:hAnsi="仿宋_GB2312" w:eastAsia="仿宋_GB2312" w:cs="宋体"/>
          <w:color w:val="000000"/>
          <w:sz w:val="32"/>
          <w:szCs w:val="24"/>
          <w:highlight w:val="none"/>
          <w:shd w:val="clear" w:color="auto" w:fill="FFFFFF"/>
        </w:rPr>
      </w:pPr>
      <w:r>
        <w:rPr>
          <w:rFonts w:hint="eastAsia" w:ascii="仿宋_GB2312" w:hAnsi="仿宋_GB2312" w:eastAsia="仿宋_GB2312" w:cs="宋体"/>
          <w:color w:val="000000"/>
          <w:sz w:val="32"/>
          <w:szCs w:val="24"/>
          <w:highlight w:val="none"/>
          <w:shd w:val="clear" w:color="auto" w:fill="FFFFFF"/>
        </w:rPr>
        <w:t>为确保项目资金的合理使用和管理，学校制定了《公用经费(特教)中央补助专项资金管理制度》，明确了资金的使用范围、审批流程、报销要求等。在执行过程中，严格按照制度要求进行操作，确保每一笔资金的使用都有据可依、有章可循。同时，学校定期对资金使用情况进行内部审计和检查，及时发现并纠正存在的问题，保障资金的安全和合规使用。</w:t>
      </w:r>
    </w:p>
    <w:p w14:paraId="7055B4FE">
      <w:pPr>
        <w:spacing w:line="560" w:lineRule="exact"/>
        <w:ind w:firstLine="640" w:firstLineChars="200"/>
        <w:rPr>
          <w:rFonts w:hint="eastAsia" w:ascii="仿宋_GB2312" w:hAnsi="仿宋_GB2312" w:eastAsia="仿宋_GB2312" w:cs="宋体"/>
          <w:color w:val="000000"/>
          <w:sz w:val="32"/>
          <w:szCs w:val="24"/>
          <w:highlight w:val="none"/>
          <w:shd w:val="clear" w:color="auto" w:fill="FFFFFF"/>
        </w:rPr>
      </w:pPr>
      <w:r>
        <w:rPr>
          <w:rFonts w:hint="eastAsia" w:ascii="仿宋_GB2312" w:hAnsi="仿宋_GB2312" w:eastAsia="仿宋_GB2312" w:cs="宋体"/>
          <w:color w:val="000000"/>
          <w:sz w:val="32"/>
          <w:szCs w:val="24"/>
          <w:highlight w:val="none"/>
          <w:shd w:val="clear" w:color="auto" w:fill="FFFFFF"/>
        </w:rPr>
        <w:t>4.项目资金支出及拨付合规性情况。</w:t>
      </w:r>
    </w:p>
    <w:p w14:paraId="6296F4F1">
      <w:pPr>
        <w:spacing w:line="560" w:lineRule="exact"/>
        <w:ind w:firstLine="640" w:firstLineChars="200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在资金支出及拨付过程中，学校严格遵守国家相关法律法规和财务管理制度，确保资金支出的合规性。所有资金支出均经过严格的审批程序，由经办人、部门负责人、财务负责人及学校领导逐级审核签字后方能支付。同时，学校按照财政部门的要求，及时准确地报送资金使用情况报表，确保资金拨付的及时性和准确性。经自查，本年度项目资金支出及拨付均符合相关规定，未发现违规行为。</w:t>
      </w:r>
    </w:p>
    <w:p w14:paraId="7AB2D560">
      <w:pPr>
        <w:numPr>
          <w:ilvl w:val="0"/>
          <w:numId w:val="1"/>
        </w:numPr>
        <w:spacing w:line="560" w:lineRule="exact"/>
        <w:ind w:firstLine="640" w:firstLineChars="200"/>
        <w:outlineLvl w:val="2"/>
        <w:rPr>
          <w:rFonts w:hint="eastAsia" w:ascii="楷体_GB2312" w:hAnsi="Calibri" w:eastAsia="楷体_GB2312" w:cs="Times New Roman"/>
          <w:sz w:val="32"/>
          <w:szCs w:val="32"/>
          <w:highlight w:val="none"/>
        </w:rPr>
      </w:pPr>
      <w:r>
        <w:rPr>
          <w:rFonts w:hint="eastAsia" w:ascii="楷体_GB2312" w:hAnsi="Calibri" w:eastAsia="楷体_GB2312" w:cs="Times New Roman"/>
          <w:sz w:val="32"/>
          <w:szCs w:val="32"/>
          <w:highlight w:val="none"/>
        </w:rPr>
        <w:t>年初绩效目标及其衡量指标设定情况。</w:t>
      </w:r>
    </w:p>
    <w:p w14:paraId="06295105">
      <w:pPr>
        <w:spacing w:line="560" w:lineRule="exact"/>
        <w:ind w:firstLine="640" w:firstLineChars="200"/>
        <w:outlineLvl w:val="2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年初，学校根据公用经费(特教)中央补助项目的实际情况，设定了以下绩效目标及衡量指标：</w:t>
      </w:r>
    </w:p>
    <w:p w14:paraId="70B42913">
      <w:pPr>
        <w:spacing w:line="560" w:lineRule="exact"/>
        <w:ind w:firstLine="640" w:firstLineChars="200"/>
        <w:outlineLvl w:val="2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绩效目标：保障学校正常运转，持续改善学校基本办学条件，促进教育健康发展，让残疾学生感受到温暖，充满希望。</w:t>
      </w:r>
    </w:p>
    <w:p w14:paraId="7DEBEA85">
      <w:pPr>
        <w:spacing w:line="560" w:lineRule="exact"/>
        <w:ind w:firstLine="640" w:firstLineChars="200"/>
        <w:outlineLvl w:val="2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衡量指标：</w:t>
      </w:r>
    </w:p>
    <w:p w14:paraId="711B05B9">
      <w:pPr>
        <w:spacing w:line="560" w:lineRule="exact"/>
        <w:ind w:firstLine="640" w:firstLineChars="200"/>
        <w:outlineLvl w:val="2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数量指标：残疾生数≥7 人。</w:t>
      </w:r>
    </w:p>
    <w:p w14:paraId="5D1AD390">
      <w:pPr>
        <w:spacing w:line="560" w:lineRule="exact"/>
        <w:ind w:firstLine="640" w:firstLineChars="200"/>
        <w:outlineLvl w:val="2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质量指标：学校工作正常运转率=100%。</w:t>
      </w:r>
    </w:p>
    <w:p w14:paraId="73D08F68">
      <w:pPr>
        <w:spacing w:line="560" w:lineRule="exact"/>
        <w:ind w:firstLine="640" w:firstLineChars="200"/>
        <w:outlineLvl w:val="2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时效指标：项目完成时间在 2024 年 12 月 31 日前。</w:t>
      </w:r>
    </w:p>
    <w:p w14:paraId="1ABC5CAF">
      <w:pPr>
        <w:spacing w:line="560" w:lineRule="exact"/>
        <w:ind w:firstLine="640" w:firstLineChars="200"/>
        <w:outlineLvl w:val="2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成本指标：项目总成本≤31350 元。</w:t>
      </w:r>
    </w:p>
    <w:p w14:paraId="45AB27B5">
      <w:pPr>
        <w:spacing w:line="560" w:lineRule="exact"/>
        <w:ind w:firstLine="640" w:firstLineChars="200"/>
        <w:outlineLvl w:val="2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效益指标：</w:t>
      </w:r>
    </w:p>
    <w:p w14:paraId="6A1767D6">
      <w:pPr>
        <w:spacing w:line="560" w:lineRule="exact"/>
        <w:ind w:firstLine="640" w:firstLineChars="200"/>
        <w:outlineLvl w:val="2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保障学校日常办公正常运转，效果明显。</w:t>
      </w:r>
    </w:p>
    <w:p w14:paraId="2773A743">
      <w:pPr>
        <w:spacing w:line="560" w:lineRule="exact"/>
        <w:ind w:firstLine="640" w:firstLineChars="200"/>
        <w:outlineLvl w:val="2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持续改善学校基本办学条件，促进教育健康发展，效果明显。</w:t>
      </w:r>
    </w:p>
    <w:p w14:paraId="6822697F">
      <w:pPr>
        <w:spacing w:line="560" w:lineRule="exact"/>
        <w:ind w:firstLine="640" w:firstLineChars="200"/>
        <w:outlineLvl w:val="2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满意度指标：师生对学校工作的满意度≥98%。</w:t>
      </w:r>
    </w:p>
    <w:p w14:paraId="3CDB3593">
      <w:pPr>
        <w:spacing w:line="560" w:lineRule="exact"/>
        <w:ind w:firstLine="640" w:firstLineChars="200"/>
        <w:outlineLvl w:val="2"/>
        <w:rPr>
          <w:rFonts w:hint="eastAsia" w:ascii="楷体_GB2312" w:hAnsi="Calibri" w:eastAsia="楷体_GB2312" w:cs="Times New Roman"/>
          <w:sz w:val="32"/>
          <w:szCs w:val="32"/>
          <w:highlight w:val="none"/>
        </w:rPr>
      </w:pPr>
      <w:r>
        <w:rPr>
          <w:rFonts w:hint="eastAsia" w:ascii="楷体_GB2312" w:hAnsi="Calibri" w:eastAsia="楷体_GB2312" w:cs="Times New Roman"/>
          <w:sz w:val="32"/>
          <w:szCs w:val="32"/>
          <w:highlight w:val="none"/>
        </w:rPr>
        <w:t>（四）项目组织管理情况。</w:t>
      </w:r>
    </w:p>
    <w:p w14:paraId="5496B8BE">
      <w:pPr>
        <w:pStyle w:val="5"/>
        <w:shd w:val="clear" w:color="auto" w:fill="FFFFFF"/>
        <w:spacing w:before="0" w:beforeAutospacing="0" w:after="0" w:afterAutospacing="0" w:line="560" w:lineRule="exact"/>
        <w:ind w:firstLine="640" w:firstLineChars="200"/>
        <w:jc w:val="both"/>
        <w:rPr>
          <w:rFonts w:hint="eastAsia" w:ascii="仿宋_GB2312" w:hAnsi="仿宋_GB2312" w:eastAsia="仿宋_GB2312" w:cs="宋体"/>
          <w:color w:val="000000"/>
          <w:sz w:val="32"/>
          <w:szCs w:val="24"/>
          <w:highlight w:val="none"/>
          <w:shd w:val="clear" w:color="auto" w:fill="FFFFFF"/>
        </w:rPr>
      </w:pPr>
      <w:r>
        <w:rPr>
          <w:rFonts w:hint="eastAsia" w:ascii="仿宋_GB2312" w:hAnsi="仿宋_GB2312" w:eastAsia="仿宋_GB2312" w:cs="宋体"/>
          <w:color w:val="000000"/>
          <w:sz w:val="32"/>
          <w:szCs w:val="24"/>
          <w:highlight w:val="none"/>
          <w:shd w:val="clear" w:color="auto" w:fill="FFFFFF"/>
        </w:rPr>
        <w:t>1.项目组织情况（包括项目招投标情况、调整情况、完成验收等）。</w:t>
      </w:r>
    </w:p>
    <w:p w14:paraId="04BFCE16">
      <w:pPr>
        <w:pStyle w:val="5"/>
        <w:widowControl w:val="0"/>
        <w:shd w:val="clear" w:color="auto" w:fill="FFFFFF"/>
        <w:spacing w:before="0" w:beforeAutospacing="0" w:after="0" w:afterAutospacing="0" w:line="560" w:lineRule="exact"/>
        <w:ind w:firstLine="640" w:firstLineChars="200"/>
        <w:jc w:val="both"/>
        <w:rPr>
          <w:rFonts w:hint="eastAsia" w:ascii="仿宋_GB2312" w:hAnsi="仿宋_GB2312" w:eastAsia="仿宋_GB2312" w:cs="宋体"/>
          <w:color w:val="000000"/>
          <w:sz w:val="32"/>
          <w:szCs w:val="24"/>
          <w:highlight w:val="none"/>
          <w:shd w:val="clear" w:color="auto" w:fill="FFFFFF"/>
        </w:rPr>
      </w:pPr>
      <w:r>
        <w:rPr>
          <w:rFonts w:hint="eastAsia" w:ascii="仿宋_GB2312" w:hAnsi="仿宋_GB2312" w:eastAsia="仿宋_GB2312" w:cs="宋体"/>
          <w:color w:val="000000"/>
          <w:sz w:val="32"/>
          <w:szCs w:val="24"/>
          <w:highlight w:val="none"/>
          <w:shd w:val="clear" w:color="auto" w:fill="FFFFFF"/>
        </w:rPr>
        <w:t>本项目未涉及招投标环节。在项目实施过程中，根据实际情况，学校对部分资金使用方向进行了适当调整，以更好地满足学校日常运转和发展的需求。截至本年度末，项目已顺利完成验收，资金使用情况良好，各项绩效目标基本达成。2.项目管理情况（包括项目管理制度建设、日常检查监督管理等情况）。</w:t>
      </w:r>
    </w:p>
    <w:p w14:paraId="7BC2F3AD">
      <w:pPr>
        <w:spacing w:line="560" w:lineRule="exact"/>
        <w:ind w:firstLine="640" w:firstLineChars="200"/>
        <w:outlineLvl w:val="1"/>
        <w:rPr>
          <w:rFonts w:hint="eastAsia" w:ascii="仿宋_GB2312" w:hAnsi="仿宋_GB2312" w:eastAsia="仿宋_GB2312" w:cs="宋体"/>
          <w:color w:val="000000"/>
          <w:sz w:val="32"/>
          <w:szCs w:val="24"/>
          <w:highlight w:val="none"/>
          <w:shd w:val="clear" w:color="auto" w:fill="FFFFFF"/>
        </w:rPr>
      </w:pPr>
      <w:r>
        <w:rPr>
          <w:rFonts w:hint="eastAsia" w:ascii="仿宋_GB2312" w:hAnsi="仿宋_GB2312" w:eastAsia="仿宋_GB2312" w:cs="宋体"/>
          <w:color w:val="000000"/>
          <w:sz w:val="32"/>
          <w:szCs w:val="24"/>
          <w:highlight w:val="none"/>
          <w:shd w:val="clear" w:color="auto" w:fill="FFFFFF"/>
        </w:rPr>
        <w:t>学校高度重视公用经费(特教)中央补助项目的管理工作，建立健全了项目管理制度，明确了各部门及人员的职责分工，确保项目管理工作的有序开展。在日常管理中，学校定期对资金使用情况进行检查和监督，及时了解项目实施过程中的问题和困难，并积极协调解决。同时，学校还建立了项目监督检查机制，定期对项目实施情况进行全面检查和评估，及时发现并解决问题，保障项目的顺利实施。</w:t>
      </w:r>
    </w:p>
    <w:p w14:paraId="14D89D43">
      <w:pPr>
        <w:spacing w:line="560" w:lineRule="exact"/>
        <w:ind w:firstLine="640" w:firstLineChars="200"/>
        <w:outlineLvl w:val="1"/>
        <w:rPr>
          <w:rFonts w:hint="eastAsia" w:ascii="黑体" w:hAnsi="黑体" w:eastAsia="黑体" w:cs="Times New Roman"/>
          <w:sz w:val="32"/>
          <w:szCs w:val="32"/>
          <w:highlight w:val="none"/>
        </w:rPr>
      </w:pPr>
      <w:r>
        <w:rPr>
          <w:rFonts w:hint="eastAsia" w:ascii="黑体" w:hAnsi="黑体" w:eastAsia="黑体" w:cs="Times New Roman"/>
          <w:sz w:val="32"/>
          <w:szCs w:val="32"/>
          <w:highlight w:val="none"/>
        </w:rPr>
        <w:t>二、项目评价工作开展情况</w:t>
      </w:r>
    </w:p>
    <w:p w14:paraId="5B75ECCE">
      <w:pPr>
        <w:spacing w:line="560" w:lineRule="exact"/>
        <w:ind w:firstLine="640" w:firstLineChars="200"/>
        <w:outlineLvl w:val="2"/>
        <w:rPr>
          <w:rFonts w:hint="eastAsia" w:ascii="楷体_GB2312" w:hAnsi="仿宋_GB2312" w:eastAsia="楷体_GB2312" w:cs="Times New Roman"/>
          <w:sz w:val="32"/>
          <w:szCs w:val="32"/>
          <w:highlight w:val="none"/>
        </w:rPr>
      </w:pPr>
      <w:r>
        <w:rPr>
          <w:rFonts w:hint="eastAsia" w:ascii="楷体_GB2312" w:hAnsi="仿宋_GB2312" w:eastAsia="楷体_GB2312" w:cs="Times New Roman"/>
          <w:sz w:val="32"/>
          <w:szCs w:val="32"/>
          <w:highlight w:val="none"/>
        </w:rPr>
        <w:t>（一）评价指标构建及细化情况</w:t>
      </w:r>
    </w:p>
    <w:p w14:paraId="290C858E">
      <w:pPr>
        <w:spacing w:line="560" w:lineRule="exact"/>
        <w:ind w:firstLine="640" w:firstLineChars="200"/>
        <w:outlineLvl w:val="2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为全面、客观地评价公用经费(特教)中央补助项目的绩效情况，学校构建了以下评价指标体系，并进行了细化：</w:t>
      </w:r>
    </w:p>
    <w:p w14:paraId="53B8A88C">
      <w:pPr>
        <w:spacing w:line="560" w:lineRule="exact"/>
        <w:ind w:firstLine="640" w:firstLineChars="200"/>
        <w:outlineLvl w:val="2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资金管理指标：</w:t>
      </w:r>
    </w:p>
    <w:p w14:paraId="09940931">
      <w:pPr>
        <w:spacing w:line="560" w:lineRule="exact"/>
        <w:ind w:firstLine="640" w:firstLineChars="200"/>
        <w:outlineLvl w:val="2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资金落实情况：检查资金是否按时足额到位。</w:t>
      </w:r>
    </w:p>
    <w:p w14:paraId="0E02FC2D">
      <w:pPr>
        <w:spacing w:line="560" w:lineRule="exact"/>
        <w:ind w:firstLine="640" w:firstLineChars="200"/>
        <w:outlineLvl w:val="2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资金使用合规性：审核资金支出是否符合相关规定。</w:t>
      </w:r>
    </w:p>
    <w:p w14:paraId="7A5E9570">
      <w:pPr>
        <w:spacing w:line="560" w:lineRule="exact"/>
        <w:ind w:firstLine="640" w:firstLineChars="200"/>
        <w:outlineLvl w:val="2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资金使用效率：评估资金是否得到有效利用。</w:t>
      </w:r>
    </w:p>
    <w:p w14:paraId="3D621018">
      <w:pPr>
        <w:spacing w:line="560" w:lineRule="exact"/>
        <w:ind w:firstLine="640" w:firstLineChars="200"/>
        <w:outlineLvl w:val="2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项目实施指标：</w:t>
      </w:r>
    </w:p>
    <w:p w14:paraId="1504FFE2">
      <w:pPr>
        <w:spacing w:line="560" w:lineRule="exact"/>
        <w:ind w:firstLine="640" w:firstLineChars="200"/>
        <w:outlineLvl w:val="2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残疾生数：统计享受项目支持的残疾学生人数。</w:t>
      </w:r>
    </w:p>
    <w:p w14:paraId="5944E464">
      <w:pPr>
        <w:spacing w:line="560" w:lineRule="exact"/>
        <w:ind w:firstLine="640" w:firstLineChars="200"/>
        <w:outlineLvl w:val="2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学校工作正常运转率：评估学校工作的正常运转情况。</w:t>
      </w:r>
    </w:p>
    <w:p w14:paraId="77FB553A">
      <w:pPr>
        <w:spacing w:line="560" w:lineRule="exact"/>
        <w:ind w:firstLine="640" w:firstLineChars="200"/>
        <w:outlineLvl w:val="2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项目完成时间：检查项目是否在规定时间内完成。</w:t>
      </w:r>
    </w:p>
    <w:p w14:paraId="104A6597">
      <w:pPr>
        <w:spacing w:line="560" w:lineRule="exact"/>
        <w:ind w:firstLine="640" w:firstLineChars="200"/>
        <w:outlineLvl w:val="2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项目总成本：评估项目实际支出是否符合预算。</w:t>
      </w:r>
    </w:p>
    <w:p w14:paraId="360246E6">
      <w:pPr>
        <w:spacing w:line="560" w:lineRule="exact"/>
        <w:ind w:firstLine="640" w:firstLineChars="200"/>
        <w:outlineLvl w:val="2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项目效益指标：</w:t>
      </w:r>
    </w:p>
    <w:p w14:paraId="50730E68">
      <w:pPr>
        <w:spacing w:line="560" w:lineRule="exact"/>
        <w:ind w:firstLine="640" w:firstLineChars="200"/>
        <w:outlineLvl w:val="2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保障学校日常办公正常运转：评估项目对学校日常办公的保障效果。</w:t>
      </w:r>
    </w:p>
    <w:p w14:paraId="4E47BD8F">
      <w:pPr>
        <w:spacing w:line="560" w:lineRule="exact"/>
        <w:ind w:firstLine="640" w:firstLineChars="200"/>
        <w:outlineLvl w:val="2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持续改善学校基本办学条件，促进教育健康发展：评估项目对学校基本办学条件的改善效果。</w:t>
      </w:r>
    </w:p>
    <w:p w14:paraId="27466A6D">
      <w:pPr>
        <w:spacing w:line="560" w:lineRule="exact"/>
        <w:ind w:firstLine="640" w:firstLineChars="200"/>
        <w:outlineLvl w:val="2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满意度指标：</w:t>
      </w:r>
    </w:p>
    <w:p w14:paraId="2043310B">
      <w:pPr>
        <w:spacing w:line="560" w:lineRule="exact"/>
        <w:ind w:firstLine="640" w:firstLineChars="200"/>
        <w:outlineLvl w:val="2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师生对学校工作的满意度：通过问卷调查等方式了解师生对项目的满意度。</w:t>
      </w:r>
    </w:p>
    <w:p w14:paraId="7A71D33D">
      <w:pPr>
        <w:spacing w:line="560" w:lineRule="exact"/>
        <w:ind w:firstLine="640" w:firstLineChars="200"/>
        <w:outlineLvl w:val="2"/>
        <w:rPr>
          <w:rFonts w:hint="eastAsia" w:ascii="楷体_GB2312" w:hAnsi="仿宋_GB2312" w:eastAsia="楷体_GB2312" w:cs="Times New Roman"/>
          <w:sz w:val="32"/>
          <w:szCs w:val="32"/>
          <w:highlight w:val="none"/>
        </w:rPr>
      </w:pPr>
      <w:r>
        <w:rPr>
          <w:rFonts w:hint="eastAsia" w:ascii="楷体_GB2312" w:hAnsi="仿宋_GB2312" w:eastAsia="楷体_GB2312" w:cs="Times New Roman"/>
          <w:sz w:val="32"/>
          <w:szCs w:val="32"/>
          <w:highlight w:val="none"/>
        </w:rPr>
        <w:t>（二）评价组织实施及流程</w:t>
      </w:r>
    </w:p>
    <w:p w14:paraId="73704E71">
      <w:pPr>
        <w:spacing w:line="560" w:lineRule="exact"/>
        <w:ind w:firstLine="640" w:firstLineChars="200"/>
        <w:outlineLvl w:val="1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学校成立了公用经费(特教)中央补助项目绩效评价工作小组，负责组织实施绩效评价工作。评价工作按照以下流程进行：</w:t>
      </w:r>
    </w:p>
    <w:p w14:paraId="210CED83">
      <w:pPr>
        <w:spacing w:line="560" w:lineRule="exact"/>
        <w:ind w:firstLine="640" w:firstLineChars="200"/>
        <w:outlineLvl w:val="1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前期准备：制定评价工作方案，明确评价指标、评价方法和评价时间安排。</w:t>
      </w:r>
    </w:p>
    <w:p w14:paraId="2A6F4DF7">
      <w:pPr>
        <w:spacing w:line="560" w:lineRule="exact"/>
        <w:ind w:firstLine="640" w:firstLineChars="200"/>
        <w:outlineLvl w:val="1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数据收集：通过财务报表、问卷调查、访谈等方式收集项目实施过程中的相关数据和资料。</w:t>
      </w:r>
    </w:p>
    <w:p w14:paraId="61C242C3">
      <w:pPr>
        <w:spacing w:line="560" w:lineRule="exact"/>
        <w:ind w:firstLine="640" w:firstLineChars="200"/>
        <w:outlineLvl w:val="1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数据分析：对收集到的数据进行整理和分析，对照评价指标进行评估。</w:t>
      </w:r>
    </w:p>
    <w:p w14:paraId="06C41BFC">
      <w:pPr>
        <w:spacing w:line="560" w:lineRule="exact"/>
        <w:ind w:firstLine="640" w:firstLineChars="200"/>
        <w:outlineLvl w:val="1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撰写评价报告：根据数据分析结果，撰写项目绩效评价报告，总结项目实施情况，提出存在的问题及改进建议。</w:t>
      </w:r>
    </w:p>
    <w:p w14:paraId="6530C6AB">
      <w:pPr>
        <w:spacing w:line="560" w:lineRule="exact"/>
        <w:ind w:firstLine="640" w:firstLineChars="200"/>
        <w:outlineLvl w:val="1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结果反馈与应用：将评价结果反馈给相关部门和人员，作为今后项目改进和决策的依据。</w:t>
      </w:r>
    </w:p>
    <w:p w14:paraId="120EBDD2">
      <w:pPr>
        <w:spacing w:line="560" w:lineRule="exact"/>
        <w:ind w:firstLine="640" w:firstLineChars="200"/>
        <w:outlineLvl w:val="1"/>
        <w:rPr>
          <w:rFonts w:hint="eastAsia" w:ascii="黑体" w:hAnsi="黑体" w:eastAsia="黑体" w:cs="Times New Roman"/>
          <w:sz w:val="32"/>
          <w:szCs w:val="32"/>
          <w:highlight w:val="none"/>
        </w:rPr>
      </w:pPr>
      <w:r>
        <w:rPr>
          <w:rFonts w:hint="eastAsia" w:ascii="黑体" w:hAnsi="黑体" w:eastAsia="黑体" w:cs="Times New Roman"/>
          <w:sz w:val="32"/>
          <w:szCs w:val="32"/>
          <w:highlight w:val="none"/>
        </w:rPr>
        <w:t>三、项目绩效情况</w:t>
      </w:r>
    </w:p>
    <w:p w14:paraId="63797DBA">
      <w:pPr>
        <w:spacing w:line="560" w:lineRule="exact"/>
        <w:ind w:firstLine="640" w:firstLineChars="200"/>
        <w:outlineLvl w:val="2"/>
        <w:rPr>
          <w:rFonts w:hint="eastAsia" w:ascii="楷体_GB2312" w:hAnsi="Calibri" w:eastAsia="楷体_GB2312" w:cs="Times New Roman"/>
          <w:sz w:val="32"/>
          <w:szCs w:val="32"/>
          <w:highlight w:val="none"/>
        </w:rPr>
      </w:pPr>
      <w:r>
        <w:rPr>
          <w:rFonts w:hint="eastAsia" w:ascii="楷体_GB2312" w:hAnsi="Calibri" w:eastAsia="楷体_GB2312" w:cs="Times New Roman"/>
          <w:sz w:val="32"/>
          <w:szCs w:val="32"/>
          <w:highlight w:val="none"/>
        </w:rPr>
        <w:t>（一）绩效目标完成情况</w:t>
      </w:r>
    </w:p>
    <w:p w14:paraId="6A155FB0">
      <w:pPr>
        <w:spacing w:line="560" w:lineRule="exact"/>
        <w:ind w:firstLine="640" w:firstLineChars="200"/>
        <w:outlineLvl w:val="2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经过一年的努力，公用经费(特教)中央补助项目基本完成了年初设定的绩效目标：</w:t>
      </w:r>
    </w:p>
    <w:p w14:paraId="43ED12CD">
      <w:pPr>
        <w:spacing w:line="560" w:lineRule="exact"/>
        <w:ind w:firstLine="640" w:firstLineChars="200"/>
        <w:outlineLvl w:val="2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残疾生数：7人，完成率 100%。</w:t>
      </w:r>
    </w:p>
    <w:p w14:paraId="14D52D9C">
      <w:pPr>
        <w:spacing w:line="560" w:lineRule="exact"/>
        <w:ind w:firstLine="640" w:firstLineChars="200"/>
        <w:outlineLvl w:val="2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学校工作正常运转率：100%。</w:t>
      </w:r>
    </w:p>
    <w:p w14:paraId="742FC5FB">
      <w:pPr>
        <w:spacing w:line="560" w:lineRule="exact"/>
        <w:ind w:firstLine="640" w:firstLineChars="200"/>
        <w:outlineLvl w:val="2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项目完成时间：在 2024 年 12 月 31 日前完成。</w:t>
      </w:r>
    </w:p>
    <w:p w14:paraId="4905C18B">
      <w:pPr>
        <w:spacing w:line="560" w:lineRule="exact"/>
        <w:ind w:firstLine="640" w:firstLineChars="200"/>
        <w:outlineLvl w:val="2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项目总成本：31350 元，符合预算要求。</w:t>
      </w:r>
    </w:p>
    <w:p w14:paraId="73A2BB54">
      <w:pPr>
        <w:spacing w:line="560" w:lineRule="exact"/>
        <w:ind w:firstLine="640" w:firstLineChars="200"/>
        <w:outlineLvl w:val="2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保障学校日常办公正常运转：项目有效保障了学校日常办公的正常运转，学校各项工作顺利开展。</w:t>
      </w:r>
    </w:p>
    <w:p w14:paraId="0449A4A7">
      <w:pPr>
        <w:spacing w:line="560" w:lineRule="exact"/>
        <w:ind w:firstLine="640" w:firstLineChars="200"/>
        <w:outlineLvl w:val="2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持续改善学校基本办学条件，促进教育健康发展：项目促进了学校基本办学条件的持续改善，提升了教育教学质量，优化了学校资源配置。</w:t>
      </w:r>
    </w:p>
    <w:p w14:paraId="615FF5EF">
      <w:pPr>
        <w:spacing w:line="560" w:lineRule="exact"/>
        <w:ind w:firstLine="640" w:firstLineChars="200"/>
        <w:outlineLvl w:val="2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师生对学校工作的满意度：98%，达到预期目标。</w:t>
      </w:r>
    </w:p>
    <w:p w14:paraId="6E6E53C8">
      <w:pPr>
        <w:spacing w:line="560" w:lineRule="exact"/>
        <w:ind w:firstLine="640" w:firstLineChars="200"/>
        <w:outlineLvl w:val="2"/>
        <w:rPr>
          <w:rFonts w:hint="eastAsia" w:ascii="楷体_GB2312" w:hAnsi="Calibri" w:eastAsia="楷体_GB2312" w:cs="Times New Roman"/>
          <w:sz w:val="32"/>
          <w:szCs w:val="32"/>
          <w:highlight w:val="none"/>
        </w:rPr>
      </w:pPr>
      <w:r>
        <w:rPr>
          <w:rFonts w:hint="eastAsia" w:ascii="楷体_GB2312" w:hAnsi="Calibri" w:eastAsia="楷体_GB2312" w:cs="Times New Roman"/>
          <w:sz w:val="32"/>
          <w:szCs w:val="32"/>
          <w:highlight w:val="none"/>
        </w:rPr>
        <w:t>（二）绩效分析</w:t>
      </w:r>
    </w:p>
    <w:p w14:paraId="071D3175">
      <w:pPr>
        <w:spacing w:line="560" w:lineRule="exact"/>
        <w:ind w:firstLine="640" w:firstLineChars="200"/>
        <w:outlineLvl w:val="2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资金管理方面：项目资金管理较为规范，资金落实及时，使用合规，未发现违规使用资金的情况。资金使用效率较高，基本满足了项目实施的需求。</w:t>
      </w:r>
    </w:p>
    <w:p w14:paraId="2C136E32">
      <w:pPr>
        <w:spacing w:line="560" w:lineRule="exact"/>
        <w:ind w:firstLine="640" w:firstLineChars="200"/>
        <w:outlineLvl w:val="2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项目实施方面：在资金使用方向调整、资金拨付等环节均按照计划顺利实施，各项绩效目标基本达成。通过定期监督检查，及时发现并解决了项目实施过程中存在的问题，保障了项目的顺利推进。</w:t>
      </w:r>
    </w:p>
    <w:p w14:paraId="146F0973">
      <w:pPr>
        <w:spacing w:line="560" w:lineRule="exact"/>
        <w:ind w:firstLine="640" w:firstLineChars="200"/>
        <w:outlineLvl w:val="2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项目效益方面：项目有效保障了学校日常办公的正常运转，促进了学校基本办学条件的持续改善，提升了教育教学质量，优化了学校资源配置，促进了特殊教育事业的健康发展。</w:t>
      </w:r>
    </w:p>
    <w:p w14:paraId="644C769D">
      <w:pPr>
        <w:spacing w:line="560" w:lineRule="exact"/>
        <w:ind w:firstLine="640" w:firstLineChars="200"/>
        <w:outlineLvl w:val="2"/>
        <w:rPr>
          <w:rFonts w:hint="eastAsia" w:ascii="楷体_GB2312" w:hAnsi="Calibri" w:eastAsia="楷体_GB2312" w:cs="Times New Roman"/>
          <w:sz w:val="32"/>
          <w:szCs w:val="32"/>
          <w:highlight w:val="none"/>
        </w:rPr>
      </w:pPr>
      <w:r>
        <w:rPr>
          <w:rFonts w:hint="eastAsia" w:ascii="楷体_GB2312" w:hAnsi="Calibri" w:eastAsia="楷体_GB2312" w:cs="Times New Roman"/>
          <w:sz w:val="32"/>
          <w:szCs w:val="32"/>
          <w:highlight w:val="none"/>
        </w:rPr>
        <w:t>（三）总体评价</w:t>
      </w:r>
    </w:p>
    <w:p w14:paraId="121246D6">
      <w:pPr>
        <w:spacing w:line="560" w:lineRule="exact"/>
        <w:ind w:firstLine="640" w:firstLineChars="200"/>
        <w:outlineLvl w:val="1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总体而言，2024 年环江毛南族自治县第四初级中学公用经费(特教)中央补助项目实施效果良好，基本达到了预期的绩效目标。项目资金管理规范，项目实施顺利，取得了较好的社会效益，为特殊教育事业的健康发展提供了有力支持。</w:t>
      </w:r>
    </w:p>
    <w:p w14:paraId="38DD2CFF">
      <w:pPr>
        <w:spacing w:line="560" w:lineRule="exact"/>
        <w:ind w:firstLine="640" w:firstLineChars="200"/>
        <w:outlineLvl w:val="1"/>
        <w:rPr>
          <w:rFonts w:hint="eastAsia" w:ascii="黑体" w:hAnsi="黑体" w:eastAsia="黑体" w:cs="Times New Roman"/>
          <w:sz w:val="32"/>
          <w:szCs w:val="32"/>
          <w:highlight w:val="none"/>
        </w:rPr>
      </w:pPr>
      <w:r>
        <w:rPr>
          <w:rFonts w:hint="eastAsia" w:ascii="黑体" w:hAnsi="黑体" w:eastAsia="黑体" w:cs="Times New Roman"/>
          <w:sz w:val="32"/>
          <w:szCs w:val="32"/>
          <w:highlight w:val="none"/>
        </w:rPr>
        <w:t>四、主要经验做法、存在的问题和原因分析</w:t>
      </w:r>
    </w:p>
    <w:p w14:paraId="1CAD15C6">
      <w:pPr>
        <w:spacing w:line="560" w:lineRule="exact"/>
        <w:ind w:firstLine="640" w:firstLineChars="200"/>
        <w:outlineLvl w:val="1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（一）主要经验做法</w:t>
      </w:r>
    </w:p>
    <w:p w14:paraId="5A6FBDCB">
      <w:pPr>
        <w:spacing w:line="560" w:lineRule="exact"/>
        <w:ind w:firstLine="640" w:firstLineChars="200"/>
        <w:outlineLvl w:val="1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加强资金管理：建立健全项目资金管理制度，严格审批流程，确保资金使用合规、高效。</w:t>
      </w:r>
    </w:p>
    <w:p w14:paraId="50563ADE">
      <w:pPr>
        <w:spacing w:line="560" w:lineRule="exact"/>
        <w:ind w:firstLine="640" w:firstLineChars="200"/>
        <w:outlineLvl w:val="1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精准资金分配：根据学校实际需求，合理分配资金，确保资金使用方向符合学校发展需求。</w:t>
      </w:r>
    </w:p>
    <w:p w14:paraId="490BE8CA">
      <w:pPr>
        <w:spacing w:line="560" w:lineRule="exact"/>
        <w:ind w:firstLine="640" w:firstLineChars="200"/>
        <w:outlineLvl w:val="1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强化监督检查：建立项目监督检查机制，定期对项目实施情况进行检查和评估，及时发现并解决问题，保障项目的顺利实施。</w:t>
      </w:r>
    </w:p>
    <w:p w14:paraId="6096AA62">
      <w:pPr>
        <w:spacing w:line="560" w:lineRule="exact"/>
        <w:ind w:firstLine="640" w:firstLineChars="200"/>
        <w:outlineLvl w:val="1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注重师生需求：通过问卷调查等方式，了解师生对项目的需求和建议，及时调整项目实施方向，确保项目实施效果。</w:t>
      </w:r>
    </w:p>
    <w:p w14:paraId="4CBF5705">
      <w:pPr>
        <w:spacing w:line="560" w:lineRule="exact"/>
        <w:ind w:firstLine="640" w:firstLineChars="200"/>
        <w:outlineLvl w:val="1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（二）存在的问题</w:t>
      </w:r>
    </w:p>
    <w:p w14:paraId="0269B218">
      <w:pPr>
        <w:spacing w:line="560" w:lineRule="exact"/>
        <w:ind w:firstLine="640" w:firstLineChars="200"/>
        <w:outlineLvl w:val="1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宣传力度不足：部分师生对项目的具体内容和目标了解不够深入，建议进一步加大宣传力度，提高师生对项目的知晓度。</w:t>
      </w:r>
    </w:p>
    <w:p w14:paraId="4349EF3B">
      <w:pPr>
        <w:spacing w:line="560" w:lineRule="exact"/>
        <w:ind w:firstLine="640" w:firstLineChars="200"/>
        <w:outlineLvl w:val="1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项目可持续性不足：项目主要依赖中央财政拨款，缺乏长期稳定的资金来源，建议进一步探索多元化的资金支持渠道，确保项目的可持续性。</w:t>
      </w:r>
    </w:p>
    <w:p w14:paraId="07EFD693">
      <w:pPr>
        <w:spacing w:line="560" w:lineRule="exact"/>
        <w:ind w:firstLine="640" w:firstLineChars="200"/>
        <w:outlineLvl w:val="1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（三）原因分析</w:t>
      </w:r>
    </w:p>
    <w:p w14:paraId="701A2873">
      <w:pPr>
        <w:spacing w:line="560" w:lineRule="exact"/>
        <w:ind w:firstLine="640" w:firstLineChars="200"/>
        <w:outlineLvl w:val="1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宣传力度不足：主要是由于宣传渠道有限，部分师生未能及时获取项目信息。此外，部分师生对项目政策的理解存在偏差，导致宣传效果不佳。</w:t>
      </w:r>
    </w:p>
    <w:p w14:paraId="1273E4E5">
      <w:pPr>
        <w:spacing w:line="560" w:lineRule="exact"/>
        <w:ind w:firstLine="640" w:firstLineChars="200"/>
        <w:outlineLvl w:val="1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项目可持续性不足：主要是由于项目资金主要来源于中央财政拨款，缺乏其他稳定的资金来源，导致项目在资金保障方面存在一定的不确定性。</w:t>
      </w:r>
    </w:p>
    <w:p w14:paraId="0D5B5980">
      <w:pPr>
        <w:spacing w:line="560" w:lineRule="exact"/>
        <w:ind w:firstLine="640" w:firstLineChars="200"/>
        <w:outlineLvl w:val="1"/>
        <w:rPr>
          <w:rFonts w:hint="eastAsia"/>
        </w:rPr>
      </w:pPr>
      <w:r>
        <w:rPr>
          <w:rFonts w:hint="eastAsia" w:ascii="黑体" w:hAnsi="黑体" w:eastAsia="黑体" w:cs="Times New Roman"/>
          <w:sz w:val="32"/>
          <w:szCs w:val="32"/>
          <w:highlight w:val="none"/>
        </w:rPr>
        <w:t>五、工作改进建议</w:t>
      </w:r>
    </w:p>
    <w:bookmarkEnd w:id="0"/>
    <w:p w14:paraId="3E3E0B7C">
      <w:pPr>
        <w:spacing w:line="560" w:lineRule="exact"/>
        <w:ind w:firstLine="640" w:firstLineChars="200"/>
        <w:outlineLvl w:val="1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加大宣传力度：拓宽宣传渠道，通过学校官网、微信公众号、教职工大会等多种方式，加强对项目政策的宣传，提高师生对项目的知晓度和满意度。</w:t>
      </w:r>
    </w:p>
    <w:p w14:paraId="1F74A5C6">
      <w:pPr>
        <w:spacing w:line="560" w:lineRule="exact"/>
        <w:ind w:firstLine="640" w:firstLineChars="200"/>
        <w:outlineLvl w:val="1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探索多元化资金来源：积极争取社会捐赠、企业赞助等多元化资金支持，确保项目的可持续性。</w:t>
      </w:r>
    </w:p>
    <w:p w14:paraId="40C95F4E">
      <w:pPr>
        <w:spacing w:line="560" w:lineRule="exact"/>
        <w:ind w:firstLine="640" w:firstLineChars="200"/>
        <w:outlineLvl w:val="1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加强沟通交流：定期与师生进行沟通交流，及时了解他们的需求和建议，不断优化项目实施过程，提高项目实施效果。</w:t>
      </w:r>
    </w:p>
    <w:p w14:paraId="51893ADE">
      <w:pPr>
        <w:spacing w:line="560" w:lineRule="exact"/>
        <w:ind w:firstLine="640" w:firstLineChars="200"/>
        <w:outlineLvl w:val="1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完善监督检查机制：进一步完善项目监督检查机制，定期对项目实施情况进行全面检查和评估，及时发现并解决问题，确保项目资金使用安全、合规、高效。</w:t>
      </w:r>
    </w:p>
    <w:p w14:paraId="7CB92A90">
      <w:pPr>
        <w:spacing w:line="560" w:lineRule="exact"/>
        <w:ind w:firstLine="640" w:firstLineChars="200"/>
        <w:outlineLvl w:val="1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通过以上改进措施，进一步提升公用经费(特教)中央补助项目的实施效果，为特殊教育事业的健康发展提供更好的支持，促进教育公平和均衡发展。</w:t>
      </w:r>
    </w:p>
    <w:p w14:paraId="78BECD0A">
      <w:pPr>
        <w:spacing w:line="560" w:lineRule="exact"/>
        <w:ind w:firstLine="640" w:firstLineChars="200"/>
        <w:outlineLvl w:val="1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</w:p>
    <w:p w14:paraId="19414CF4">
      <w:pPr>
        <w:spacing w:line="560" w:lineRule="exact"/>
        <w:ind w:firstLine="640" w:firstLineChars="200"/>
        <w:outlineLvl w:val="1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bookmarkStart w:id="1" w:name="_GoBack"/>
      <w:bookmarkEnd w:id="1"/>
    </w:p>
    <w:p w14:paraId="64620E0E">
      <w:pPr>
        <w:spacing w:line="560" w:lineRule="exact"/>
        <w:ind w:firstLine="3520" w:firstLineChars="1100"/>
        <w:outlineLvl w:val="1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环江毛南族自治县第四初级中学</w:t>
      </w:r>
    </w:p>
    <w:p w14:paraId="4D5EB74A">
      <w:pPr>
        <w:spacing w:line="560" w:lineRule="exact"/>
        <w:ind w:firstLine="640" w:firstLineChars="200"/>
        <w:outlineLvl w:val="1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 xml:space="preserve">                        2025年4月24日</w:t>
      </w:r>
    </w:p>
    <w:p w14:paraId="36FD427E">
      <w:pPr>
        <w:rPr>
          <w:rFonts w:hint="eastAsia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97935803-E561-4A9B-98B5-F278A59104FE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C9FA1B45-AA82-4748-A3D0-6405A8B8EE0A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10600010101010101"/>
    <w:charset w:val="86"/>
    <w:family w:val="auto"/>
    <w:pitch w:val="default"/>
    <w:sig w:usb0="00000001" w:usb1="080E0000" w:usb2="00000000" w:usb3="00000000" w:csb0="00040000" w:csb1="00000000"/>
    <w:embedRegular r:id="rId3" w:fontKey="{FD8BD7C7-E156-4846-B84E-848A4BE07679}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  <w:embedRegular r:id="rId4" w:fontKey="{8F7AA24B-ABAF-4ABF-809E-5B4B6EC73F94}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  <w:embedRegular r:id="rId5" w:fontKey="{2AA3CDA5-CC3A-46B4-B513-03A60DB35373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F61B96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FDC8DE3">
                          <w:pPr>
                            <w:pStyle w:val="3"/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FDC8DE3">
                    <w:pPr>
                      <w:pStyle w:val="3"/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</w:rPr>
                    </w:pP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99E698E"/>
    <w:multiLevelType w:val="singleLevel"/>
    <w:tmpl w:val="699E698E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EE2D73"/>
    <w:rsid w:val="084235C5"/>
    <w:rsid w:val="08C32001"/>
    <w:rsid w:val="0B6E2F08"/>
    <w:rsid w:val="0EA27C68"/>
    <w:rsid w:val="1A0102D3"/>
    <w:rsid w:val="21A27164"/>
    <w:rsid w:val="37133E03"/>
    <w:rsid w:val="38893319"/>
    <w:rsid w:val="3F300D98"/>
    <w:rsid w:val="4E244220"/>
    <w:rsid w:val="4F08747A"/>
    <w:rsid w:val="4F4638BB"/>
    <w:rsid w:val="51D35744"/>
    <w:rsid w:val="53392246"/>
    <w:rsid w:val="58F004E7"/>
    <w:rsid w:val="5B1C6739"/>
    <w:rsid w:val="5B781951"/>
    <w:rsid w:val="69E5416A"/>
    <w:rsid w:val="6D784570"/>
    <w:rsid w:val="7C7F2F16"/>
    <w:rsid w:val="7FBC2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autoSpaceDE/>
      <w:autoSpaceDN/>
      <w:adjustRightInd/>
      <w:snapToGrid/>
      <w:spacing w:line="360" w:lineRule="auto"/>
      <w:ind w:firstLine="600" w:firstLineChars="200"/>
      <w:outlineLvl w:val="2"/>
    </w:pPr>
    <w:rPr>
      <w:rFonts w:ascii="Times New Roman" w:hAnsi="仿宋" w:eastAsia="黑体" w:cs="Times New Roman"/>
      <w:bCs/>
      <w:spacing w:val="0"/>
      <w:kern w:val="0"/>
      <w:szCs w:val="32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rFonts w:ascii="Times New Roman" w:hAnsi="Times New Roman" w:eastAsia="宋体" w:cs="Times New Roman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3699</Words>
  <Characters>3757</Characters>
  <Lines>0</Lines>
  <Paragraphs>0</Paragraphs>
  <TotalTime>110</TotalTime>
  <ScaleCrop>false</ScaleCrop>
  <LinksUpToDate>false</LinksUpToDate>
  <CharactersWithSpaces>3804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2025-04-24T01:46:00Z</dcterms:created>
  <dc:creator>11973</dc:creator>
  <cp:lastModifiedBy>WPS_1740109420</cp:lastModifiedBy>
  <dcterms:modified xsi:type="dcterms:W3CDTF">2025-05-12T08:02:34Z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KSOTemplateDocerSaveRecord">
    <vt:lpwstr>eyJoZGlkIjoiYjY5YTA0ZWQ1N2YwNDE3NzVkYWRkZjQyNWE1NjliOTUiLCJ1c2VySWQiOiIxNjc5OTYwNjkxIn0=</vt:lpwstr>
  </property>
  <property fmtid="{D5CDD505-2E9C-101B-9397-08002B2CF9AE}" pid="4" name="ICV">
    <vt:lpwstr>6D723C029EE64125AC2C425E59A7B85C_12</vt:lpwstr>
  </property>
</Properties>
</file>